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443865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403225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jc w:val="center"/>
        <w:ind w:right="60"/>
        <w:spacing w:after="0"/>
        <w:rPr>
          <w:sz w:val="20"/>
          <w:szCs w:val="20"/>
          <w:color w:val="auto"/>
        </w:rPr>
      </w:pPr>
      <w:r>
        <w:rPr>
          <w:rFonts w:ascii="Arial" w:cs="Arial" w:eastAsia="Arial" w:hAnsi="Arial"/>
          <w:sz w:val="26"/>
          <w:szCs w:val="26"/>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5"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Number: 001-36124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Gaming and Leisure Properties,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35" w:right="339" w:bottom="1440" w:gutter="0" w:footer="0" w:header="0"/>
        </w:sectPr>
      </w:pPr>
    </w:p>
    <w:p>
      <w:pPr>
        <w:spacing w:after="0" w:line="29"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Pennsylvania</w:t>
      </w:r>
    </w:p>
    <w:p>
      <w:pPr>
        <w:spacing w:after="0" w:line="30"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35" w:lineRule="exact"/>
        <w:rPr>
          <w:sz w:val="24"/>
          <w:szCs w:val="24"/>
          <w:color w:val="auto"/>
        </w:rPr>
      </w:pPr>
    </w:p>
    <w:p>
      <w:pPr>
        <w:ind w:left="18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2220"/>
        <w:spacing w:after="0"/>
        <w:rPr>
          <w:sz w:val="20"/>
          <w:szCs w:val="20"/>
          <w:color w:val="auto"/>
        </w:rPr>
      </w:pPr>
      <w:r>
        <w:rPr>
          <w:rFonts w:ascii="Arial" w:cs="Arial" w:eastAsia="Arial" w:hAnsi="Arial"/>
          <w:sz w:val="17"/>
          <w:szCs w:val="17"/>
          <w:b w:val="1"/>
          <w:bCs w:val="1"/>
          <w:color w:val="auto"/>
        </w:rPr>
        <w:t>46-2116489</w:t>
      </w:r>
    </w:p>
    <w:p>
      <w:pPr>
        <w:spacing w:after="0" w:line="30" w:lineRule="exact"/>
        <w:rPr>
          <w:sz w:val="24"/>
          <w:szCs w:val="24"/>
          <w:color w:val="auto"/>
        </w:rPr>
      </w:pPr>
    </w:p>
    <w:p>
      <w:pPr>
        <w:jc w:val="center"/>
        <w:ind w:right="2220"/>
        <w:spacing w:after="0"/>
        <w:rPr>
          <w:sz w:val="20"/>
          <w:szCs w:val="20"/>
          <w:color w:val="auto"/>
        </w:rPr>
      </w:pPr>
      <w:r>
        <w:rPr>
          <w:rFonts w:ascii="Arial" w:cs="Arial" w:eastAsia="Arial" w:hAnsi="Arial"/>
          <w:sz w:val="17"/>
          <w:szCs w:val="17"/>
          <w:color w:val="auto"/>
        </w:rPr>
        <w:t>(I.R.S. Employer</w:t>
      </w:r>
    </w:p>
    <w:p>
      <w:pPr>
        <w:spacing w:after="0" w:line="24"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Identification No.)</w:t>
      </w:r>
    </w:p>
    <w:p>
      <w:pPr>
        <w:spacing w:after="0" w:line="116" w:lineRule="exact"/>
        <w:rPr>
          <w:sz w:val="24"/>
          <w:szCs w:val="24"/>
          <w:color w:val="auto"/>
        </w:rPr>
      </w:pPr>
    </w:p>
    <w:p>
      <w:pPr>
        <w:sectPr>
          <w:pgSz w:w="11900" w:h="16838" w:orient="portrait"/>
          <w:cols w:equalWidth="0" w:num="2">
            <w:col w:w="7020" w:space="720"/>
            <w:col w:w="3500"/>
          </w:cols>
          <w:pgMar w:left="320" w:top="235" w:right="33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845 Berkshire Blvd.,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(Zip Code)</w:t>
      </w:r>
    </w:p>
    <w:p>
      <w:pPr>
        <w:sectPr>
          <w:pgSz w:w="11900" w:h="16838" w:orient="portrait"/>
          <w:cols w:equalWidth="0" w:num="1">
            <w:col w:w="11240"/>
          </w:cols>
          <w:pgMar w:left="320" w:top="235"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610-401-2900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1"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199"/>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86"/>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$.01 per share</w:t>
            </w:r>
          </w:p>
        </w:tc>
        <w:tc>
          <w:tcPr>
            <w:tcW w:w="40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GLPI</w:t>
            </w:r>
          </w:p>
        </w:tc>
        <w:tc>
          <w:tcPr>
            <w:tcW w:w="40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Nasdaq</w:t>
            </w:r>
          </w:p>
        </w:tc>
      </w:tr>
    </w:tbl>
    <w:p>
      <w:pPr>
        <w:spacing w:after="0" w:line="163" w:lineRule="exact"/>
        <w:rPr>
          <w:sz w:val="24"/>
          <w:szCs w:val="24"/>
          <w:color w:val="auto"/>
        </w:rPr>
      </w:pPr>
    </w:p>
    <w:p>
      <w:pPr>
        <w:jc w:val="both"/>
        <w:ind w:right="300" w:firstLine="309"/>
        <w:spacing w:after="0" w:line="21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right="20" w:firstLine="309"/>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300" w:firstLine="309"/>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120" w:type="dxa"/>
        <w:tblCellMar>
          <w:top w:w="0" w:type="dxa"/>
          <w:left w:w="0" w:type="dxa"/>
          <w:bottom w:w="0" w:type="dxa"/>
          <w:right w:w="0" w:type="dxa"/>
        </w:tblCellMar>
      </w:tblPr>
      <w:tr>
        <w:trPr>
          <w:trHeight w:val="219"/>
        </w:trPr>
        <w:tc>
          <w:tcPr>
            <w:tcW w:w="2080" w:type="dxa"/>
            <w:vAlign w:val="bottom"/>
          </w:tcPr>
          <w:p>
            <w:pPr>
              <w:jc w:val="center"/>
              <w:ind w:right="454"/>
              <w:spacing w:after="0"/>
              <w:rPr>
                <w:sz w:val="20"/>
                <w:szCs w:val="20"/>
                <w:color w:val="auto"/>
              </w:rPr>
            </w:pPr>
            <w:r>
              <w:rPr>
                <w:rFonts w:ascii="Arial" w:cs="Arial" w:eastAsia="Arial" w:hAnsi="Arial"/>
                <w:sz w:val="17"/>
                <w:szCs w:val="17"/>
                <w:color w:val="auto"/>
                <w:w w:val="91"/>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Arial" w:cs="Arial" w:eastAsia="Arial" w:hAnsi="Arial"/>
                <w:sz w:val="17"/>
                <w:szCs w:val="17"/>
                <w:color w:val="auto"/>
                <w:w w:val="95"/>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2080" w:type="dxa"/>
            <w:vAlign w:val="bottom"/>
          </w:tcPr>
          <w:p>
            <w:pPr>
              <w:jc w:val="center"/>
              <w:ind w:right="414"/>
              <w:spacing w:after="0"/>
              <w:rPr>
                <w:sz w:val="20"/>
                <w:szCs w:val="20"/>
                <w:color w:val="auto"/>
              </w:rPr>
            </w:pPr>
            <w:r>
              <w:rPr>
                <w:rFonts w:ascii="Arial" w:cs="Arial" w:eastAsia="Arial" w:hAnsi="Arial"/>
                <w:sz w:val="17"/>
                <w:szCs w:val="17"/>
                <w:color w:val="auto"/>
                <w:w w:val="93"/>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Arial" w:cs="Arial" w:eastAsia="Arial" w:hAnsi="Arial"/>
                <w:sz w:val="17"/>
                <w:szCs w:val="17"/>
                <w:color w:val="auto"/>
                <w:w w:val="92"/>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2"/>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2" w:lineRule="exact"/>
        <w:rPr>
          <w:sz w:val="24"/>
          <w:szCs w:val="24"/>
          <w:color w:val="auto"/>
        </w:rPr>
      </w:pPr>
    </w:p>
    <w:p>
      <w:pPr>
        <w:ind w:right="200" w:firstLine="309"/>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ind w:left="3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Title</w:t>
            </w:r>
          </w:p>
        </w:tc>
        <w:tc>
          <w:tcPr>
            <w:tcW w:w="5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October 18, 2023</w:t>
            </w:r>
          </w:p>
        </w:tc>
      </w:tr>
      <w:tr>
        <w:trPr>
          <w:trHeight w:val="24"/>
        </w:trPr>
        <w:tc>
          <w:tcPr>
            <w:tcW w:w="5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167"/>
        </w:trPr>
        <w:tc>
          <w:tcPr>
            <w:tcW w:w="5100" w:type="dxa"/>
            <w:vAlign w:val="bottom"/>
          </w:tcPr>
          <w:p>
            <w:pPr>
              <w:jc w:val="center"/>
              <w:spacing w:after="0"/>
              <w:rPr>
                <w:sz w:val="20"/>
                <w:szCs w:val="20"/>
                <w:color w:val="auto"/>
              </w:rPr>
            </w:pPr>
            <w:r>
              <w:rPr>
                <w:rFonts w:ascii="Arial" w:cs="Arial" w:eastAsia="Arial" w:hAnsi="Arial"/>
                <w:sz w:val="14"/>
                <w:szCs w:val="14"/>
                <w:color w:val="auto"/>
                <w:w w:val="87"/>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51"/>
              <w:spacing w:after="0"/>
              <w:rPr>
                <w:sz w:val="20"/>
                <w:szCs w:val="20"/>
                <w:color w:val="auto"/>
              </w:rPr>
            </w:pPr>
            <w:r>
              <w:rPr>
                <w:rFonts w:ascii="Arial" w:cs="Arial" w:eastAsia="Arial" w:hAnsi="Arial"/>
                <w:sz w:val="14"/>
                <w:szCs w:val="14"/>
                <w:color w:val="auto"/>
              </w:rPr>
              <w:t>267,015,730</w:t>
            </w:r>
          </w:p>
        </w:tc>
        <w:tc>
          <w:tcPr>
            <w:tcW w:w="600" w:type="dxa"/>
            <w:vAlign w:val="bottom"/>
          </w:tcPr>
          <w:p>
            <w:pPr>
              <w:spacing w:after="0"/>
              <w:rPr>
                <w:sz w:val="14"/>
                <w:szCs w:val="14"/>
                <w:color w:val="auto"/>
              </w:rPr>
            </w:pPr>
          </w:p>
        </w:tc>
      </w:tr>
      <w:tr>
        <w:trPr>
          <w:trHeight w:val="760"/>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47" w:lineRule="exact"/>
        <w:rPr>
          <w:sz w:val="20"/>
          <w:szCs w:val="20"/>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impact that higher inflation rates and uncertainty with respect to the future state of the economy could have on discretionary consumer spending, including the casino operations of our tenants;</w:t>
      </w:r>
    </w:p>
    <w:p>
      <w:pPr>
        <w:spacing w:after="0" w:line="222" w:lineRule="exact"/>
        <w:rPr>
          <w:rFonts w:ascii="Arial" w:cs="Arial" w:eastAsia="Arial" w:hAnsi="Arial"/>
          <w:sz w:val="21"/>
          <w:szCs w:val="21"/>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stress in the banking sector, rising interest rates and elevated levels of inflation (which have been exacerbated by the armed conflict between Russia and Ukraine and may be further impacted by recent events in the Middle East);</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consequences related to United States government monetary policies and stimulus packages on inflation rates and economic growth;</w:t>
      </w:r>
    </w:p>
    <w:p>
      <w:pPr>
        <w:spacing w:after="0" w:line="293" w:lineRule="exact"/>
        <w:rPr>
          <w:rFonts w:ascii="Arial" w:cs="Arial" w:eastAsia="Arial" w:hAnsi="Arial"/>
          <w:sz w:val="16"/>
          <w:szCs w:val="16"/>
          <w:color w:val="auto"/>
        </w:rPr>
      </w:pPr>
    </w:p>
    <w:p>
      <w:pPr>
        <w:ind w:left="620" w:hanging="307"/>
        <w:spacing w:after="0" w:line="232" w:lineRule="auto"/>
        <w:tabs>
          <w:tab w:leader="none" w:pos="61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22"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degree and nature of our competition;</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90"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current and uncertain future impact of the coronavirus COVID-19 outbreak or a new pandemic, including its effect on the ability or desire of people to gather in large groups (including in casinos), which could continue to impact our financial results, operations, outlooks, plans, goals, growth, cash flows, liquidity, and stock price;</w:t>
      </w:r>
    </w:p>
    <w:p>
      <w:pPr>
        <w:spacing w:after="0" w:line="200" w:lineRule="exact"/>
        <w:rPr>
          <w:rFonts w:ascii="Arial" w:cs="Arial" w:eastAsia="Arial" w:hAnsi="Arial"/>
          <w:sz w:val="17"/>
          <w:szCs w:val="17"/>
          <w:color w:val="auto"/>
        </w:rPr>
      </w:pPr>
    </w:p>
    <w:p>
      <w:pPr>
        <w:jc w:val="both"/>
        <w:ind w:left="620" w:hanging="307"/>
        <w:spacing w:after="0" w:line="318"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65" w:lineRule="exact"/>
        <w:rPr>
          <w:rFonts w:ascii="Arial" w:cs="Arial" w:eastAsia="Arial" w:hAnsi="Arial"/>
          <w:sz w:val="15"/>
          <w:szCs w:val="15"/>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satisfaction of certain asset, income, organizational, distribution, shareholder ownership and other requirements on a continuing basis in order for the Company to maintain its REIT status;</w:t>
      </w:r>
    </w:p>
    <w:p>
      <w:pPr>
        <w:spacing w:after="0" w:line="190"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0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generate sufficient cash flows to service our outstanding indebtedness;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capital through debt and equity markets in amounts and at rates and costs acceptable to GLPI, including for acquisitions or refinancings due to maturities;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changes in our credit rating;</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global or regional economic conditions;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qualified personnel and our ability to retain our key management personnel;</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United States tax law and other federal, state or local laws, whether or not specific to real estate, REITs or the gaming, lodging or hospitality industries;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standards;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or climate events or conditions, natural disasters, acts of terrorism and other international hostilities, war (including the current conflict between Russia and Ukraine and recent conflicts in the Middle East) or political instability;</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historical financial statements included herein do not reflect what the business, financial position or results of operations of GLPI may be in the future;</w:t>
      </w:r>
    </w:p>
    <w:p>
      <w:pPr>
        <w:spacing w:after="0" w:line="265"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risks inherent in the real estate business, including potential liability relating to environmental matters and illiquidity of real estate investments; and</w:t>
      </w:r>
    </w:p>
    <w:p>
      <w:pPr>
        <w:spacing w:after="0" w:line="265" w:lineRule="exact"/>
        <w:rPr>
          <w:rFonts w:ascii="Arial" w:cs="Arial" w:eastAsia="Arial" w:hAnsi="Arial"/>
          <w:sz w:val="15"/>
          <w:szCs w:val="15"/>
          <w:color w:val="auto"/>
        </w:rPr>
      </w:pPr>
    </w:p>
    <w:p>
      <w:pPr>
        <w:ind w:left="620" w:hanging="307"/>
        <w:spacing w:after="0" w:line="312"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2022 (the "Annual Report"), in this Quarterly Report on Form 10-Q and Current Reports on Form 8-K as filed with the United States Securities and Exchange Commission.</w:t>
      </w:r>
    </w:p>
    <w:p>
      <w:pPr>
        <w:spacing w:after="0" w:line="14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7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320" w:type="dxa"/>
            <w:vAlign w:val="bottom"/>
            <w:gridSpan w:val="14"/>
          </w:tcPr>
          <w:p>
            <w:pPr>
              <w:jc w:val="center"/>
              <w:ind w:right="2080"/>
              <w:spacing w:after="0"/>
              <w:rPr>
                <w:sz w:val="20"/>
                <w:szCs w:val="20"/>
                <w:color w:val="auto"/>
              </w:rPr>
            </w:pPr>
            <w:r>
              <w:rPr>
                <w:rFonts w:ascii="Arial" w:cs="Arial" w:eastAsia="Arial" w:hAnsi="Arial"/>
                <w:sz w:val="17"/>
                <w:szCs w:val="17"/>
                <w:b w:val="1"/>
                <w:bCs w:val="1"/>
                <w:color w:val="auto"/>
              </w:rPr>
              <w:t>GAMING AND LEISURE PROPERTIES, INC. AND SUBSIDIARIES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8"/>
          </w:tcPr>
          <w:p>
            <w:pPr>
              <w:jc w:val="center"/>
              <w:ind w:right="336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PART I.</w:t>
            </w:r>
          </w:p>
        </w:tc>
        <w:tc>
          <w:tcPr>
            <w:tcW w:w="1220" w:type="dxa"/>
            <w:vAlign w:val="bottom"/>
            <w:gridSpan w:val="5"/>
          </w:tcPr>
          <w:p>
            <w:pPr>
              <w:spacing w:after="0"/>
              <w:rPr>
                <w:sz w:val="24"/>
                <w:szCs w:val="24"/>
                <w:color w:val="auto"/>
              </w:rPr>
            </w:pPr>
          </w:p>
        </w:tc>
        <w:tc>
          <w:tcPr>
            <w:tcW w:w="21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FINANCIAL INFORMATION</w:t>
            </w:r>
          </w:p>
        </w:tc>
        <w:tc>
          <w:tcPr>
            <w:tcW w:w="6360" w:type="dxa"/>
            <w:vAlign w:val="bottom"/>
            <w:gridSpan w:val="10"/>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7"/>
              </w:rPr>
              <w:t>ITEM 1.</w:t>
            </w:r>
          </w:p>
        </w:tc>
        <w:tc>
          <w:tcPr>
            <w:tcW w:w="1180" w:type="dxa"/>
            <w:vAlign w:val="bottom"/>
            <w:gridSpan w:val="4"/>
          </w:tcPr>
          <w:p>
            <w:pPr>
              <w:spacing w:after="0"/>
              <w:rPr>
                <w:sz w:val="24"/>
                <w:szCs w:val="24"/>
                <w:color w:val="auto"/>
              </w:rPr>
            </w:pPr>
          </w:p>
        </w:tc>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8"/>
              </w:rPr>
              <w:t>FINANCIAL STATEMENTS</w:t>
            </w:r>
          </w:p>
        </w:tc>
        <w:tc>
          <w:tcPr>
            <w:tcW w:w="6460" w:type="dxa"/>
            <w:vAlign w:val="bottom"/>
            <w:gridSpan w:val="11"/>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rPr>
              <w:t>Condensed Consolidated Balance Sheets - September 30, 2023 and December 31, 202</w:t>
            </w:r>
            <w:r>
              <w:rPr>
                <w:rFonts w:ascii="Arial" w:cs="Arial" w:eastAsia="Arial" w:hAnsi="Arial"/>
                <w:sz w:val="17"/>
                <w:szCs w:val="17"/>
                <w:color w:val="000000"/>
              </w:rPr>
              <w:t>2</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2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0"/>
              </w:rPr>
              <w:t>Condensed Consolidated Statements of Income - Three and Nine Months Ended September 30, 2023 and 2022</w:t>
            </w:r>
          </w:p>
        </w:tc>
        <w:tc>
          <w:tcPr>
            <w:tcW w:w="900" w:type="dxa"/>
            <w:vAlign w:val="bottom"/>
            <w:gridSpan w:val="3"/>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w w:val="91"/>
              </w:rPr>
              <w:t>Condensed Consolidated Statements of Changes in Equity - Three and Nine Months Ended September 30, 2023 and 2022</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3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7"/>
                <w:szCs w:val="17"/>
                <w:color w:val="0000FF"/>
              </w:rPr>
              <w:t>Condensed Consolidated Statements of Cash Flows - Nine Months Ended September 30, 2023 and 2022</w:t>
            </w:r>
          </w:p>
        </w:tc>
        <w:tc>
          <w:tcPr>
            <w:tcW w:w="14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rPr>
              <w:t>Notes to the Condensed Consolidated Financial Statements</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rPr>
              <w:t>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7"/>
              </w:rPr>
              <w:t>ITEM 2.</w:t>
            </w:r>
          </w:p>
        </w:tc>
        <w:tc>
          <w:tcPr>
            <w:tcW w:w="1180" w:type="dxa"/>
            <w:vAlign w:val="bottom"/>
            <w:gridSpan w:val="4"/>
          </w:tcPr>
          <w:p>
            <w:pPr>
              <w:spacing w:after="0"/>
              <w:rPr>
                <w:sz w:val="24"/>
                <w:szCs w:val="24"/>
                <w:color w:val="auto"/>
              </w:rPr>
            </w:pPr>
          </w:p>
        </w:tc>
        <w:tc>
          <w:tcPr>
            <w:tcW w:w="852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8"/>
              </w:rPr>
              <w:t>MANAGEMENT’S DISCUSSION AND ANALYSIS OF FINANCIAL CONDITION AND RESULTS OF OPERATIONS</w:t>
            </w: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38</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Arial" w:cs="Arial" w:eastAsia="Arial" w:hAnsi="Arial"/>
                <w:sz w:val="17"/>
                <w:szCs w:val="17"/>
                <w:color w:val="0000FF"/>
                <w:w w:val="97"/>
              </w:rPr>
              <w:t>ITEM 3.</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w w:val="94"/>
              </w:rPr>
              <w:t>58</w:t>
            </w:r>
          </w:p>
        </w:tc>
        <w:tc>
          <w:tcPr>
            <w:tcW w:w="0" w:type="dxa"/>
            <w:vAlign w:val="bottom"/>
          </w:tcPr>
          <w:p>
            <w:pPr>
              <w:spacing w:after="0"/>
              <w:rPr>
                <w:sz w:val="1"/>
                <w:szCs w:val="1"/>
                <w:color w:val="auto"/>
              </w:rPr>
            </w:pPr>
          </w:p>
        </w:tc>
      </w:tr>
      <w:tr>
        <w:trPr>
          <w:trHeight w:val="418"/>
        </w:trPr>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97"/>
              </w:rPr>
              <w:t>ITEM 4.</w:t>
            </w:r>
          </w:p>
        </w:tc>
        <w:tc>
          <w:tcPr>
            <w:tcW w:w="1180" w:type="dxa"/>
            <w:vAlign w:val="bottom"/>
            <w:gridSpan w:val="4"/>
          </w:tcPr>
          <w:p>
            <w:pPr>
              <w:spacing w:after="0"/>
              <w:rPr>
                <w:sz w:val="24"/>
                <w:szCs w:val="24"/>
                <w:color w:val="auto"/>
              </w:rPr>
            </w:pPr>
          </w:p>
        </w:tc>
        <w:tc>
          <w:tcPr>
            <w:tcW w:w="592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0000FF"/>
              </w:rPr>
              <w:t>CONTROLS AND PROCEDURES</w:t>
            </w:r>
          </w:p>
        </w:tc>
        <w:tc>
          <w:tcPr>
            <w:tcW w:w="26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3"/>
              </w:rPr>
              <w:t>PART II.</w:t>
            </w:r>
          </w:p>
        </w:tc>
        <w:tc>
          <w:tcPr>
            <w:tcW w:w="1160" w:type="dxa"/>
            <w:vAlign w:val="bottom"/>
            <w:gridSpan w:val="3"/>
          </w:tcPr>
          <w:p>
            <w:pPr>
              <w:spacing w:after="0"/>
              <w:rPr>
                <w:sz w:val="24"/>
                <w:szCs w:val="24"/>
                <w:color w:val="auto"/>
              </w:rPr>
            </w:pPr>
          </w:p>
        </w:tc>
        <w:tc>
          <w:tcPr>
            <w:tcW w:w="18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7"/>
              </w:rPr>
              <w:t>OTHER INFORMATION</w:t>
            </w:r>
          </w:p>
        </w:tc>
        <w:tc>
          <w:tcPr>
            <w:tcW w:w="672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Arial" w:cs="Arial" w:eastAsia="Arial" w:hAnsi="Arial"/>
                <w:sz w:val="17"/>
                <w:szCs w:val="17"/>
                <w:color w:val="0000FF"/>
                <w:w w:val="97"/>
              </w:rPr>
              <w:t>ITEM 1.</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8"/>
              </w:rPr>
              <w:t>ITEM 1A.</w:t>
            </w:r>
          </w:p>
        </w:tc>
        <w:tc>
          <w:tcPr>
            <w:tcW w:w="1060" w:type="dxa"/>
            <w:vAlign w:val="bottom"/>
            <w:gridSpan w:val="2"/>
          </w:tcPr>
          <w:p>
            <w:pPr>
              <w:spacing w:after="0"/>
              <w:rPr>
                <w:sz w:val="24"/>
                <w:szCs w:val="24"/>
                <w:color w:val="auto"/>
              </w:rPr>
            </w:pPr>
          </w:p>
        </w:tc>
        <w:tc>
          <w:tcPr>
            <w:tcW w:w="120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3"/>
              </w:rPr>
              <w:t>RISK FACTORS</w:t>
            </w:r>
          </w:p>
        </w:tc>
        <w:tc>
          <w:tcPr>
            <w:tcW w:w="7320" w:type="dxa"/>
            <w:vAlign w:val="bottom"/>
            <w:gridSpan w:val="1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418"/>
        </w:trPr>
        <w:tc>
          <w:tcPr>
            <w:tcW w:w="1780" w:type="dxa"/>
            <w:vAlign w:val="bottom"/>
            <w:gridSpan w:val="6"/>
          </w:tcPr>
          <w:p>
            <w:pPr>
              <w:spacing w:after="0"/>
              <w:rPr>
                <w:sz w:val="20"/>
                <w:szCs w:val="20"/>
                <w:color w:val="auto"/>
              </w:rPr>
            </w:pPr>
            <w:r>
              <w:rPr>
                <w:rFonts w:ascii="Arial" w:cs="Arial" w:eastAsia="Arial" w:hAnsi="Arial"/>
                <w:sz w:val="17"/>
                <w:szCs w:val="17"/>
                <w:color w:val="0000FF"/>
              </w:rPr>
              <w:t>ITEM 2.</w:t>
            </w:r>
          </w:p>
        </w:tc>
        <w:tc>
          <w:tcPr>
            <w:tcW w:w="8520" w:type="dxa"/>
            <w:vAlign w:val="bottom"/>
            <w:gridSpan w:val="17"/>
          </w:tcPr>
          <w:p>
            <w:pPr>
              <w:spacing w:after="0"/>
              <w:rPr>
                <w:sz w:val="20"/>
                <w:szCs w:val="20"/>
                <w:color w:val="auto"/>
              </w:rPr>
            </w:pPr>
            <w:r>
              <w:rPr>
                <w:rFonts w:ascii="Arial" w:cs="Arial" w:eastAsia="Arial" w:hAnsi="Arial"/>
                <w:sz w:val="17"/>
                <w:szCs w:val="17"/>
                <w:color w:val="0000FF"/>
                <w:w w:val="95"/>
              </w:rPr>
              <w:t>UNREGISTERED SALES OF EQUITY SECURITIES, USE OF PROCEEDS, AND ISSUER PURCHASES OF EQUITY</w:t>
            </w:r>
          </w:p>
        </w:tc>
        <w:tc>
          <w:tcPr>
            <w:tcW w:w="420" w:type="dxa"/>
            <w:vAlign w:val="bottom"/>
            <w:vMerge w:val="restart"/>
          </w:tcPr>
          <w:p>
            <w:pPr>
              <w:spacing w:after="0"/>
              <w:rPr>
                <w:sz w:val="24"/>
                <w:szCs w:val="24"/>
                <w:color w:val="auto"/>
              </w:rPr>
            </w:pPr>
          </w:p>
        </w:tc>
        <w:tc>
          <w:tcPr>
            <w:tcW w:w="1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153"/>
        </w:trPr>
        <w:tc>
          <w:tcPr>
            <w:tcW w:w="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8"/>
          </w:tcPr>
          <w:p>
            <w:pPr>
              <w:spacing w:after="0" w:line="135" w:lineRule="exact"/>
              <w:rPr>
                <w:sz w:val="20"/>
                <w:szCs w:val="20"/>
                <w:color w:val="auto"/>
              </w:rPr>
            </w:pPr>
            <w:r>
              <w:rPr>
                <w:rFonts w:ascii="Arial" w:cs="Arial" w:eastAsia="Arial" w:hAnsi="Arial"/>
                <w:sz w:val="15"/>
                <w:szCs w:val="15"/>
                <w:color w:val="0000FF"/>
              </w:rPr>
              <w:t>SECURITIES</w:t>
            </w:r>
          </w:p>
        </w:tc>
        <w:tc>
          <w:tcPr>
            <w:tcW w:w="1740" w:type="dxa"/>
            <w:vAlign w:val="bottom"/>
            <w:tcBorders>
              <w:top w:val="single" w:sz="8" w:color="0000FF"/>
            </w:tcBorders>
            <w:gridSpan w:val="3"/>
          </w:tcPr>
          <w:p>
            <w:pPr>
              <w:spacing w:after="0"/>
              <w:rPr>
                <w:sz w:val="13"/>
                <w:szCs w:val="13"/>
                <w:color w:val="auto"/>
              </w:rPr>
            </w:pPr>
          </w:p>
        </w:tc>
        <w:tc>
          <w:tcPr>
            <w:tcW w:w="44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Borders>
              <w:bottom w:val="single" w:sz="8" w:color="0000FF"/>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7"/>
              </w:rPr>
              <w:t>ITEM 3.</w:t>
            </w:r>
          </w:p>
        </w:tc>
        <w:tc>
          <w:tcPr>
            <w:tcW w:w="1180" w:type="dxa"/>
            <w:vAlign w:val="bottom"/>
            <w:gridSpan w:val="4"/>
          </w:tcPr>
          <w:p>
            <w:pPr>
              <w:spacing w:after="0"/>
              <w:rPr>
                <w:sz w:val="24"/>
                <w:szCs w:val="24"/>
                <w:color w:val="auto"/>
              </w:rPr>
            </w:pPr>
          </w:p>
        </w:tc>
        <w:tc>
          <w:tcPr>
            <w:tcW w:w="304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4"/>
              </w:rPr>
              <w:t>DEFAULTS UPON SENIOR SECURITIES</w:t>
            </w:r>
          </w:p>
        </w:tc>
        <w:tc>
          <w:tcPr>
            <w:tcW w:w="548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Arial" w:cs="Arial" w:eastAsia="Arial" w:hAnsi="Arial"/>
                <w:sz w:val="17"/>
                <w:szCs w:val="17"/>
                <w:color w:val="0000FF"/>
                <w:w w:val="97"/>
              </w:rPr>
              <w:t>ITEM 4.</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418"/>
        </w:trPr>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97"/>
              </w:rPr>
              <w:t>ITEM 5.</w:t>
            </w:r>
          </w:p>
        </w:tc>
        <w:tc>
          <w:tcPr>
            <w:tcW w:w="1180" w:type="dxa"/>
            <w:vAlign w:val="bottom"/>
            <w:gridSpan w:val="4"/>
          </w:tcPr>
          <w:p>
            <w:pPr>
              <w:spacing w:after="0"/>
              <w:rPr>
                <w:sz w:val="24"/>
                <w:szCs w:val="24"/>
                <w:color w:val="auto"/>
              </w:rPr>
            </w:pPr>
          </w:p>
        </w:tc>
        <w:tc>
          <w:tcPr>
            <w:tcW w:w="18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7"/>
              </w:rPr>
              <w:t>OTHER INFORMATION</w:t>
            </w:r>
          </w:p>
        </w:tc>
        <w:tc>
          <w:tcPr>
            <w:tcW w:w="520" w:type="dxa"/>
            <w:vAlign w:val="bottom"/>
            <w:tcBorders>
              <w:top w:val="single" w:sz="8" w:color="0000FF"/>
            </w:tcBorders>
            <w:gridSpan w:val="3"/>
          </w:tcPr>
          <w:p>
            <w:pPr>
              <w:spacing w:after="0"/>
              <w:rPr>
                <w:sz w:val="24"/>
                <w:szCs w:val="24"/>
                <w:color w:val="auto"/>
              </w:rPr>
            </w:pPr>
          </w:p>
        </w:tc>
        <w:tc>
          <w:tcPr>
            <w:tcW w:w="62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60</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Arial" w:cs="Arial" w:eastAsia="Arial" w:hAnsi="Arial"/>
                <w:sz w:val="17"/>
                <w:szCs w:val="17"/>
                <w:color w:val="0000FF"/>
                <w:w w:val="97"/>
              </w:rPr>
              <w:t>ITEM 6.</w:t>
            </w:r>
          </w:p>
        </w:tc>
        <w:tc>
          <w:tcPr>
            <w:tcW w:w="1180" w:type="dxa"/>
            <w:vAlign w:val="bottom"/>
            <w:gridSpan w:val="4"/>
          </w:tcPr>
          <w:p>
            <w:pPr>
              <w:spacing w:after="0"/>
              <w:rPr>
                <w:sz w:val="24"/>
                <w:szCs w:val="24"/>
                <w:color w:val="auto"/>
              </w:rPr>
            </w:pPr>
          </w:p>
        </w:tc>
        <w:tc>
          <w:tcPr>
            <w:tcW w:w="852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600" w:type="dxa"/>
            <w:vAlign w:val="bottom"/>
            <w:gridSpan w:val="4"/>
          </w:tcPr>
          <w:p>
            <w:pPr>
              <w:jc w:val="center"/>
              <w:ind w:left="334"/>
              <w:spacing w:after="0"/>
              <w:rPr>
                <w:sz w:val="20"/>
                <w:szCs w:val="20"/>
                <w:color w:val="auto"/>
              </w:rPr>
            </w:pPr>
            <w:r>
              <w:rPr>
                <w:rFonts w:ascii="Arial" w:cs="Arial" w:eastAsia="Arial" w:hAnsi="Arial"/>
                <w:sz w:val="17"/>
                <w:szCs w:val="17"/>
                <w:color w:val="0000FF"/>
                <w:w w:val="94"/>
              </w:rPr>
              <w:t>62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4"/>
              </w:rPr>
              <w:t>SIGNATURE</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31" w:right="65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185"/>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40" w:type="dxa"/>
            <w:vAlign w:val="bottom"/>
          </w:tcPr>
          <w:p>
            <w:pPr>
              <w:ind w:left="120"/>
              <w:spacing w:after="0"/>
              <w:rPr>
                <w:sz w:val="20"/>
                <w:szCs w:val="20"/>
                <w:color w:val="auto"/>
              </w:rPr>
            </w:pPr>
            <w:r>
              <w:rPr>
                <w:rFonts w:ascii="Arial" w:cs="Arial" w:eastAsia="Arial" w:hAnsi="Arial"/>
                <w:sz w:val="17"/>
                <w:szCs w:val="17"/>
                <w:color w:val="auto"/>
              </w:rPr>
              <w:t>Real estate investments, net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8,226,303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7,707,935</w:t>
            </w: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in leases, financing receivables,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1,903,195</w:t>
            </w:r>
          </w:p>
        </w:tc>
      </w:tr>
      <w:tr>
        <w:trPr>
          <w:trHeight w:val="218"/>
        </w:trPr>
        <w:tc>
          <w:tcPr>
            <w:tcW w:w="8240" w:type="dxa"/>
            <w:vAlign w:val="bottom"/>
          </w:tcPr>
          <w:p>
            <w:pPr>
              <w:ind w:left="120"/>
              <w:spacing w:after="0"/>
              <w:rPr>
                <w:sz w:val="20"/>
                <w:szCs w:val="20"/>
                <w:color w:val="auto"/>
              </w:rPr>
            </w:pPr>
            <w:r>
              <w:rPr>
                <w:rFonts w:ascii="Arial" w:cs="Arial" w:eastAsia="Arial" w:hAnsi="Arial"/>
                <w:sz w:val="17"/>
                <w:szCs w:val="17"/>
                <w:color w:val="auto"/>
              </w:rPr>
              <w:t>Real estate loans,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Right-of-use assets and land rights,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834,067</w:t>
            </w:r>
          </w:p>
        </w:tc>
      </w:tr>
      <w:tr>
        <w:trPr>
          <w:trHeight w:val="218"/>
        </w:trPr>
        <w:tc>
          <w:tcPr>
            <w:tcW w:w="824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81,149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239,083</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246,106</w:t>
            </w:r>
          </w:p>
        </w:tc>
      </w:tr>
      <w:tr>
        <w:trPr>
          <w:trHeight w:val="213"/>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11,235,621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10,930,386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8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9"/>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6,561</w:t>
            </w:r>
          </w:p>
        </w:tc>
      </w:tr>
      <w:tr>
        <w:trPr>
          <w:trHeight w:val="218"/>
        </w:trPr>
        <w:tc>
          <w:tcPr>
            <w:tcW w:w="8240" w:type="dxa"/>
            <w:vAlign w:val="bottom"/>
          </w:tcPr>
          <w:p>
            <w:pPr>
              <w:ind w:left="120"/>
              <w:spacing w:after="0"/>
              <w:rPr>
                <w:sz w:val="20"/>
                <w:szCs w:val="20"/>
                <w:color w:val="auto"/>
              </w:rPr>
            </w:pPr>
            <w:r>
              <w:rPr>
                <w:rFonts w:ascii="Arial" w:cs="Arial" w:eastAsia="Arial" w:hAnsi="Arial"/>
                <w:sz w:val="17"/>
                <w:szCs w:val="17"/>
                <w:color w:val="auto"/>
              </w:rPr>
              <w:t>Accrued interest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82,297</w:t>
            </w: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salaries and wages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6,742</w:t>
            </w:r>
          </w:p>
        </w:tc>
      </w:tr>
      <w:tr>
        <w:trPr>
          <w:trHeight w:val="218"/>
        </w:trPr>
        <w:tc>
          <w:tcPr>
            <w:tcW w:w="8240" w:type="dxa"/>
            <w:vAlign w:val="bottom"/>
          </w:tcPr>
          <w:p>
            <w:pPr>
              <w:ind w:left="120"/>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197,373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181,965</w:t>
            </w: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53,792</w:t>
            </w:r>
          </w:p>
        </w:tc>
      </w:tr>
      <w:tr>
        <w:trPr>
          <w:trHeight w:val="218"/>
        </w:trPr>
        <w:tc>
          <w:tcPr>
            <w:tcW w:w="8240" w:type="dxa"/>
            <w:vAlign w:val="bottom"/>
          </w:tcPr>
          <w:p>
            <w:pPr>
              <w:ind w:left="120"/>
              <w:spacing w:after="0"/>
              <w:rPr>
                <w:sz w:val="20"/>
                <w:szCs w:val="20"/>
                <w:color w:val="auto"/>
              </w:rPr>
            </w:pPr>
            <w:r>
              <w:rPr>
                <w:rFonts w:ascii="Arial" w:cs="Arial" w:eastAsia="Arial" w:hAnsi="Arial"/>
                <w:sz w:val="17"/>
                <w:szCs w:val="17"/>
                <w:color w:val="auto"/>
              </w:rPr>
              <w:t>Long-term debt, net of unamortized debt issuance costs, bond premiums and original issuance discounts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6,246,206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6,128,468</w:t>
            </w: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rental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324,774</w:t>
            </w:r>
          </w:p>
        </w:tc>
      </w:tr>
      <w:tr>
        <w:trPr>
          <w:trHeight w:val="21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27,691</w:t>
            </w:r>
          </w:p>
        </w:tc>
      </w:tr>
      <w:tr>
        <w:trPr>
          <w:trHeight w:val="212"/>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6,925,411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6,812,290</w:t>
            </w:r>
          </w:p>
        </w:tc>
      </w:tr>
      <w:tr>
        <w:trPr>
          <w:trHeight w:val="187"/>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6"/>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8"/>
        </w:trPr>
        <w:tc>
          <w:tcPr>
            <w:tcW w:w="8240" w:type="dxa"/>
            <w:vAlign w:val="bottom"/>
            <w:shd w:val="clear" w:color="auto" w:fill="CCEEFF"/>
          </w:tcPr>
          <w:p>
            <w:pPr>
              <w:ind w:left="120"/>
              <w:spacing w:after="0" w:line="168" w:lineRule="exact"/>
              <w:rPr>
                <w:sz w:val="20"/>
                <w:szCs w:val="20"/>
                <w:color w:val="auto"/>
              </w:rPr>
            </w:pPr>
            <w:r>
              <w:rPr>
                <w:rFonts w:ascii="Arial" w:cs="Arial" w:eastAsia="Arial" w:hAnsi="Arial"/>
                <w:sz w:val="17"/>
                <w:szCs w:val="17"/>
                <w:color w:val="auto"/>
                <w:w w:val="90"/>
              </w:rPr>
              <w:t>Preferred stock ($.01 par value, 50,000,000 shares authorized, no shares issued or outstanding at September 30, 2023</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2"/>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and December 31, 2022)</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68"/>
        </w:trPr>
        <w:tc>
          <w:tcPr>
            <w:tcW w:w="8240" w:type="dxa"/>
            <w:vAlign w:val="bottom"/>
          </w:tcPr>
          <w:p>
            <w:pPr>
              <w:ind w:left="120"/>
              <w:spacing w:after="0" w:line="168" w:lineRule="exact"/>
              <w:rPr>
                <w:sz w:val="20"/>
                <w:szCs w:val="20"/>
                <w:color w:val="auto"/>
              </w:rPr>
            </w:pPr>
            <w:r>
              <w:rPr>
                <w:rFonts w:ascii="Arial" w:cs="Arial" w:eastAsia="Arial" w:hAnsi="Arial"/>
                <w:sz w:val="17"/>
                <w:szCs w:val="17"/>
                <w:color w:val="auto"/>
                <w:w w:val="94"/>
              </w:rPr>
              <w:t>Common stock ($.01 par value, 500,000,000 shares authorized, 267,015,730 and 260,727,030 shares issued and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1"/>
        </w:trPr>
        <w:tc>
          <w:tcPr>
            <w:tcW w:w="8240" w:type="dxa"/>
            <w:vAlign w:val="bottom"/>
          </w:tcPr>
          <w:p>
            <w:pPr>
              <w:ind w:left="120"/>
              <w:spacing w:after="0"/>
              <w:rPr>
                <w:sz w:val="20"/>
                <w:szCs w:val="20"/>
                <w:color w:val="auto"/>
              </w:rPr>
            </w:pPr>
            <w:r>
              <w:rPr>
                <w:rFonts w:ascii="Arial" w:cs="Arial" w:eastAsia="Arial" w:hAnsi="Arial"/>
                <w:sz w:val="17"/>
                <w:szCs w:val="17"/>
                <w:color w:val="auto"/>
              </w:rPr>
              <w:t>outstanding at September 30, 2023 and December 31, 2022, respectively)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2,607</w:t>
            </w:r>
          </w:p>
        </w:tc>
      </w:tr>
      <w:tr>
        <w:trPr>
          <w:trHeight w:val="22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5,573,567</w:t>
            </w:r>
          </w:p>
        </w:tc>
      </w:tr>
      <w:tr>
        <w:trPr>
          <w:trHeight w:val="218"/>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(1,911,623)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(1,798,216)</w:t>
            </w:r>
          </w:p>
        </w:tc>
      </w:tr>
      <w:tr>
        <w:trPr>
          <w:trHeight w:val="213"/>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equity attributable to Gaming and Leisure Properties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3,958,538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3,777,958</w:t>
            </w:r>
          </w:p>
        </w:tc>
      </w:tr>
      <w:tr>
        <w:trPr>
          <w:trHeight w:val="168"/>
        </w:trPr>
        <w:tc>
          <w:tcPr>
            <w:tcW w:w="8240" w:type="dxa"/>
            <w:vAlign w:val="bottom"/>
          </w:tcPr>
          <w:p>
            <w:pPr>
              <w:ind w:left="100"/>
              <w:spacing w:after="0" w:line="168" w:lineRule="exact"/>
              <w:rPr>
                <w:sz w:val="20"/>
                <w:szCs w:val="20"/>
                <w:color w:val="auto"/>
              </w:rPr>
            </w:pPr>
            <w:r>
              <w:rPr>
                <w:rFonts w:ascii="Arial" w:cs="Arial" w:eastAsia="Arial" w:hAnsi="Arial"/>
                <w:sz w:val="17"/>
                <w:szCs w:val="17"/>
                <w:color w:val="auto"/>
                <w:w w:val="99"/>
              </w:rPr>
              <w:t>Noncontrolling interests in GLPI's Operating Partnership (7,653,326 units and 7,366,683 units outstanding at</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1"/>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September 30, 2023 and December 31, 2022, respectively)</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351,672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340,138</w:t>
            </w:r>
          </w:p>
        </w:tc>
      </w:tr>
      <w:tr>
        <w:trPr>
          <w:trHeight w:val="212"/>
        </w:trPr>
        <w:tc>
          <w:tcPr>
            <w:tcW w:w="8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4,310,210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4,118,096</w:t>
            </w:r>
          </w:p>
        </w:tc>
      </w:tr>
      <w:tr>
        <w:trPr>
          <w:trHeight w:val="213"/>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equity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11,235,621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10,930,386</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5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9"/>
        </w:trPr>
        <w:tc>
          <w:tcPr>
            <w:tcW w:w="5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06"/>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Rental income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321,206</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296,779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958,410</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874,130</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 from investment in leases, financing receivables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101,167</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Interest income from real estate loans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income from real estate</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359,560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1,071,363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975,297</w:t>
            </w:r>
          </w:p>
        </w:tc>
      </w:tr>
      <w:tr>
        <w:trPr>
          <w:trHeight w:val="206"/>
        </w:trPr>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Land rights and ground lease expense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12,406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37,178</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40,004</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Gains from dispositions of property</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(67,481)</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transfer tax recovery and impairment charge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65,846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197,131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178,980</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(benefit) for credit losses, net</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28,859</w:t>
            </w:r>
          </w:p>
        </w:tc>
      </w:tr>
      <w:tr>
        <w:trPr>
          <w:trHeight w:val="211"/>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91,256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220,838</w:t>
            </w: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268,304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317,566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773,428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754,459</w:t>
            </w:r>
          </w:p>
        </w:tc>
      </w:tr>
      <w:tr>
        <w:trPr>
          <w:trHeight w:val="187"/>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(79,788)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(76,574)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(240,519)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(232,753)</w:t>
            </w:r>
          </w:p>
        </w:tc>
      </w:tr>
      <w:tr>
        <w:trPr>
          <w:trHeight w:val="220"/>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Losses on debt extinguishment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(2,189)</w:t>
            </w:r>
          </w:p>
        </w:tc>
      </w:tr>
      <w:tr>
        <w:trPr>
          <w:trHeight w:val="212"/>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(78,515)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(234,274)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(234,330)</w:t>
            </w:r>
          </w:p>
        </w:tc>
      </w:tr>
      <w:tr>
        <w:trPr>
          <w:trHeight w:val="226"/>
        </w:trPr>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520,129</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16,431</w:t>
            </w: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503,698</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4"/>
              </w:rPr>
              <w:t>Net income attributable to non-controlling interest in the Operating Partnership</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(13,162)</w:t>
            </w:r>
          </w:p>
        </w:tc>
      </w:tr>
      <w:tr>
        <w:trPr>
          <w:trHeight w:val="23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common shareholders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522,991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490,536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Basic earnings attributable to common shareholders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attributable to common shareholders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Changes in Equity</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 thousands, except share data)</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93" w:lineRule="exact"/>
        <w:rPr>
          <w:sz w:val="20"/>
          <w:szCs w:val="20"/>
          <w:color w:val="auto"/>
        </w:rPr>
      </w:pPr>
    </w:p>
    <w:tbl>
      <w:tblPr>
        <w:tblLayout w:type="fixed"/>
        <w:tblInd w:w="48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2580" w:type="dxa"/>
            <w:vAlign w:val="bottom"/>
            <w:gridSpan w:val="5"/>
          </w:tcPr>
          <w:p>
            <w:pPr>
              <w:ind w:left="7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Noncontrolling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Interest Operating</w:t>
            </w: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Partnership</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260,727,030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5,573,567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(1,798,216)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340,138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4,118,096</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w w:val="98"/>
              </w:rPr>
              <w:t>Issuance of common stock, net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tcPr>
          <w:p>
            <w:pPr>
              <w:jc w:val="right"/>
              <w:spacing w:after="0"/>
              <w:rPr>
                <w:sz w:val="20"/>
                <w:szCs w:val="20"/>
                <w:color w:val="auto"/>
              </w:rPr>
            </w:pPr>
            <w:r>
              <w:rPr>
                <w:rFonts w:ascii="Arial" w:cs="Arial" w:eastAsia="Arial" w:hAnsi="Arial"/>
                <w:sz w:val="17"/>
                <w:szCs w:val="17"/>
                <w:color w:val="auto"/>
              </w:rPr>
              <w:t>1,284,556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64,329</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w w:val="94"/>
              </w:rPr>
              <w:t>Dividends paid ($0.97 per common</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share)</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(254,778)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(254,778)</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w w:val="99"/>
              </w:rPr>
              <w:t>Issuance of operating partnership</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14,931</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(7,424)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(7,424)</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188,670</w:t>
            </w:r>
          </w:p>
        </w:tc>
        <w:tc>
          <w:tcPr>
            <w:tcW w:w="0" w:type="dxa"/>
            <w:vAlign w:val="bottom"/>
          </w:tcPr>
          <w:p>
            <w:pPr>
              <w:spacing w:after="0"/>
              <w:rPr>
                <w:sz w:val="1"/>
                <w:szCs w:val="1"/>
                <w:color w:val="auto"/>
              </w:rPr>
            </w:pPr>
          </w:p>
        </w:tc>
      </w:tr>
      <w:tr>
        <w:trPr>
          <w:trHeight w:val="211"/>
        </w:trPr>
        <w:tc>
          <w:tcPr>
            <w:tcW w:w="2680" w:type="dxa"/>
            <w:vAlign w:val="bottom"/>
          </w:tcPr>
          <w:p>
            <w:pPr>
              <w:ind w:left="20"/>
              <w:spacing w:after="0"/>
              <w:rPr>
                <w:sz w:val="20"/>
                <w:szCs w:val="20"/>
                <w:color w:val="auto"/>
              </w:rPr>
            </w:pPr>
            <w:r>
              <w:rPr>
                <w:rFonts w:ascii="Arial" w:cs="Arial" w:eastAsia="Arial" w:hAnsi="Arial"/>
                <w:sz w:val="17"/>
                <w:szCs w:val="17"/>
                <w:color w:val="auto"/>
              </w:rPr>
              <w:t>Balance, March 31, 2023</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262,355,725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5,632,246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(1,869,643)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352,964</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4,118,191</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w w:val="98"/>
              </w:rPr>
              <w:t>Issuance of common stock, net of</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14,355</w:t>
            </w:r>
          </w:p>
        </w:tc>
        <w:tc>
          <w:tcPr>
            <w:tcW w:w="0" w:type="dxa"/>
            <w:vAlign w:val="bottom"/>
          </w:tcPr>
          <w:p>
            <w:pPr>
              <w:spacing w:after="0"/>
              <w:rPr>
                <w:sz w:val="1"/>
                <w:szCs w:val="1"/>
                <w:color w:val="auto"/>
              </w:rPr>
            </w:pPr>
          </w:p>
        </w:tc>
      </w:tr>
      <w:tr>
        <w:trPr>
          <w:trHeight w:val="218"/>
        </w:trPr>
        <w:tc>
          <w:tcPr>
            <w:tcW w:w="2680" w:type="dxa"/>
            <w:vAlign w:val="bottom"/>
          </w:tcPr>
          <w:p>
            <w:pPr>
              <w:ind w:left="160"/>
              <w:spacing w:after="0"/>
              <w:rPr>
                <w:sz w:val="20"/>
                <w:szCs w:val="20"/>
                <w:color w:val="auto"/>
              </w:rPr>
            </w:pPr>
            <w:r>
              <w:rPr>
                <w:rFonts w:ascii="Arial" w:cs="Arial" w:eastAsia="Arial" w:hAnsi="Arial"/>
                <w:sz w:val="17"/>
                <w:szCs w:val="17"/>
                <w:color w:val="auto"/>
              </w:rPr>
              <w:t>Restricted stock activity</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5,013</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w w:val="93"/>
              </w:rPr>
              <w:t>Dividends paid ( $0.72 per common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(189,313)</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(5,509)</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160,137</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7"/>
                <w:szCs w:val="17"/>
                <w:color w:val="auto"/>
              </w:rPr>
              <w:t>Balance, June 30,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262,640,178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5,651,612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(1,903,326)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351,962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4,102,874</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80" w:type="dxa"/>
            <w:vAlign w:val="bottom"/>
            <w:shd w:val="clear" w:color="auto" w:fill="CCEEFF"/>
          </w:tcPr>
          <w:p>
            <w:pPr>
              <w:ind w:left="160"/>
              <w:spacing w:after="0" w:line="134" w:lineRule="exact"/>
              <w:rPr>
                <w:sz w:val="20"/>
                <w:szCs w:val="20"/>
                <w:color w:val="auto"/>
              </w:rPr>
            </w:pPr>
            <w:r>
              <w:rPr>
                <w:rFonts w:ascii="Arial" w:cs="Arial" w:eastAsia="Arial" w:hAnsi="Arial"/>
                <w:sz w:val="15"/>
                <w:szCs w:val="15"/>
                <w:color w:val="auto"/>
              </w:rPr>
              <w:t>Issuance of common stock, net of</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4,371,624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210,787</w:t>
            </w:r>
          </w:p>
        </w:tc>
        <w:tc>
          <w:tcPr>
            <w:tcW w:w="0" w:type="dxa"/>
            <w:vAlign w:val="bottom"/>
          </w:tcPr>
          <w:p>
            <w:pPr>
              <w:spacing w:after="0"/>
              <w:rPr>
                <w:sz w:val="1"/>
                <w:szCs w:val="1"/>
                <w:color w:val="auto"/>
              </w:rPr>
            </w:pPr>
          </w:p>
        </w:tc>
      </w:tr>
      <w:tr>
        <w:trPr>
          <w:trHeight w:val="218"/>
        </w:trPr>
        <w:tc>
          <w:tcPr>
            <w:tcW w:w="2680" w:type="dxa"/>
            <w:vAlign w:val="bottom"/>
          </w:tcPr>
          <w:p>
            <w:pPr>
              <w:ind w:left="160"/>
              <w:spacing w:after="0"/>
              <w:rPr>
                <w:sz w:val="20"/>
                <w:szCs w:val="20"/>
                <w:color w:val="auto"/>
              </w:rPr>
            </w:pPr>
            <w:r>
              <w:rPr>
                <w:rFonts w:ascii="Arial" w:cs="Arial" w:eastAsia="Arial" w:hAnsi="Arial"/>
                <w:sz w:val="17"/>
                <w:szCs w:val="17"/>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7"/>
                <w:szCs w:val="17"/>
                <w:color w:val="auto"/>
              </w:rPr>
              <w:t>3,928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5,136</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w w:val="94"/>
              </w:rPr>
              <w:t>Dividends paid ($0.73 per common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(192,307)</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(5,587)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184,010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189,307</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7"/>
                <w:szCs w:val="17"/>
                <w:color w:val="auto"/>
              </w:rPr>
              <w:t>Balance, September 30, 2023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267,015,730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5,867,491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(1,911,623)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351,672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4,310,210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248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8"/>
              </w:rPr>
              <w:t>Noncontrolling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2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12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96"/>
              <w:spacing w:after="0" w:line="13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1"/>
              </w:rPr>
              <w:t>Interest Operating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Partnership</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247,206,937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4,953,943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(1,771,402)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3,390,140</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w w:val="98"/>
              </w:rPr>
              <w:t>Issuance of common stock, net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w w:val="94"/>
              </w:rPr>
              <w:t>Dividends paid ($0.69 per common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share)</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(171,005)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(171,005)</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w w:val="99"/>
              </w:rPr>
              <w:t>Issuance of operating partnership</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137,043</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(5,083)</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121,692</w:t>
            </w:r>
          </w:p>
        </w:tc>
        <w:tc>
          <w:tcPr>
            <w:tcW w:w="0" w:type="dxa"/>
            <w:vAlign w:val="bottom"/>
          </w:tcPr>
          <w:p>
            <w:pPr>
              <w:spacing w:after="0"/>
              <w:rPr>
                <w:sz w:val="1"/>
                <w:szCs w:val="1"/>
                <w:color w:val="auto"/>
              </w:rPr>
            </w:pPr>
          </w:p>
        </w:tc>
      </w:tr>
      <w:tr>
        <w:trPr>
          <w:trHeight w:val="211"/>
        </w:trPr>
        <w:tc>
          <w:tcPr>
            <w:tcW w:w="2680" w:type="dxa"/>
            <w:vAlign w:val="bottom"/>
          </w:tcPr>
          <w:p>
            <w:pPr>
              <w:ind w:left="20"/>
              <w:spacing w:after="0"/>
              <w:rPr>
                <w:sz w:val="20"/>
                <w:szCs w:val="20"/>
                <w:color w:val="auto"/>
              </w:rPr>
            </w:pPr>
            <w:r>
              <w:rPr>
                <w:rFonts w:ascii="Arial" w:cs="Arial" w:eastAsia="Arial" w:hAnsi="Arial"/>
                <w:sz w:val="17"/>
                <w:szCs w:val="17"/>
                <w:color w:val="auto"/>
              </w:rPr>
              <w:t>Balance, March 31, 2022</w:t>
            </w:r>
          </w:p>
        </w:tc>
        <w:tc>
          <w:tcPr>
            <w:tcW w:w="1200" w:type="dxa"/>
            <w:vAlign w:val="bottom"/>
          </w:tcPr>
          <w:p>
            <w:pPr>
              <w:jc w:val="right"/>
              <w:spacing w:after="0"/>
              <w:rPr>
                <w:sz w:val="20"/>
                <w:szCs w:val="20"/>
                <w:color w:val="auto"/>
              </w:rPr>
            </w:pPr>
            <w:r>
              <w:rPr>
                <w:rFonts w:ascii="Arial" w:cs="Arial" w:eastAsia="Arial" w:hAnsi="Arial"/>
                <w:sz w:val="17"/>
                <w:szCs w:val="17"/>
                <w:color w:val="auto"/>
              </w:rPr>
              <w:t>247,544,343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2,475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4,949,638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(1,823,139)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339,511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3,468,485</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4,308</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Dividends paid ( $0.705 per</w:t>
            </w:r>
          </w:p>
        </w:tc>
        <w:tc>
          <w:tcPr>
            <w:tcW w:w="120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tcPr>
          <w:p>
            <w:pPr>
              <w:ind w:left="20"/>
              <w:spacing w:after="0"/>
              <w:rPr>
                <w:sz w:val="20"/>
                <w:szCs w:val="20"/>
                <w:color w:val="auto"/>
              </w:rPr>
            </w:pPr>
            <w:r>
              <w:rPr>
                <w:rFonts w:ascii="Arial" w:cs="Arial" w:eastAsia="Arial" w:hAnsi="Arial"/>
                <w:sz w:val="17"/>
                <w:szCs w:val="17"/>
                <w:color w:val="auto"/>
              </w:rPr>
              <w:t>common share)</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(174,724)</w:t>
            </w:r>
          </w:p>
        </w:tc>
        <w:tc>
          <w:tcPr>
            <w:tcW w:w="8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(174,724)</w:t>
            </w:r>
          </w:p>
        </w:tc>
        <w:tc>
          <w:tcPr>
            <w:tcW w:w="0" w:type="dxa"/>
            <w:vAlign w:val="bottom"/>
          </w:tcPr>
          <w:p>
            <w:pPr>
              <w:spacing w:after="0"/>
              <w:rPr>
                <w:sz w:val="1"/>
                <w:szCs w:val="1"/>
                <w:color w:val="auto"/>
              </w:rPr>
            </w:pPr>
          </w:p>
        </w:tc>
      </w:tr>
      <w:tr>
        <w:trPr>
          <w:trHeight w:val="168"/>
        </w:trPr>
        <w:tc>
          <w:tcPr>
            <w:tcW w:w="2680" w:type="dxa"/>
            <w:vAlign w:val="bottom"/>
            <w:shd w:val="clear" w:color="auto" w:fill="CCEEFF"/>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(5,194)</w:t>
            </w:r>
          </w:p>
        </w:tc>
        <w:tc>
          <w:tcPr>
            <w:tcW w:w="0" w:type="dxa"/>
            <w:vAlign w:val="bottom"/>
          </w:tcPr>
          <w:p>
            <w:pPr>
              <w:spacing w:after="0"/>
              <w:rPr>
                <w:sz w:val="1"/>
                <w:szCs w:val="1"/>
                <w:color w:val="auto"/>
              </w:rPr>
            </w:pPr>
          </w:p>
        </w:tc>
      </w:tr>
      <w:tr>
        <w:trPr>
          <w:trHeight w:val="220"/>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155,787</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7"/>
                <w:szCs w:val="17"/>
                <w:color w:val="auto"/>
              </w:rPr>
              <w:t>Balance, June 30, 2022</w:t>
            </w:r>
          </w:p>
        </w:tc>
        <w:tc>
          <w:tcPr>
            <w:tcW w:w="1200" w:type="dxa"/>
            <w:vAlign w:val="bottom"/>
          </w:tcPr>
          <w:p>
            <w:pPr>
              <w:jc w:val="right"/>
              <w:spacing w:after="0"/>
              <w:rPr>
                <w:sz w:val="20"/>
                <w:szCs w:val="20"/>
                <w:color w:val="auto"/>
              </w:rPr>
            </w:pPr>
            <w:r>
              <w:rPr>
                <w:rFonts w:ascii="Arial" w:cs="Arial" w:eastAsia="Arial" w:hAnsi="Arial"/>
                <w:sz w:val="17"/>
                <w:szCs w:val="17"/>
                <w:color w:val="auto"/>
              </w:rPr>
              <w:t>247,544,343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2,475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4,953,946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(1,846,549)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338,790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3,448,662</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80" w:type="dxa"/>
            <w:vAlign w:val="bottom"/>
            <w:shd w:val="clear" w:color="auto" w:fill="CCEEFF"/>
          </w:tcPr>
          <w:p>
            <w:pPr>
              <w:ind w:left="160"/>
              <w:spacing w:after="0" w:line="134" w:lineRule="exact"/>
              <w:rPr>
                <w:sz w:val="20"/>
                <w:szCs w:val="20"/>
                <w:color w:val="auto"/>
              </w:rPr>
            </w:pPr>
            <w:r>
              <w:rPr>
                <w:rFonts w:ascii="Arial" w:cs="Arial" w:eastAsia="Arial" w:hAnsi="Arial"/>
                <w:sz w:val="15"/>
                <w:szCs w:val="15"/>
                <w:color w:val="auto"/>
              </w:rPr>
              <w:t>Issuance of common stock, net of</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9,969,723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455,133</w:t>
            </w:r>
          </w:p>
        </w:tc>
        <w:tc>
          <w:tcPr>
            <w:tcW w:w="0" w:type="dxa"/>
            <w:vAlign w:val="bottom"/>
          </w:tcPr>
          <w:p>
            <w:pPr>
              <w:spacing w:after="0"/>
              <w:rPr>
                <w:sz w:val="1"/>
                <w:szCs w:val="1"/>
                <w:color w:val="auto"/>
              </w:rPr>
            </w:pPr>
          </w:p>
        </w:tc>
      </w:tr>
      <w:tr>
        <w:trPr>
          <w:trHeight w:val="218"/>
        </w:trPr>
        <w:tc>
          <w:tcPr>
            <w:tcW w:w="2680" w:type="dxa"/>
            <w:vAlign w:val="bottom"/>
          </w:tcPr>
          <w:p>
            <w:pPr>
              <w:ind w:left="160"/>
              <w:spacing w:after="0"/>
              <w:rPr>
                <w:sz w:val="20"/>
                <w:szCs w:val="20"/>
                <w:color w:val="auto"/>
              </w:rPr>
            </w:pPr>
            <w:r>
              <w:rPr>
                <w:rFonts w:ascii="Arial" w:cs="Arial" w:eastAsia="Arial" w:hAnsi="Arial"/>
                <w:sz w:val="17"/>
                <w:szCs w:val="17"/>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7"/>
                <w:szCs w:val="17"/>
                <w:color w:val="auto"/>
              </w:rPr>
              <w:t>2,859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4,277</w:t>
            </w: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Dividends paid ( $0.705 per</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share)</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(181,751)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(181,751)</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(5,193)</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226,219</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7"/>
                <w:szCs w:val="17"/>
                <w:color w:val="auto"/>
              </w:rPr>
              <w:t>Balance, September 30, 2022</w:t>
            </w:r>
          </w:p>
        </w:tc>
        <w:tc>
          <w:tcPr>
            <w:tcW w:w="1200" w:type="dxa"/>
            <w:vAlign w:val="bottom"/>
          </w:tcPr>
          <w:p>
            <w:pPr>
              <w:jc w:val="right"/>
              <w:spacing w:after="0"/>
              <w:rPr>
                <w:sz w:val="20"/>
                <w:szCs w:val="20"/>
                <w:color w:val="auto"/>
              </w:rPr>
            </w:pPr>
            <w:r>
              <w:rPr>
                <w:rFonts w:ascii="Arial" w:cs="Arial" w:eastAsia="Arial" w:hAnsi="Arial"/>
                <w:sz w:val="17"/>
                <w:szCs w:val="17"/>
                <w:color w:val="auto"/>
              </w:rPr>
              <w:t>257,516,925</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2,575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5,413,256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(1,808,346)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339,862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3,947,347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31" w:right="77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4"/>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5"/>
        </w:trPr>
        <w:tc>
          <w:tcPr>
            <w:tcW w:w="8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24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503,698</w:t>
            </w: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191,550</w:t>
            </w:r>
          </w:p>
        </w:tc>
      </w:tr>
      <w:tr>
        <w:trPr>
          <w:trHeight w:val="218"/>
        </w:trPr>
        <w:tc>
          <w:tcPr>
            <w:tcW w:w="8240" w:type="dxa"/>
            <w:vAlign w:val="bottom"/>
            <w:gridSpan w:val="2"/>
          </w:tcPr>
          <w:p>
            <w:pPr>
              <w:ind w:left="320"/>
              <w:spacing w:after="0"/>
              <w:rPr>
                <w:sz w:val="20"/>
                <w:szCs w:val="20"/>
                <w:color w:val="auto"/>
              </w:rPr>
            </w:pPr>
            <w:r>
              <w:rPr>
                <w:rFonts w:ascii="Arial" w:cs="Arial" w:eastAsia="Arial" w:hAnsi="Arial"/>
                <w:sz w:val="17"/>
                <w:szCs w:val="17"/>
                <w:color w:val="auto"/>
              </w:rPr>
              <w:t>Amortization of debt issuance costs, bond premiums and original issuance discounts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7,598</w:t>
            </w: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Accretion on financing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(14,103)</w:t>
            </w:r>
          </w:p>
        </w:tc>
      </w:tr>
      <w:tr>
        <w:trPr>
          <w:trHeight w:val="218"/>
        </w:trPr>
        <w:tc>
          <w:tcPr>
            <w:tcW w:w="8240" w:type="dxa"/>
            <w:vAlign w:val="bottom"/>
            <w:gridSpan w:val="2"/>
          </w:tcPr>
          <w:p>
            <w:pPr>
              <w:ind w:left="320"/>
              <w:spacing w:after="0"/>
              <w:rPr>
                <w:sz w:val="20"/>
                <w:szCs w:val="20"/>
                <w:color w:val="auto"/>
              </w:rPr>
            </w:pPr>
            <w:r>
              <w:rPr>
                <w:rFonts w:ascii="Arial" w:cs="Arial" w:eastAsia="Arial" w:hAnsi="Arial"/>
                <w:sz w:val="17"/>
                <w:szCs w:val="17"/>
                <w:color w:val="auto"/>
              </w:rPr>
              <w:t>Non-cash adjustment to financing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360</w:t>
            </w: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Gains from dispositions of property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(67,481)</w:t>
            </w:r>
          </w:p>
        </w:tc>
      </w:tr>
      <w:tr>
        <w:trPr>
          <w:trHeight w:val="218"/>
        </w:trPr>
        <w:tc>
          <w:tcPr>
            <w:tcW w:w="8240" w:type="dxa"/>
            <w:vAlign w:val="bottom"/>
            <w:gridSpan w:val="2"/>
          </w:tcPr>
          <w:p>
            <w:pPr>
              <w:ind w:left="320"/>
              <w:spacing w:after="0"/>
              <w:rPr>
                <w:sz w:val="20"/>
                <w:szCs w:val="20"/>
                <w:color w:val="auto"/>
              </w:rPr>
            </w:pPr>
            <w:r>
              <w:rPr>
                <w:rFonts w:ascii="Arial" w:cs="Arial" w:eastAsia="Arial" w:hAnsi="Arial"/>
                <w:sz w:val="17"/>
                <w:szCs w:val="17"/>
                <w:color w:val="auto"/>
              </w:rPr>
              <w:t>Stock-based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16,244</w:t>
            </w: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Straight-line rent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r>
      <w:tr>
        <w:trPr>
          <w:trHeight w:val="218"/>
        </w:trPr>
        <w:tc>
          <w:tcPr>
            <w:tcW w:w="8240" w:type="dxa"/>
            <w:vAlign w:val="bottom"/>
            <w:gridSpan w:val="2"/>
          </w:tcPr>
          <w:p>
            <w:pPr>
              <w:ind w:left="320"/>
              <w:spacing w:after="0"/>
              <w:rPr>
                <w:sz w:val="20"/>
                <w:szCs w:val="20"/>
                <w:color w:val="auto"/>
              </w:rPr>
            </w:pPr>
            <w:r>
              <w:rPr>
                <w:rFonts w:ascii="Arial" w:cs="Arial" w:eastAsia="Arial" w:hAnsi="Arial"/>
                <w:sz w:val="17"/>
                <w:szCs w:val="17"/>
                <w:color w:val="auto"/>
              </w:rPr>
              <w:t>Impairment charge</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3,298</w:t>
            </w: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Losses on debt extinguishment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r>
      <w:tr>
        <w:trPr>
          <w:trHeight w:val="218"/>
        </w:trPr>
        <w:tc>
          <w:tcPr>
            <w:tcW w:w="8240" w:type="dxa"/>
            <w:vAlign w:val="bottom"/>
            <w:gridSpan w:val="2"/>
          </w:tcPr>
          <w:p>
            <w:pPr>
              <w:ind w:left="320"/>
              <w:spacing w:after="0"/>
              <w:rPr>
                <w:sz w:val="20"/>
                <w:szCs w:val="20"/>
                <w:color w:val="auto"/>
              </w:rPr>
            </w:pPr>
            <w:r>
              <w:rPr>
                <w:rFonts w:ascii="Arial" w:cs="Arial" w:eastAsia="Arial" w:hAnsi="Arial"/>
                <w:sz w:val="17"/>
                <w:szCs w:val="17"/>
                <w:color w:val="auto"/>
              </w:rPr>
              <w:t>Provision for credit losses,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24,012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28,859</w:t>
            </w: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(Increase), decrease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240" w:type="dxa"/>
            <w:vAlign w:val="bottom"/>
            <w:gridSpan w:val="2"/>
          </w:tcPr>
          <w:p>
            <w:pPr>
              <w:ind w:left="520"/>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14,610</w:t>
            </w:r>
          </w:p>
        </w:tc>
      </w:tr>
      <w:tr>
        <w:trPr>
          <w:trHeight w:val="220"/>
        </w:trPr>
        <w:tc>
          <w:tcPr>
            <w:tcW w:w="8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Increase, (decrease)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240" w:type="dxa"/>
            <w:vAlign w:val="bottom"/>
            <w:gridSpan w:val="2"/>
          </w:tcPr>
          <w:p>
            <w:pPr>
              <w:ind w:left="520"/>
              <w:spacing w:after="0"/>
              <w:rPr>
                <w:sz w:val="20"/>
                <w:szCs w:val="20"/>
                <w:color w:val="auto"/>
              </w:rPr>
            </w:pPr>
            <w:r>
              <w:rPr>
                <w:rFonts w:ascii="Arial" w:cs="Arial" w:eastAsia="Arial" w:hAnsi="Arial"/>
                <w:sz w:val="17"/>
                <w:szCs w:val="17"/>
                <w:color w:val="auto"/>
              </w:rPr>
              <w:t>Accounts payable and accrued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562</w:t>
            </w:r>
          </w:p>
        </w:tc>
      </w:tr>
      <w:tr>
        <w:trPr>
          <w:trHeight w:val="220"/>
        </w:trPr>
        <w:tc>
          <w:tcPr>
            <w:tcW w:w="82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Accrued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14,847</w:t>
            </w:r>
          </w:p>
        </w:tc>
      </w:tr>
      <w:tr>
        <w:trPr>
          <w:trHeight w:val="218"/>
        </w:trPr>
        <w:tc>
          <w:tcPr>
            <w:tcW w:w="8240" w:type="dxa"/>
            <w:vAlign w:val="bottom"/>
            <w:gridSpan w:val="2"/>
          </w:tcPr>
          <w:p>
            <w:pPr>
              <w:ind w:left="520"/>
              <w:spacing w:after="0"/>
              <w:rPr>
                <w:sz w:val="20"/>
                <w:szCs w:val="20"/>
                <w:color w:val="auto"/>
              </w:rPr>
            </w:pPr>
            <w:r>
              <w:rPr>
                <w:rFonts w:ascii="Arial" w:cs="Arial" w:eastAsia="Arial" w:hAnsi="Arial"/>
                <w:sz w:val="17"/>
                <w:szCs w:val="17"/>
                <w:color w:val="auto"/>
              </w:rPr>
              <w:t>Accrued salaries and wages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(1,520)</w:t>
            </w:r>
          </w:p>
        </w:tc>
      </w:tr>
      <w:tr>
        <w:trPr>
          <w:trHeight w:val="220"/>
        </w:trPr>
        <w:tc>
          <w:tcPr>
            <w:tcW w:w="82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r>
      <w:tr>
        <w:trPr>
          <w:trHeight w:val="211"/>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746,376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699,466</w:t>
            </w:r>
          </w:p>
        </w:tc>
      </w:tr>
      <w:tr>
        <w:trPr>
          <w:trHeight w:val="20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Capital project expenditures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(39,534)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(16,393)</w:t>
            </w:r>
          </w:p>
        </w:tc>
      </w:tr>
      <w:tr>
        <w:trPr>
          <w:trHeight w:val="22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Capital maintenance expenditures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Proceeds from sales of property, net of costs</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148,709</w:t>
            </w:r>
          </w:p>
        </w:tc>
      </w:tr>
      <w:tr>
        <w:trPr>
          <w:trHeight w:val="22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Investment in leases, financing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(129,047)</w:t>
            </w: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Acquisition of real estate,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(455,556)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(350,126)</w:t>
            </w:r>
          </w:p>
        </w:tc>
      </w:tr>
      <w:tr>
        <w:trPr>
          <w:trHeight w:val="220"/>
        </w:trPr>
        <w:tc>
          <w:tcPr>
            <w:tcW w:w="8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Originations of real estate loans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(635,292)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(346,959)</w:t>
            </w:r>
          </w:p>
        </w:tc>
      </w:tr>
      <w:tr>
        <w:trPr>
          <w:trHeight w:val="20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Dividends paid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(636,398)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(586,871)</w:t>
            </w:r>
          </w:p>
        </w:tc>
      </w:tr>
      <w:tr>
        <w:trPr>
          <w:trHeight w:val="22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Non-controlling interest distributions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(15,470)</w:t>
            </w: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Taxes paid related to shares withheld for tax purposes on restricted stock award vestings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(11,926)</w:t>
            </w:r>
          </w:p>
        </w:tc>
      </w:tr>
      <w:tr>
        <w:trPr>
          <w:trHeight w:val="22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Proceeds from issuance of common stock,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455,098</w:t>
            </w: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Proceeds from issuance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424,000</w:t>
            </w:r>
          </w:p>
        </w:tc>
      </w:tr>
      <w:tr>
        <w:trPr>
          <w:trHeight w:val="22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(11,890)</w:t>
            </w:r>
          </w:p>
        </w:tc>
      </w:tr>
      <w:tr>
        <w:trPr>
          <w:trHeight w:val="218"/>
        </w:trPr>
        <w:tc>
          <w:tcPr>
            <w:tcW w:w="8240" w:type="dxa"/>
            <w:vAlign w:val="bottom"/>
            <w:gridSpan w:val="2"/>
          </w:tcPr>
          <w:p>
            <w:pPr>
              <w:ind w:left="120"/>
              <w:spacing w:after="0"/>
              <w:rPr>
                <w:sz w:val="20"/>
                <w:szCs w:val="20"/>
                <w:color w:val="auto"/>
              </w:rPr>
            </w:pPr>
            <w:r>
              <w:rPr>
                <w:rFonts w:ascii="Arial" w:cs="Arial" w:eastAsia="Arial" w:hAnsi="Arial"/>
                <w:sz w:val="17"/>
                <w:szCs w:val="17"/>
                <w:color w:val="auto"/>
              </w:rPr>
              <w:t>Repayments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(575,111)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(1,271,017)</w:t>
            </w:r>
          </w:p>
        </w:tc>
      </w:tr>
      <w:tr>
        <w:trPr>
          <w:trHeight w:val="220"/>
        </w:trPr>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Costs paid on senior unsecured note redemption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(269,018)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(1,018,076)</w:t>
            </w:r>
          </w:p>
        </w:tc>
      </w:tr>
      <w:tr>
        <w:trPr>
          <w:trHeight w:val="21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(665,569)</w:t>
            </w:r>
          </w:p>
        </w:tc>
      </w:tr>
      <w:tr>
        <w:trPr>
          <w:trHeight w:val="218"/>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239,083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724,595</w:t>
            </w:r>
          </w:p>
        </w:tc>
      </w:tr>
      <w:tr>
        <w:trPr>
          <w:trHeight w:val="23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See accompanying notes to the condensed consolidated financial statements and Note 14 for supplemental cash flow information and noncash investing and financing activities.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Operations</w:t>
      </w:r>
    </w:p>
    <w:p>
      <w:pPr>
        <w:spacing w:after="0" w:line="22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w:t>
      </w:r>
      <w:r>
        <w:rPr>
          <w:rFonts w:ascii="Arial" w:cs="Arial" w:eastAsia="Arial" w:hAnsi="Arial"/>
          <w:sz w:val="17"/>
          <w:szCs w:val="17"/>
          <w:color w:val="auto"/>
        </w:rPr>
        <w:t xml:space="preserve"> </w:t>
      </w:r>
      <w:r>
        <w:rPr>
          <w:rFonts w:ascii="Arial" w:cs="Arial" w:eastAsia="Arial" w:hAnsi="Arial"/>
          <w:sz w:val="17"/>
          <w:szCs w:val="17"/>
          <w:i w:val="1"/>
          <w:iCs w:val="1"/>
          <w:color w:val="auto"/>
        </w:rPr>
        <w:t>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0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LP., the operating partnership of GLPI ("GLP Capital").</w:t>
      </w:r>
    </w:p>
    <w:p>
      <w:pPr>
        <w:spacing w:after="0" w:line="18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6"/>
          <w:szCs w:val="16"/>
          <w:color w:val="auto"/>
        </w:rPr>
        <w:t>During 2020, the Company and Tropicana LV, LLC, a wholly owned subsidiary of the Company that at the time held the real estate of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and GLPI paid a special earnings and profits dividend of $0.25 per share in the first quarter of 2023 related to the sale of the building.</w:t>
      </w:r>
    </w:p>
    <w:p>
      <w:pPr>
        <w:spacing w:after="0" w:line="20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to be treated as a TRS effective December 23, 2021. On January 3, 2023, the Company issued 286,643 OP Units to affiliates of Bally's in connection with its acquisition of Bally's Hard Rock Hotel &amp; Casino ("Bally's Biloxi") and Bally's Tiverton Casino &amp; Hotel ("Bally's Tiverton").</w:t>
      </w:r>
    </w:p>
    <w:p>
      <w:pPr>
        <w:spacing w:after="0" w:line="19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GLPI’s primary business consists of acquiring, financing, and owning real estate property to be leased to gaming operators in triple-net lease arrangements. As of September 30, 2023, GLPI’s portfolio consisted of interests in 61 gaming and related facilities,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the real property associated with 3 gaming and related facilities operated by Cordish, the real property associated with 3 gaming and related facilities operated by Casino Queen and 1 gaming facility under construction that upon opening is intended to be managed by Hard Rock. These facilities, including our corporate headquarters building, are geographically diversified across 18 states and contain approximately 28.7 million square feet. As of September 30, 2023, the Company's properties were 100% occupied. GLPI expects to continue growing its portfolio by pursuing opportunities to acquire additional gaming facilities to lease to gaming operators under prudent terms.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PENN 2023 Master Lease and Amended PENN Master Lease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"Original PENN Master Lease"). The Original PENN Master Lease is a triple-net operating lease, the term of which expires on October 31, 2033, with no purchase option, followed by three remaining 5-year renewal options (exercisable by the tenant) on the same terms and conditions.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October 10, 2022, the Company announced that it agreed to create a new master lease with PENN for seven of PENN's current properties. The companies also agreed to a funding mechanism to support PENN's pursuit of relocation and development opportunities at several of the properties included in the new master lease. The transaction, including the creation of the new master lease, became effective on January 1, 2023.</w:t>
      </w:r>
    </w:p>
    <w:p>
      <w:pPr>
        <w:spacing w:after="0" w:line="1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terms of the PENN 2023 Master Lease and the Amended PENN Master Lease are substantially similar to the Original PENN Master Lease with the following key differences;</w:t>
      </w:r>
    </w:p>
    <w:p>
      <w:pPr>
        <w:spacing w:after="0" w:line="204" w:lineRule="exact"/>
        <w:rPr>
          <w:sz w:val="20"/>
          <w:szCs w:val="20"/>
          <w:color w:val="auto"/>
        </w:rPr>
      </w:pPr>
    </w:p>
    <w:p>
      <w:pPr>
        <w:ind w:left="920" w:hanging="298"/>
        <w:spacing w:after="0"/>
        <w:tabs>
          <w:tab w:leader="none" w:pos="92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PENN 2023 Master Lease is cross-defaulted and co-terminus with the Amended PENN Master Lease.</w:t>
      </w:r>
    </w:p>
    <w:p>
      <w:pPr>
        <w:spacing w:after="0" w:line="27" w:lineRule="exact"/>
        <w:rPr>
          <w:rFonts w:ascii="Arial" w:cs="Arial" w:eastAsia="Arial" w:hAnsi="Arial"/>
          <w:sz w:val="21"/>
          <w:szCs w:val="21"/>
          <w:color w:val="auto"/>
        </w:rPr>
      </w:pPr>
    </w:p>
    <w:p>
      <w:pPr>
        <w:ind w:left="940" w:hanging="318"/>
        <w:spacing w:after="0" w:line="232" w:lineRule="auto"/>
        <w:tabs>
          <w:tab w:leader="none" w:pos="935"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rent for the PENN 2023 Master Lease is $232.2 million in base rent which is fixed with annual escalations of 1.50%, with the first escalation to occur for the lease year beginning on November 1, 2023.</w:t>
      </w:r>
    </w:p>
    <w:p>
      <w:pPr>
        <w:spacing w:after="0" w:line="28" w:lineRule="exact"/>
        <w:rPr>
          <w:rFonts w:ascii="Arial" w:cs="Arial" w:eastAsia="Arial" w:hAnsi="Arial"/>
          <w:sz w:val="21"/>
          <w:szCs w:val="21"/>
          <w:color w:val="auto"/>
        </w:rPr>
      </w:pPr>
    </w:p>
    <w:p>
      <w:pPr>
        <w:ind w:left="940" w:hanging="318"/>
        <w:spacing w:after="0" w:line="239" w:lineRule="auto"/>
        <w:tabs>
          <w:tab w:leader="none" w:pos="935"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rent for the Amended PENN Master Lease is $284.1 million, consisting of $208.2 million of building base rent, $43.0 million of land base rent, and $32.9 million of percentage rent.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Pinnacle Master Lease, Boyd Master Lease and Belterra Park Lease</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w:t>
      </w:r>
    </w:p>
    <w:p>
      <w:pPr>
        <w:spacing w:after="0" w:line="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floors, every two years to an amount equal to 4% of the average annual net revenues of Belterra Park during the preceding two years in excess of a contractual baseline.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Amended and Restated Caesars Master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1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was increased.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Horseshoe St. Louis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Bally's Master Lease</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 2022 and January 3, 2023, the Company completed additional acquisitions of various land and real estate assets of Bally's casinos, namely Bally's Biloxi, Bally's Tiverton, Bally's Black Hawk and Bally's Quad Cities. These properties were added to the existing Bally's Master Lease with annual rent increases that are subject to the escalation clauses described above.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connection with GLPI’s commitment to consummate the Bally’s Biloxi and Bally's Tiverton acquisitions, the Company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$771.0 million and additional rent of $58.8 million.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Tropicana Las Vegas Lease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(including, without limitation, a food, beverage and retail entrance plaza and structured parking).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the approval of the MLB owners to relocate the Team on or before December 1, 2023, and certain approvals by the Nevada Gaming Control Board and Nevada Gaming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Morgantown Lease</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and on each anniversary thereafter rent shall be increased by 1.5% annually (on a prorated basis for the remainder of the lease year in which the gaming facility opens)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0.5%for such lease year, then the rent shall not increase for such lease year (the "Morgantown Lease"). Hollywood Casino Morgantown opened on December 22,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Queen Master Lease</w:t>
      </w:r>
    </w:p>
    <w:p>
      <w:pPr>
        <w:spacing w:after="0" w:line="23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Casino Queen Master Lease was adjusted upon opening to reflect a yield of 8.25% on GLPI's project costs of $77 million. The Company also acquired the land and certain improvements at Casino Queen Marquette for $32.72 million as of September 6, 2023. The annual rent on the Casino Queen Master Lease was increased by $2.7 million for this acquisition. Additionally, the Company anticipates funding certain construction costs for an amount not to exceed $12.5 million, for a landside development project at Casino Queen Marquette that is expected to be completed by December 31, 2024. The rent under the Casino Queen Master Lease will be adjusted to reflect a yield of 8.25% for the funded project costs for this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Maryland Live! Lease and Pennsylvania Live! Master Lease</w:t>
      </w:r>
    </w:p>
    <w:p>
      <w:pPr>
        <w:spacing w:after="0" w:line="243"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15"/>
          <w:szCs w:val="15"/>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w:t>
      </w:r>
    </w:p>
    <w:p>
      <w:pPr>
        <w:spacing w:after="0" w:line="2" w:lineRule="exact"/>
        <w:rPr>
          <w:sz w:val="20"/>
          <w:szCs w:val="20"/>
          <w:color w:val="auto"/>
        </w:rPr>
      </w:pPr>
    </w:p>
    <w:p>
      <w:pPr>
        <w:jc w:val="both"/>
        <w:ind w:firstLine="3"/>
        <w:spacing w:after="0" w:line="257" w:lineRule="auto"/>
        <w:tabs>
          <w:tab w:leader="none" w:pos="177" w:val="left"/>
        </w:tabs>
        <w:numPr>
          <w:ilvl w:val="0"/>
          <w:numId w:val="6"/>
        </w:numPr>
        <w:rPr>
          <w:rFonts w:ascii="Arial" w:cs="Arial" w:eastAsia="Arial" w:hAnsi="Arial"/>
          <w:sz w:val="17"/>
          <w:szCs w:val="17"/>
          <w:color w:val="auto"/>
        </w:rPr>
      </w:pPr>
      <w:r>
        <w:rPr>
          <w:rFonts w:ascii="Arial" w:cs="Arial" w:eastAsia="Arial" w:hAnsi="Arial"/>
          <w:sz w:val="17"/>
          <w:szCs w:val="17"/>
          <w:color w:val="auto"/>
        </w:rPr>
        <w:t>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Rockford Lease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August 29, 2023, the Company acquired the land associated with a development project in Rockford, IL, that upon opening is intended to be managed by Hard Rock, from an affiliate of 815 Entertainment, LLC (together, "815 Entertainment") for $100.0 million. Simultaneously with the land acquisition, GLPI entered into a ground lease with 815 Entertainment for a 99 year term. The initial annual rent for the ground lease is $8.0 million, subject to fixed 2% annual escalation beginning with the lease's first anniversary and for the entirety of its term (the "Rockford Lease").</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to the Rockford Lease, the Company has also committed to providing up to $150 million of development funding via a senior secured delayed draw term loan (the "Rockford Loan"). Any borrowings under the Rockford Loan will be subject to an interest rate of 10%. The Rockford Loan has a draw period of up to 1 year and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September 30, 2023, $40 million was advanced and outstanding under the Rockford Loan. Additionally, the Company also received a right of first refusal on the building improvements of the Hard Rock Casino in Rockford, IL if there is a future decision to sell them once completed.</w:t>
      </w:r>
    </w:p>
    <w:p>
      <w:pPr>
        <w:spacing w:after="0" w:line="20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Operating results for the three and nine months ended September 30, 2023 are not necessarily indicative of the results that may be expected for the year ending December 31, 2023. The consolidated financial statements contained in our Annual Report on Form 10-K for the year ended December 31, 2022 (our "Annual Report") should be read in conjunction with these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condensed consolidated financial statements. The December 31, 2022 financial information has been derived from the Company’s audited consolidated financial statements.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other than what is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Loans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may periodically loan funds to casino owner-operators for the purchase or construction of gaming related real estate. Loans for the construction or purchase of real estate assets of gaming related properties are classified as real estate loans on the Company's Condensed Consolidated Balance Sheets. Interest income related to real estate loans is recorded as interest income from real estate loans within the Company's Condensed Consolidated Statements of Income in the period earned.</w:t>
      </w:r>
    </w:p>
    <w:p>
      <w:pPr>
        <w:spacing w:after="0" w:line="200" w:lineRule="exact"/>
        <w:rPr>
          <w:sz w:val="20"/>
          <w:szCs w:val="20"/>
          <w:color w:val="auto"/>
        </w:rPr>
      </w:pPr>
    </w:p>
    <w:p>
      <w:pPr>
        <w:spacing w:after="0" w:line="230"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Investment in leases, financing receivables, net</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Maryland Live! Lease that became effective on December 29, 2021, the Pennsylvania Live! Master Lease that became effective March 1, 2022 and the Rockford Lease that became effective on August 29, 2023, the Company recorded an Investment in leases, financing receivables, net, as the sale lease back transactions were accounted for as failed sale leasebacks. The following is a summary of the balances of the Company's Investment in leases, financing receivables, net.</w:t>
      </w:r>
    </w:p>
    <w:p>
      <w:pPr>
        <w:spacing w:after="0" w:line="200" w:lineRule="exact"/>
        <w:rPr>
          <w:sz w:val="20"/>
          <w:szCs w:val="20"/>
          <w:color w:val="auto"/>
        </w:rPr>
      </w:pPr>
    </w:p>
    <w:p>
      <w:pPr>
        <w:spacing w:after="0" w:line="24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1560" w:type="dxa"/>
            <w:vAlign w:val="bottom"/>
          </w:tcPr>
          <w:p>
            <w:pPr>
              <w:jc w:val="right"/>
              <w:ind w:right="558"/>
              <w:spacing w:after="0"/>
              <w:rPr>
                <w:sz w:val="20"/>
                <w:szCs w:val="20"/>
                <w:color w:val="auto"/>
              </w:rPr>
            </w:pPr>
            <w:r>
              <w:rPr>
                <w:rFonts w:ascii="Arial" w:cs="Arial" w:eastAsia="Arial" w:hAnsi="Arial"/>
                <w:sz w:val="14"/>
                <w:szCs w:val="14"/>
                <w:b w:val="1"/>
                <w:bCs w:val="1"/>
                <w:color w:val="auto"/>
                <w:w w:val="98"/>
              </w:rPr>
              <w:t>December 31,</w:t>
            </w:r>
          </w:p>
        </w:tc>
      </w:tr>
      <w:tr>
        <w:trPr>
          <w:trHeight w:val="184"/>
        </w:trPr>
        <w:tc>
          <w:tcPr>
            <w:tcW w:w="4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2022</w:t>
            </w:r>
          </w:p>
        </w:tc>
      </w:tr>
      <w:tr>
        <w:trPr>
          <w:trHeight w:val="185"/>
        </w:trPr>
        <w:tc>
          <w:tcPr>
            <w:tcW w:w="4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6"/>
                <w:szCs w:val="16"/>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Minimum lease payments receivable</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9,021,485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6,676,528</w:t>
            </w:r>
          </w:p>
        </w:tc>
      </w:tr>
      <w:tr>
        <w:trPr>
          <w:trHeight w:val="218"/>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Estimated residual values of lease property (unguaranteed)</w:t>
            </w: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1,041,087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940,885</w:t>
            </w:r>
          </w:p>
        </w:tc>
      </w:tr>
      <w:tr>
        <w:trPr>
          <w:trHeight w:val="213"/>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10,062,572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7,617,413</w:t>
            </w:r>
          </w:p>
        </w:tc>
      </w:tr>
      <w:tr>
        <w:trPr>
          <w:trHeight w:val="218"/>
        </w:trPr>
        <w:tc>
          <w:tcPr>
            <w:tcW w:w="4980" w:type="dxa"/>
            <w:vAlign w:val="bottom"/>
          </w:tcPr>
          <w:p>
            <w:pPr>
              <w:ind w:left="20"/>
              <w:spacing w:after="0"/>
              <w:rPr>
                <w:sz w:val="20"/>
                <w:szCs w:val="20"/>
                <w:color w:val="auto"/>
              </w:rPr>
            </w:pPr>
            <w:r>
              <w:rPr>
                <w:rFonts w:ascii="Arial" w:cs="Arial" w:eastAsia="Arial" w:hAnsi="Arial"/>
                <w:sz w:val="17"/>
                <w:szCs w:val="17"/>
                <w:color w:val="auto"/>
              </w:rPr>
              <w:t>Less: Unearned income</w:t>
            </w:r>
          </w:p>
        </w:tc>
        <w:tc>
          <w:tcPr>
            <w:tcW w:w="3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(8,023,245)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(5,695,094)</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Allowance for credit losses</w:t>
            </w:r>
          </w:p>
        </w:tc>
        <w:tc>
          <w:tcPr>
            <w:tcW w:w="3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(19,124)</w:t>
            </w:r>
          </w:p>
        </w:tc>
      </w:tr>
      <w:tr>
        <w:trPr>
          <w:trHeight w:val="213"/>
        </w:trPr>
        <w:tc>
          <w:tcPr>
            <w:tcW w:w="4980" w:type="dxa"/>
            <w:vAlign w:val="bottom"/>
          </w:tcPr>
          <w:p>
            <w:pPr>
              <w:ind w:left="20"/>
              <w:spacing w:after="0"/>
              <w:rPr>
                <w:sz w:val="20"/>
                <w:szCs w:val="20"/>
                <w:color w:val="auto"/>
              </w:rPr>
            </w:pPr>
            <w:r>
              <w:rPr>
                <w:rFonts w:ascii="Arial" w:cs="Arial" w:eastAsia="Arial" w:hAnsi="Arial"/>
                <w:sz w:val="17"/>
                <w:szCs w:val="17"/>
                <w:color w:val="auto"/>
              </w:rPr>
              <w:t>Investment in leases - financing receivables, net</w:t>
            </w: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1,998,551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1,903,195</w:t>
            </w: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present value of the net investment in the lease payment receivable and unguaranteed residual value at September 30, 2023 was $1,985.5 million and $53.8 million compared to $1,871.5 million and $50.8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At September 30, 2023, minimum lease payments owed to us for each of the five succeeding years under the Company's financing receivables were as follows (in thousands):</w:t>
      </w:r>
    </w:p>
    <w:p>
      <w:pPr>
        <w:spacing w:after="0" w:line="106"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gridSpan w:val="3"/>
          </w:tcPr>
          <w:p>
            <w:pPr>
              <w:jc w:val="center"/>
              <w:spacing w:after="0" w:line="122" w:lineRule="exact"/>
              <w:rPr>
                <w:sz w:val="20"/>
                <w:szCs w:val="20"/>
                <w:color w:val="auto"/>
              </w:rPr>
            </w:pPr>
            <w:r>
              <w:rPr>
                <w:rFonts w:ascii="Arial" w:cs="Arial" w:eastAsia="Arial" w:hAnsi="Arial"/>
                <w:sz w:val="13"/>
                <w:szCs w:val="13"/>
                <w:b w:val="1"/>
                <w:bCs w:val="1"/>
                <w:color w:val="auto"/>
                <w:w w:val="70"/>
              </w:rPr>
              <w:t>Minimum</w:t>
            </w: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4"/>
          </w:tcPr>
          <w:p>
            <w:pPr>
              <w:jc w:val="center"/>
              <w:ind w:right="140"/>
              <w:spacing w:after="0" w:line="122" w:lineRule="exact"/>
              <w:rPr>
                <w:sz w:val="20"/>
                <w:szCs w:val="20"/>
                <w:color w:val="auto"/>
              </w:rPr>
            </w:pPr>
            <w:r>
              <w:rPr>
                <w:rFonts w:ascii="Arial" w:cs="Arial" w:eastAsia="Arial" w:hAnsi="Arial"/>
                <w:sz w:val="14"/>
                <w:szCs w:val="14"/>
                <w:b w:val="1"/>
                <w:bCs w:val="1"/>
                <w:color w:val="auto"/>
                <w:w w:val="80"/>
              </w:rPr>
              <w:t>Lease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9"/>
                <w:szCs w:val="9"/>
                <w:b w:val="1"/>
                <w:bCs w:val="1"/>
                <w:color w:val="auto"/>
                <w:w w:val="75"/>
              </w:rPr>
              <w:t>Payments</w:t>
            </w:r>
          </w:p>
        </w:tc>
        <w:tc>
          <w:tcPr>
            <w:tcW w:w="120" w:type="dxa"/>
            <w:vAlign w:val="bottom"/>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9"/>
            <w:shd w:val="clear" w:color="auto" w:fill="CCEEFF"/>
          </w:tcPr>
          <w:p>
            <w:pPr>
              <w:jc w:val="right"/>
              <w:ind w:right="60"/>
              <w:spacing w:after="0"/>
              <w:rPr>
                <w:sz w:val="20"/>
                <w:szCs w:val="20"/>
                <w:color w:val="auto"/>
              </w:rPr>
            </w:pPr>
            <w:r>
              <w:rPr>
                <w:rFonts w:ascii="Arial" w:cs="Arial" w:eastAsia="Arial" w:hAnsi="Arial"/>
                <w:sz w:val="17"/>
                <w:szCs w:val="17"/>
                <w:color w:val="auto"/>
              </w:rPr>
              <w:t>33,808</w:t>
            </w:r>
          </w:p>
        </w:tc>
        <w:tc>
          <w:tcPr>
            <w:tcW w:w="0" w:type="dxa"/>
            <w:vAlign w:val="bottom"/>
          </w:tcPr>
          <w:p>
            <w:pPr>
              <w:spacing w:after="0"/>
              <w:rPr>
                <w:sz w:val="1"/>
                <w:szCs w:val="1"/>
                <w:color w:val="auto"/>
              </w:rPr>
            </w:pPr>
          </w:p>
        </w:tc>
      </w:tr>
      <w:tr>
        <w:trPr>
          <w:trHeight w:val="218"/>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9"/>
          </w:tcPr>
          <w:p>
            <w:pPr>
              <w:jc w:val="right"/>
              <w:ind w:right="60"/>
              <w:spacing w:after="0"/>
              <w:rPr>
                <w:sz w:val="20"/>
                <w:szCs w:val="20"/>
                <w:color w:val="auto"/>
              </w:rPr>
            </w:pPr>
            <w:r>
              <w:rPr>
                <w:rFonts w:ascii="Arial" w:cs="Arial" w:eastAsia="Arial" w:hAnsi="Arial"/>
                <w:sz w:val="17"/>
                <w:szCs w:val="17"/>
                <w:color w:val="auto"/>
              </w:rPr>
              <w:t>137,339</w:t>
            </w: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9"/>
            <w:shd w:val="clear" w:color="auto" w:fill="CCEEFF"/>
          </w:tcPr>
          <w:p>
            <w:pPr>
              <w:jc w:val="right"/>
              <w:ind w:right="60"/>
              <w:spacing w:after="0"/>
              <w:rPr>
                <w:sz w:val="20"/>
                <w:szCs w:val="20"/>
                <w:color w:val="auto"/>
              </w:rPr>
            </w:pPr>
            <w:r>
              <w:rPr>
                <w:rFonts w:ascii="Arial" w:cs="Arial" w:eastAsia="Arial" w:hAnsi="Arial"/>
                <w:sz w:val="17"/>
                <w:szCs w:val="17"/>
                <w:color w:val="auto"/>
              </w:rPr>
              <w:t>139,746</w:t>
            </w:r>
          </w:p>
        </w:tc>
        <w:tc>
          <w:tcPr>
            <w:tcW w:w="0" w:type="dxa"/>
            <w:vAlign w:val="bottom"/>
          </w:tcPr>
          <w:p>
            <w:pPr>
              <w:spacing w:after="0"/>
              <w:rPr>
                <w:sz w:val="1"/>
                <w:szCs w:val="1"/>
                <w:color w:val="auto"/>
              </w:rPr>
            </w:pPr>
          </w:p>
        </w:tc>
      </w:tr>
      <w:tr>
        <w:trPr>
          <w:trHeight w:val="218"/>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9"/>
          </w:tcPr>
          <w:p>
            <w:pPr>
              <w:jc w:val="right"/>
              <w:ind w:right="60"/>
              <w:spacing w:after="0"/>
              <w:rPr>
                <w:sz w:val="20"/>
                <w:szCs w:val="20"/>
                <w:color w:val="auto"/>
              </w:rPr>
            </w:pPr>
            <w:r>
              <w:rPr>
                <w:rFonts w:ascii="Arial" w:cs="Arial" w:eastAsia="Arial" w:hAnsi="Arial"/>
                <w:sz w:val="17"/>
                <w:szCs w:val="17"/>
                <w:color w:val="auto"/>
              </w:rPr>
              <w:t>142,195</w:t>
            </w: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9"/>
            <w:shd w:val="clear" w:color="auto" w:fill="CCEEFF"/>
          </w:tcPr>
          <w:p>
            <w:pPr>
              <w:jc w:val="right"/>
              <w:ind w:right="60"/>
              <w:spacing w:after="0"/>
              <w:rPr>
                <w:sz w:val="20"/>
                <w:szCs w:val="20"/>
                <w:color w:val="auto"/>
              </w:rPr>
            </w:pPr>
            <w:r>
              <w:rPr>
                <w:rFonts w:ascii="Arial" w:cs="Arial" w:eastAsia="Arial" w:hAnsi="Arial"/>
                <w:sz w:val="17"/>
                <w:szCs w:val="17"/>
                <w:color w:val="auto"/>
              </w:rPr>
              <w:t>144,687</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7"/>
                <w:szCs w:val="17"/>
                <w:color w:val="auto"/>
                <w:w w:val="97"/>
              </w:rPr>
              <w:t>8,423,710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gridSpan w:val="9"/>
            <w:shd w:val="clear" w:color="auto" w:fill="CCEEFF"/>
          </w:tcPr>
          <w:p>
            <w:pPr>
              <w:jc w:val="right"/>
              <w:ind w:right="60"/>
              <w:spacing w:after="0"/>
              <w:rPr>
                <w:sz w:val="20"/>
                <w:szCs w:val="20"/>
                <w:color w:val="auto"/>
              </w:rPr>
            </w:pPr>
            <w:r>
              <w:rPr>
                <w:rFonts w:ascii="Arial" w:cs="Arial" w:eastAsia="Arial" w:hAnsi="Arial"/>
                <w:sz w:val="17"/>
                <w:szCs w:val="17"/>
                <w:color w:val="auto"/>
                <w:w w:val="97"/>
              </w:rPr>
              <w:t>9,021,485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follows ASC 326 “Credit Losses”, which requires that the Company measure and record current expected credit losses (“CECL”), the scope of which includes our Investment in leases, financing receivables,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33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 in the allowance for credit losses for the Company's financing receivables is illustrated below (in thousands):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right="680"/>
        <w:spacing w:after="0" w:line="276" w:lineRule="auto"/>
        <w:rPr>
          <w:sz w:val="20"/>
          <w:szCs w:val="20"/>
          <w:color w:val="auto"/>
        </w:rPr>
      </w:pPr>
      <w:r>
        <w:rPr>
          <w:rFonts w:ascii="Arial" w:cs="Arial" w:eastAsia="Arial" w:hAnsi="Arial"/>
          <w:sz w:val="17"/>
          <w:szCs w:val="17"/>
          <w:color w:val="auto"/>
        </w:rPr>
        <w:t>Balance at December 31, 2022 Change in allowance</w:t>
      </w:r>
    </w:p>
    <w:p>
      <w:pPr>
        <w:spacing w:after="0" w:line="2" w:lineRule="exact"/>
        <w:rPr>
          <w:sz w:val="20"/>
          <w:szCs w:val="20"/>
          <w:color w:val="auto"/>
        </w:rPr>
      </w:pPr>
    </w:p>
    <w:p>
      <w:pPr>
        <w:ind w:left="20" w:right="440"/>
        <w:spacing w:after="0" w:line="276" w:lineRule="auto"/>
        <w:rPr>
          <w:sz w:val="20"/>
          <w:szCs w:val="20"/>
          <w:color w:val="auto"/>
        </w:rPr>
      </w:pPr>
      <w:r>
        <w:rPr>
          <w:rFonts w:ascii="Arial" w:cs="Arial" w:eastAsia="Arial" w:hAnsi="Arial"/>
          <w:sz w:val="17"/>
          <w:szCs w:val="17"/>
          <w:color w:val="auto"/>
        </w:rPr>
        <w:t>Ending balance at March 31, 2023 Change in allowance</w:t>
      </w:r>
    </w:p>
    <w:p>
      <w:pPr>
        <w:spacing w:after="0" w:line="2" w:lineRule="exact"/>
        <w:rPr>
          <w:sz w:val="20"/>
          <w:szCs w:val="20"/>
          <w:color w:val="auto"/>
        </w:rPr>
      </w:pPr>
    </w:p>
    <w:p>
      <w:pPr>
        <w:ind w:left="20" w:right="560"/>
        <w:spacing w:after="0" w:line="292" w:lineRule="auto"/>
        <w:rPr>
          <w:sz w:val="20"/>
          <w:szCs w:val="20"/>
          <w:color w:val="auto"/>
        </w:rPr>
      </w:pPr>
      <w:r>
        <w:rPr>
          <w:rFonts w:ascii="Arial" w:cs="Arial" w:eastAsia="Arial" w:hAnsi="Arial"/>
          <w:sz w:val="17"/>
          <w:szCs w:val="17"/>
          <w:color w:val="auto"/>
        </w:rPr>
        <w:t>Ending balance at June 30, 2023 Change in allowance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Ending balance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right="680"/>
        <w:spacing w:after="0" w:line="280" w:lineRule="auto"/>
        <w:rPr>
          <w:sz w:val="20"/>
          <w:szCs w:val="20"/>
          <w:color w:val="auto"/>
        </w:rPr>
      </w:pPr>
      <w:r>
        <w:rPr>
          <w:rFonts w:ascii="Arial" w:cs="Arial" w:eastAsia="Arial" w:hAnsi="Arial"/>
          <w:sz w:val="17"/>
          <w:szCs w:val="17"/>
          <w:color w:val="auto"/>
        </w:rPr>
        <w:t>Balance at December 31, 2021 Change in allowance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Maryland Live!</w:t>
            </w:r>
          </w:p>
        </w:tc>
        <w:tc>
          <w:tcPr>
            <w:tcW w:w="1540" w:type="dxa"/>
            <w:vAlign w:val="bottom"/>
            <w:gridSpan w:val="2"/>
          </w:tcPr>
          <w:p>
            <w:pPr>
              <w:ind w:left="80"/>
              <w:spacing w:after="0"/>
              <w:rPr>
                <w:sz w:val="20"/>
                <w:szCs w:val="20"/>
                <w:color w:val="auto"/>
              </w:rPr>
            </w:pPr>
            <w:r>
              <w:rPr>
                <w:rFonts w:ascii="Arial" w:cs="Arial" w:eastAsia="Arial" w:hAnsi="Arial"/>
                <w:sz w:val="17"/>
                <w:szCs w:val="17"/>
                <w:b w:val="1"/>
                <w:bCs w:val="1"/>
                <w:color w:val="auto"/>
                <w:w w:val="94"/>
              </w:rPr>
              <w:t>Pennsylvania Live!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7"/>
                <w:szCs w:val="17"/>
                <w:b w:val="1"/>
                <w:bCs w:val="1"/>
                <w:color w:val="auto"/>
              </w:rPr>
              <w:t>Rockford Lease</w:t>
            </w: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Lease</w:t>
            </w:r>
          </w:p>
        </w:tc>
        <w:tc>
          <w:tcPr>
            <w:tcW w:w="200" w:type="dxa"/>
            <w:vAlign w:val="bottom"/>
          </w:tcPr>
          <w:p>
            <w:pPr>
              <w:spacing w:after="0"/>
              <w:rPr>
                <w:sz w:val="20"/>
                <w:szCs w:val="20"/>
                <w:color w:val="auto"/>
              </w:rPr>
            </w:pPr>
          </w:p>
        </w:tc>
        <w:tc>
          <w:tcPr>
            <w:tcW w:w="1340" w:type="dxa"/>
            <w:vAlign w:val="bottom"/>
          </w:tcPr>
          <w:p>
            <w:pPr>
              <w:ind w:left="80"/>
              <w:spacing w:after="0"/>
              <w:rPr>
                <w:sz w:val="20"/>
                <w:szCs w:val="20"/>
                <w:color w:val="auto"/>
              </w:rPr>
            </w:pPr>
            <w:r>
              <w:rPr>
                <w:rFonts w:ascii="Arial" w:cs="Arial" w:eastAsia="Arial" w:hAnsi="Arial"/>
                <w:sz w:val="17"/>
                <w:szCs w:val="17"/>
                <w:b w:val="1"/>
                <w:bCs w:val="1"/>
                <w:color w:val="auto"/>
              </w:rPr>
              <w:t>Master Lease</w:t>
            </w:r>
          </w:p>
        </w:tc>
        <w:tc>
          <w:tcPr>
            <w:tcW w:w="280" w:type="dxa"/>
            <w:vAlign w:val="bottom"/>
          </w:tcPr>
          <w:p>
            <w:pPr>
              <w:spacing w:after="0"/>
              <w:rPr>
                <w:sz w:val="20"/>
                <w:szCs w:val="20"/>
                <w:color w:val="auto"/>
              </w:rPr>
            </w:pPr>
          </w:p>
        </w:tc>
        <w:tc>
          <w:tcPr>
            <w:tcW w:w="980" w:type="dxa"/>
            <w:vAlign w:val="bottom"/>
          </w:tcPr>
          <w:p>
            <w:pPr>
              <w:jc w:val="right"/>
              <w:ind w:right="354"/>
              <w:spacing w:after="0"/>
              <w:rPr>
                <w:sz w:val="20"/>
                <w:szCs w:val="20"/>
                <w:color w:val="auto"/>
              </w:rPr>
            </w:pPr>
            <w:r>
              <w:rPr>
                <w:rFonts w:ascii="Arial" w:cs="Arial" w:eastAsia="Arial" w:hAnsi="Arial"/>
                <w:sz w:val="17"/>
                <w:szCs w:val="17"/>
                <w:b w:val="1"/>
                <w:bCs w:val="1"/>
                <w:color w:val="auto"/>
              </w:rPr>
              <w:t>Total</w:t>
            </w:r>
          </w:p>
        </w:tc>
      </w:tr>
      <w:tr>
        <w:trPr>
          <w:trHeight w:val="219"/>
        </w:trPr>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ind w:left="1160"/>
              <w:spacing w:after="0"/>
              <w:rPr>
                <w:sz w:val="20"/>
                <w:szCs w:val="20"/>
                <w:color w:val="auto"/>
              </w:rPr>
            </w:pPr>
            <w:r>
              <w:rPr>
                <w:rFonts w:ascii="Arial" w:cs="Arial" w:eastAsia="Arial" w:hAnsi="Arial"/>
                <w:sz w:val="17"/>
                <w:szCs w:val="17"/>
                <w:color w:val="auto"/>
              </w:rPr>
              <w:t>— $</w:t>
            </w:r>
          </w:p>
        </w:tc>
        <w:tc>
          <w:tcPr>
            <w:tcW w:w="1340" w:type="dxa"/>
            <w:vAlign w:val="bottom"/>
          </w:tcPr>
          <w:p>
            <w:pPr>
              <w:jc w:val="right"/>
              <w:spacing w:after="0"/>
              <w:rPr>
                <w:sz w:val="20"/>
                <w:szCs w:val="20"/>
                <w:color w:val="auto"/>
              </w:rPr>
            </w:pPr>
            <w:r>
              <w:rPr>
                <w:rFonts w:ascii="Arial" w:cs="Arial" w:eastAsia="Arial" w:hAnsi="Arial"/>
                <w:sz w:val="17"/>
                <w:szCs w:val="17"/>
                <w:color w:val="auto"/>
              </w:rPr>
              <w:t>4,095</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tcPr>
          <w:p>
            <w:pPr>
              <w:ind w:left="800"/>
              <w:spacing w:after="0"/>
              <w:rPr>
                <w:sz w:val="20"/>
                <w:szCs w:val="20"/>
                <w:color w:val="auto"/>
              </w:rPr>
            </w:pPr>
            <w:r>
              <w:rPr>
                <w:rFonts w:ascii="Arial" w:cs="Arial" w:eastAsia="Arial" w:hAnsi="Arial"/>
                <w:sz w:val="17"/>
                <w:szCs w:val="17"/>
                <w:color w:val="auto"/>
                <w:w w:val="99"/>
              </w:rPr>
              <w:t>15,029</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19,124</w:t>
            </w:r>
          </w:p>
        </w:tc>
      </w:tr>
      <w:tr>
        <w:trPr>
          <w:trHeight w:val="220"/>
        </w:trPr>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2"/>
              </w:rPr>
              <w:t>(4,772)</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(5,653)</w:t>
            </w:r>
          </w:p>
        </w:tc>
      </w:tr>
      <w:tr>
        <w:trPr>
          <w:trHeight w:val="211"/>
        </w:trPr>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ind w:left="1160"/>
              <w:spacing w:after="0"/>
              <w:rPr>
                <w:sz w:val="20"/>
                <w:szCs w:val="20"/>
                <w:color w:val="auto"/>
              </w:rPr>
            </w:pPr>
            <w:r>
              <w:rPr>
                <w:rFonts w:ascii="Arial" w:cs="Arial" w:eastAsia="Arial" w:hAnsi="Arial"/>
                <w:sz w:val="17"/>
                <w:szCs w:val="17"/>
                <w:color w:val="auto"/>
              </w:rPr>
              <w:t>— $</w:t>
            </w:r>
          </w:p>
        </w:tc>
        <w:tc>
          <w:tcPr>
            <w:tcW w:w="1340" w:type="dxa"/>
            <w:vAlign w:val="bottom"/>
          </w:tcPr>
          <w:p>
            <w:pPr>
              <w:jc w:val="right"/>
              <w:spacing w:after="0"/>
              <w:rPr>
                <w:sz w:val="20"/>
                <w:szCs w:val="20"/>
                <w:color w:val="auto"/>
              </w:rPr>
            </w:pPr>
            <w:r>
              <w:rPr>
                <w:rFonts w:ascii="Arial" w:cs="Arial" w:eastAsia="Arial" w:hAnsi="Arial"/>
                <w:sz w:val="17"/>
                <w:szCs w:val="17"/>
                <w:color w:val="auto"/>
              </w:rPr>
              <w:t>3,214</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tcPr>
          <w:p>
            <w:pPr>
              <w:ind w:left="800"/>
              <w:spacing w:after="0"/>
              <w:rPr>
                <w:sz w:val="20"/>
                <w:szCs w:val="20"/>
                <w:color w:val="auto"/>
              </w:rPr>
            </w:pPr>
            <w:r>
              <w:rPr>
                <w:rFonts w:ascii="Arial" w:cs="Arial" w:eastAsia="Arial" w:hAnsi="Arial"/>
                <w:sz w:val="17"/>
                <w:szCs w:val="17"/>
                <w:color w:val="auto"/>
                <w:w w:val="99"/>
              </w:rPr>
              <w:t>10,257</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13,471</w:t>
            </w:r>
          </w:p>
        </w:tc>
      </w:tr>
      <w:tr>
        <w:trPr>
          <w:trHeight w:val="220"/>
        </w:trPr>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9"/>
              </w:rPr>
              <w:t>19,910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28,052</w:t>
            </w:r>
          </w:p>
        </w:tc>
      </w:tr>
      <w:tr>
        <w:trPr>
          <w:trHeight w:val="211"/>
        </w:trPr>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ind w:left="1160"/>
              <w:spacing w:after="0"/>
              <w:rPr>
                <w:sz w:val="20"/>
                <w:szCs w:val="20"/>
                <w:color w:val="auto"/>
              </w:rPr>
            </w:pPr>
            <w:r>
              <w:rPr>
                <w:rFonts w:ascii="Arial" w:cs="Arial" w:eastAsia="Arial" w:hAnsi="Arial"/>
                <w:sz w:val="17"/>
                <w:szCs w:val="17"/>
                <w:color w:val="auto"/>
              </w:rPr>
              <w:t>— $</w:t>
            </w:r>
          </w:p>
        </w:tc>
        <w:tc>
          <w:tcPr>
            <w:tcW w:w="1340" w:type="dxa"/>
            <w:vAlign w:val="bottom"/>
          </w:tcPr>
          <w:p>
            <w:pPr>
              <w:jc w:val="right"/>
              <w:spacing w:after="0"/>
              <w:rPr>
                <w:sz w:val="20"/>
                <w:szCs w:val="20"/>
                <w:color w:val="auto"/>
              </w:rPr>
            </w:pPr>
            <w:r>
              <w:rPr>
                <w:rFonts w:ascii="Arial" w:cs="Arial" w:eastAsia="Arial" w:hAnsi="Arial"/>
                <w:sz w:val="17"/>
                <w:szCs w:val="17"/>
                <w:color w:val="auto"/>
              </w:rPr>
              <w:t>11,356</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tcPr>
          <w:p>
            <w:pPr>
              <w:ind w:left="800"/>
              <w:spacing w:after="0"/>
              <w:rPr>
                <w:sz w:val="20"/>
                <w:szCs w:val="20"/>
                <w:color w:val="auto"/>
              </w:rPr>
            </w:pPr>
            <w:r>
              <w:rPr>
                <w:rFonts w:ascii="Arial" w:cs="Arial" w:eastAsia="Arial" w:hAnsi="Arial"/>
                <w:sz w:val="17"/>
                <w:szCs w:val="17"/>
                <w:color w:val="auto"/>
                <w:w w:val="99"/>
              </w:rPr>
              <w:t>30,167</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41,523</w:t>
            </w:r>
          </w:p>
        </w:tc>
      </w:tr>
      <w:tr>
        <w:trPr>
          <w:trHeight w:val="220"/>
        </w:trPr>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3,867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2"/>
              </w:rPr>
              <w:t>(3,825)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w:t>
            </w:r>
          </w:p>
        </w:tc>
      </w:tr>
      <w:tr>
        <w:trPr>
          <w:trHeight w:val="21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w w:val="98"/>
              </w:rPr>
              <w:t>3,867 $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9"/>
              </w:rPr>
              <w:t>26,342</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40,776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-1284605</wp:posOffset>
            </wp:positionV>
            <wp:extent cx="6017260" cy="254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17260" cy="25400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-891540</wp:posOffset>
            </wp:positionV>
            <wp:extent cx="601726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726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-605155</wp:posOffset>
            </wp:positionV>
            <wp:extent cx="601726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7260" cy="13906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-318770</wp:posOffset>
            </wp:positionV>
            <wp:extent cx="6017260"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7260" cy="13906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7"/>
                <w:szCs w:val="17"/>
                <w:b w:val="1"/>
                <w:bCs w:val="1"/>
                <w:color w:val="auto"/>
                <w:w w:val="97"/>
              </w:rPr>
              <w:t>Maryland Live!</w:t>
            </w:r>
          </w:p>
        </w:tc>
        <w:tc>
          <w:tcPr>
            <w:tcW w:w="120" w:type="dxa"/>
            <w:vAlign w:val="bottom"/>
          </w:tcPr>
          <w:p>
            <w:pPr>
              <w:spacing w:after="0"/>
              <w:rPr>
                <w:sz w:val="16"/>
                <w:szCs w:val="16"/>
                <w:color w:val="auto"/>
              </w:rPr>
            </w:pPr>
          </w:p>
        </w:tc>
        <w:tc>
          <w:tcPr>
            <w:tcW w:w="184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Pennsylvania Live!</w:t>
            </w:r>
          </w:p>
        </w:tc>
        <w:tc>
          <w:tcPr>
            <w:tcW w:w="90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1340" w:type="dxa"/>
            <w:vAlign w:val="bottom"/>
          </w:tcPr>
          <w:p>
            <w:pPr>
              <w:jc w:val="center"/>
              <w:ind w:right="34"/>
              <w:spacing w:after="0"/>
              <w:rPr>
                <w:sz w:val="20"/>
                <w:szCs w:val="20"/>
                <w:color w:val="auto"/>
              </w:rPr>
            </w:pPr>
            <w:r>
              <w:rPr>
                <w:rFonts w:ascii="Arial" w:cs="Arial" w:eastAsia="Arial" w:hAnsi="Arial"/>
                <w:sz w:val="17"/>
                <w:szCs w:val="17"/>
                <w:b w:val="1"/>
                <w:bCs w:val="1"/>
                <w:color w:val="auto"/>
                <w:w w:val="87"/>
              </w:rPr>
              <w:t>Lease</w:t>
            </w:r>
          </w:p>
        </w:tc>
        <w:tc>
          <w:tcPr>
            <w:tcW w:w="120" w:type="dxa"/>
            <w:vAlign w:val="bottom"/>
          </w:tcPr>
          <w:p>
            <w:pPr>
              <w:spacing w:after="0"/>
              <w:rPr>
                <w:sz w:val="20"/>
                <w:szCs w:val="20"/>
                <w:color w:val="auto"/>
              </w:rPr>
            </w:pPr>
          </w:p>
        </w:tc>
        <w:tc>
          <w:tcPr>
            <w:tcW w:w="1840" w:type="dxa"/>
            <w:vAlign w:val="bottom"/>
          </w:tcPr>
          <w:p>
            <w:pPr>
              <w:jc w:val="center"/>
              <w:ind w:right="314"/>
              <w:spacing w:after="0"/>
              <w:rPr>
                <w:sz w:val="20"/>
                <w:szCs w:val="20"/>
                <w:color w:val="auto"/>
              </w:rPr>
            </w:pPr>
            <w:r>
              <w:rPr>
                <w:rFonts w:ascii="Arial" w:cs="Arial" w:eastAsia="Arial" w:hAnsi="Arial"/>
                <w:sz w:val="17"/>
                <w:szCs w:val="17"/>
                <w:b w:val="1"/>
                <w:bCs w:val="1"/>
                <w:color w:val="auto"/>
                <w:w w:val="92"/>
              </w:rPr>
              <w:t>Master Lease</w:t>
            </w:r>
          </w:p>
        </w:tc>
        <w:tc>
          <w:tcPr>
            <w:tcW w:w="900" w:type="dxa"/>
            <w:vAlign w:val="bottom"/>
          </w:tcPr>
          <w:p>
            <w:pPr>
              <w:jc w:val="right"/>
              <w:ind w:right="274"/>
              <w:spacing w:after="0"/>
              <w:rPr>
                <w:sz w:val="20"/>
                <w:szCs w:val="20"/>
                <w:color w:val="auto"/>
              </w:rPr>
            </w:pPr>
            <w:r>
              <w:rPr>
                <w:rFonts w:ascii="Arial" w:cs="Arial" w:eastAsia="Arial" w:hAnsi="Arial"/>
                <w:sz w:val="17"/>
                <w:szCs w:val="17"/>
                <w:b w:val="1"/>
                <w:bCs w:val="1"/>
                <w:color w:val="auto"/>
              </w:rPr>
              <w:t>Total</w:t>
            </w:r>
          </w:p>
        </w:tc>
      </w:tr>
      <w:tr>
        <w:trPr>
          <w:trHeight w:val="21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800"/>
              <w:spacing w:after="0"/>
              <w:rPr>
                <w:sz w:val="20"/>
                <w:szCs w:val="20"/>
                <w:color w:val="auto"/>
              </w:rPr>
            </w:pPr>
            <w:r>
              <w:rPr>
                <w:rFonts w:ascii="Arial" w:cs="Arial" w:eastAsia="Arial" w:hAnsi="Arial"/>
                <w:sz w:val="17"/>
                <w:szCs w:val="17"/>
                <w:color w:val="auto"/>
                <w:w w:val="99"/>
              </w:rPr>
              <w:t>12,226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40" w:type="dxa"/>
            <w:vAlign w:val="bottom"/>
          </w:tcPr>
          <w:p>
            <w:pPr>
              <w:jc w:val="right"/>
              <w:ind w:right="94"/>
              <w:spacing w:after="0"/>
              <w:rPr>
                <w:sz w:val="20"/>
                <w:szCs w:val="20"/>
                <w:color w:val="auto"/>
              </w:rPr>
            </w:pPr>
            <w:r>
              <w:rPr>
                <w:rFonts w:ascii="Arial" w:cs="Arial" w:eastAsia="Arial" w:hAnsi="Arial"/>
                <w:sz w:val="17"/>
                <w:szCs w:val="17"/>
                <w:color w:val="auto"/>
              </w:rPr>
              <w:t>— $</w:t>
            </w:r>
          </w:p>
        </w:tc>
        <w:tc>
          <w:tcPr>
            <w:tcW w:w="900" w:type="dxa"/>
            <w:vAlign w:val="bottom"/>
          </w:tcPr>
          <w:p>
            <w:pPr>
              <w:jc w:val="right"/>
              <w:spacing w:after="0"/>
              <w:rPr>
                <w:sz w:val="20"/>
                <w:szCs w:val="20"/>
                <w:color w:val="auto"/>
              </w:rPr>
            </w:pPr>
            <w:r>
              <w:rPr>
                <w:rFonts w:ascii="Arial" w:cs="Arial" w:eastAsia="Arial" w:hAnsi="Arial"/>
                <w:sz w:val="17"/>
                <w:szCs w:val="17"/>
                <w:color w:val="auto"/>
              </w:rPr>
              <w:t>12,226</w:t>
            </w:r>
          </w:p>
        </w:tc>
      </w:tr>
      <w:tr>
        <w:trPr>
          <w:trHeight w:val="219"/>
        </w:trPr>
        <w:tc>
          <w:tcPr>
            <w:tcW w:w="120" w:type="dxa"/>
            <w:vAlign w:val="bottom"/>
          </w:tcPr>
          <w:p>
            <w:pPr>
              <w:spacing w:after="0"/>
              <w:rPr>
                <w:sz w:val="19"/>
                <w:szCs w:val="19"/>
                <w:color w:val="auto"/>
              </w:rPr>
            </w:pPr>
          </w:p>
        </w:tc>
        <w:tc>
          <w:tcPr>
            <w:tcW w:w="1340" w:type="dxa"/>
            <w:vAlign w:val="bottom"/>
          </w:tcPr>
          <w:p>
            <w:pPr>
              <w:ind w:left="820"/>
              <w:spacing w:after="0"/>
              <w:rPr>
                <w:sz w:val="20"/>
                <w:szCs w:val="20"/>
                <w:color w:val="auto"/>
              </w:rPr>
            </w:pPr>
            <w:r>
              <w:rPr>
                <w:rFonts w:ascii="Arial" w:cs="Arial" w:eastAsia="Arial" w:hAnsi="Arial"/>
                <w:sz w:val="17"/>
                <w:szCs w:val="17"/>
                <w:color w:val="auto"/>
                <w:w w:val="92"/>
              </w:rPr>
              <w:t>(5,621)</w:t>
            </w:r>
          </w:p>
        </w:tc>
        <w:tc>
          <w:tcPr>
            <w:tcW w:w="120" w:type="dxa"/>
            <w:vAlign w:val="bottom"/>
          </w:tcPr>
          <w:p>
            <w:pPr>
              <w:spacing w:after="0"/>
              <w:rPr>
                <w:sz w:val="19"/>
                <w:szCs w:val="19"/>
                <w:color w:val="auto"/>
              </w:rPr>
            </w:pPr>
          </w:p>
        </w:tc>
        <w:tc>
          <w:tcPr>
            <w:tcW w:w="1840" w:type="dxa"/>
            <w:vAlign w:val="bottom"/>
          </w:tcPr>
          <w:p>
            <w:pPr>
              <w:jc w:val="right"/>
              <w:ind w:right="254"/>
              <w:spacing w:after="0"/>
              <w:rPr>
                <w:sz w:val="20"/>
                <w:szCs w:val="20"/>
                <w:color w:val="auto"/>
              </w:rPr>
            </w:pPr>
            <w:r>
              <w:rPr>
                <w:rFonts w:ascii="Arial" w:cs="Arial" w:eastAsia="Arial" w:hAnsi="Arial"/>
                <w:sz w:val="17"/>
                <w:szCs w:val="17"/>
                <w:color w:val="auto"/>
              </w:rPr>
              <w:t>32,277</w:t>
            </w:r>
          </w:p>
        </w:tc>
        <w:tc>
          <w:tcPr>
            <w:tcW w:w="900" w:type="dxa"/>
            <w:vAlign w:val="bottom"/>
          </w:tcPr>
          <w:p>
            <w:pPr>
              <w:jc w:val="right"/>
              <w:spacing w:after="0"/>
              <w:rPr>
                <w:sz w:val="20"/>
                <w:szCs w:val="20"/>
                <w:color w:val="auto"/>
              </w:rPr>
            </w:pPr>
            <w:r>
              <w:rPr>
                <w:rFonts w:ascii="Arial" w:cs="Arial" w:eastAsia="Arial" w:hAnsi="Arial"/>
                <w:sz w:val="17"/>
                <w:szCs w:val="17"/>
                <w:color w:val="auto"/>
              </w:rPr>
              <w:t>26,656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-530225</wp:posOffset>
            </wp:positionV>
            <wp:extent cx="5059045" cy="254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59045" cy="254000"/>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-137795</wp:posOffset>
            </wp:positionV>
            <wp:extent cx="5059045" cy="139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59045"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820" w:space="720"/>
            <w:col w:w="7700"/>
          </w:cols>
          <w:pgMar w:left="320" w:top="131"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560" w:type="dxa"/>
            <w:vAlign w:val="bottom"/>
          </w:tcPr>
          <w:p>
            <w:pPr>
              <w:ind w:left="20"/>
              <w:spacing w:after="0" w:line="194" w:lineRule="exact"/>
              <w:rPr>
                <w:sz w:val="20"/>
                <w:szCs w:val="20"/>
                <w:color w:val="auto"/>
              </w:rPr>
            </w:pPr>
            <w:r>
              <w:rPr>
                <w:rFonts w:ascii="Arial" w:cs="Arial" w:eastAsia="Arial" w:hAnsi="Arial"/>
                <w:sz w:val="17"/>
                <w:szCs w:val="17"/>
                <w:color w:val="auto"/>
              </w:rPr>
              <w:t>Ending balance at March 31, 2022</w:t>
            </w:r>
          </w:p>
        </w:tc>
        <w:tc>
          <w:tcPr>
            <w:tcW w:w="560" w:type="dxa"/>
            <w:vAlign w:val="bottom"/>
            <w:tcBorders>
              <w:top w:val="single" w:sz="8" w:color="auto"/>
            </w:tcBorders>
          </w:tcPr>
          <w:p>
            <w:pPr>
              <w:jc w:val="right"/>
              <w:ind w:right="374"/>
              <w:spacing w:after="0" w:line="194"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6,605</w:t>
            </w:r>
          </w:p>
        </w:tc>
        <w:tc>
          <w:tcPr>
            <w:tcW w:w="620" w:type="dxa"/>
            <w:vAlign w:val="bottom"/>
            <w:tcBorders>
              <w:top w:val="single" w:sz="8" w:color="auto"/>
            </w:tcBorders>
          </w:tcPr>
          <w:p>
            <w:pPr>
              <w:jc w:val="right"/>
              <w:ind w:right="434"/>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32,277</w:t>
            </w:r>
          </w:p>
        </w:tc>
        <w:tc>
          <w:tcPr>
            <w:tcW w:w="420" w:type="dxa"/>
            <w:vAlign w:val="bottom"/>
            <w:tcBorders>
              <w:top w:val="single" w:sz="8" w:color="auto"/>
            </w:tcBorders>
          </w:tcPr>
          <w:p>
            <w:pPr>
              <w:jc w:val="right"/>
              <w:ind w:right="214"/>
              <w:spacing w:after="0" w:line="194"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7"/>
                <w:szCs w:val="17"/>
                <w:color w:val="auto"/>
              </w:rPr>
              <w:t>38,882</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2,222</w:t>
            </w:r>
          </w:p>
        </w:tc>
      </w:tr>
      <w:tr>
        <w:trPr>
          <w:trHeight w:val="211"/>
        </w:trPr>
        <w:tc>
          <w:tcPr>
            <w:tcW w:w="3560" w:type="dxa"/>
            <w:vAlign w:val="bottom"/>
          </w:tcPr>
          <w:p>
            <w:pPr>
              <w:ind w:left="20"/>
              <w:spacing w:after="0"/>
              <w:rPr>
                <w:sz w:val="20"/>
                <w:szCs w:val="20"/>
                <w:color w:val="auto"/>
              </w:rPr>
            </w:pPr>
            <w:r>
              <w:rPr>
                <w:rFonts w:ascii="Arial" w:cs="Arial" w:eastAsia="Arial" w:hAnsi="Arial"/>
                <w:sz w:val="17"/>
                <w:szCs w:val="17"/>
                <w:color w:val="auto"/>
              </w:rPr>
              <w:t>Ending balance at June 30, 2022</w:t>
            </w: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8,388</w:t>
            </w: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32,716</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41,104</w:t>
            </w:r>
          </w:p>
        </w:tc>
      </w:tr>
      <w:tr>
        <w:trPr>
          <w:trHeight w:val="219"/>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3560" w:type="dxa"/>
            <w:vAlign w:val="bottom"/>
          </w:tcPr>
          <w:p>
            <w:pPr>
              <w:ind w:left="20"/>
              <w:spacing w:after="0"/>
              <w:rPr>
                <w:sz w:val="20"/>
                <w:szCs w:val="20"/>
                <w:color w:val="auto"/>
              </w:rPr>
            </w:pPr>
            <w:r>
              <w:rPr>
                <w:rFonts w:ascii="Arial" w:cs="Arial" w:eastAsia="Arial" w:hAnsi="Arial"/>
                <w:sz w:val="17"/>
                <w:szCs w:val="17"/>
                <w:color w:val="auto"/>
              </w:rPr>
              <w:t>Ending balance at September 30, 2022</w:t>
            </w: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8,201</w:t>
            </w: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32,884</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41,085</w:t>
            </w:r>
          </w:p>
        </w:tc>
      </w:tr>
      <w:tr>
        <w:trPr>
          <w:trHeight w:val="20"/>
        </w:trPr>
        <w:tc>
          <w:tcPr>
            <w:tcW w:w="3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right="20" w:firstLine="619"/>
        <w:spacing w:after="0" w:line="279" w:lineRule="auto"/>
        <w:rPr>
          <w:sz w:val="20"/>
          <w:szCs w:val="20"/>
          <w:color w:val="auto"/>
        </w:rPr>
      </w:pPr>
      <w:r>
        <w:rPr>
          <w:rFonts w:ascii="Arial" w:cs="Arial" w:eastAsia="Arial" w:hAnsi="Arial"/>
          <w:sz w:val="17"/>
          <w:szCs w:val="17"/>
          <w:color w:val="auto"/>
        </w:rPr>
        <w:t>The amortized cost basis of the Company's investment in leases, financing receivables by year of origination is shown below as of September 30, 2023 (in thousands):</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4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Origination year</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4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4"/>
              <w:spacing w:after="0"/>
              <w:rPr>
                <w:sz w:val="20"/>
                <w:szCs w:val="20"/>
                <w:color w:val="auto"/>
              </w:rPr>
            </w:pPr>
            <w:r>
              <w:rPr>
                <w:rFonts w:ascii="Arial" w:cs="Arial" w:eastAsia="Arial" w:hAnsi="Arial"/>
                <w:sz w:val="17"/>
                <w:szCs w:val="17"/>
                <w:b w:val="1"/>
                <w:bCs w:val="1"/>
                <w:color w:val="auto"/>
              </w:rPr>
              <w:t>2023</w:t>
            </w:r>
          </w:p>
        </w:tc>
        <w:tc>
          <w:tcPr>
            <w:tcW w:w="180" w:type="dxa"/>
            <w:vAlign w:val="bottom"/>
          </w:tcPr>
          <w:p>
            <w:pPr>
              <w:spacing w:after="0"/>
              <w:rPr>
                <w:sz w:val="19"/>
                <w:szCs w:val="19"/>
                <w:color w:val="auto"/>
              </w:rPr>
            </w:pPr>
          </w:p>
        </w:tc>
        <w:tc>
          <w:tcPr>
            <w:tcW w:w="1420" w:type="dxa"/>
            <w:vAlign w:val="bottom"/>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Investment in leases, financing receivables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100,361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702,466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1,236,500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2,039,327</w:t>
            </w:r>
          </w:p>
        </w:tc>
      </w:tr>
      <w:tr>
        <w:trPr>
          <w:trHeight w:val="218"/>
        </w:trPr>
        <w:tc>
          <w:tcPr>
            <w:tcW w:w="4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Allowance for credit losses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(3,867)</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(26,342)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(10,567)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(40,776)</w:t>
            </w:r>
          </w:p>
        </w:tc>
      </w:tr>
      <w:tr>
        <w:trPr>
          <w:trHeight w:val="238"/>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Amortized cost basis at September 30, 2023</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96,494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676,124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1,225,933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1,998,551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w w:val="91"/>
              </w:rPr>
              <w:t>Allowance as a percentage of outstanding financing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During the three months ended September 30, 2023, a provision for credit losses, net of $1.6 million was recorded. This was a result of the initial establishment of $6.2 million of reserves on the Rockford Lease and Rockford Loan (See Note 5) which was partially offset by a benefit of $4.6 million on the Maryland Live! Lease and Pennsylvania Live! Master Lease as the result of an improved Commercial Real Estate Price Index forecast compared to the forecast utilized as of June 30, 2023.</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During the nine months ended September 30, 2023, the Company recorded a provision for credit losses, net of $24.0 million. This was primarily due to a decline in the estimated real estate values underlying the Company's Investment in leases, financing receivables. These values are estimated based on long term projections of the Commercial Real Estate Price Index which, as of September 30, 2023, have declined relative to December 31, 2022. Commercial real estate prices are anticipated to remain at low levels for several quarters based on the third party economic forecast the Company utilizes to calculate its reserve for credit losses.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During the nine months ended September 30, 2022, the Company recorded a provision for credit losses, net of $28.9 million. This was primarily due to an initial allowance for credit losses of $32.3 million on the Pennsylvania Live! Master Lease which was originated on March 1, 2022. This was partially offset by a benefit recorded on the Maryland Live! Lease due to improved performance at that facility compared to previous expectations. This resulted in an improved rent coverage ratio in the Company's reserve calculation which led to a reduction in the Maryland Live! Lease reserve at September 30, 2022 compared to December 31, 2021.</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reason for the higher allowance for credit losses as a percentage of the outstanding investment in leases for the Rockford Lease and Pennsylvania Live! Master Lease compared to the Maryland Live! Lease is primarily due to the significantly higher rent coverage ratio on the Maryland Live! Lease compared to the Pennsylvania Live! Master Lease and the expected coverage ratio on the Rockford Lease. 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20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Real Estate Investments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Real estate investments, net, represents investments in rental properties and the corporate headquarters building and is summarized as follows:</w:t>
      </w:r>
    </w:p>
    <w:p>
      <w:pPr>
        <w:spacing w:after="0" w:line="3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98"/>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2022</w:t>
            </w:r>
          </w:p>
        </w:tc>
      </w:tr>
      <w:tr>
        <w:trPr>
          <w:trHeight w:val="18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918"/>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3,552,221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3,189,141</w:t>
            </w:r>
          </w:p>
        </w:tc>
      </w:tr>
      <w:tr>
        <w:trPr>
          <w:trHeight w:val="218"/>
        </w:trPr>
        <w:tc>
          <w:tcPr>
            <w:tcW w:w="708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6,787,659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6,407,313</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29,564</w:t>
            </w:r>
          </w:p>
        </w:tc>
      </w:tr>
      <w:tr>
        <w:trPr>
          <w:trHeight w:val="211"/>
        </w:trPr>
        <w:tc>
          <w:tcPr>
            <w:tcW w:w="7080" w:type="dxa"/>
            <w:vAlign w:val="bottom"/>
          </w:tcPr>
          <w:p>
            <w:pPr>
              <w:ind w:left="140"/>
              <w:spacing w:after="0"/>
              <w:rPr>
                <w:sz w:val="20"/>
                <w:szCs w:val="20"/>
                <w:color w:val="auto"/>
              </w:rPr>
            </w:pPr>
            <w:r>
              <w:rPr>
                <w:rFonts w:ascii="Arial" w:cs="Arial" w:eastAsia="Arial" w:hAnsi="Arial"/>
                <w:sz w:val="17"/>
                <w:szCs w:val="17"/>
                <w:color w:val="auto"/>
              </w:rPr>
              <w:t>Total real estate investments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10,339,880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9,626,018</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1"/>
              </w:rPr>
              <w:t>(2,113,577)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w w:val="91"/>
              </w:rPr>
              <w:t>(1,918,083)</w:t>
            </w:r>
          </w:p>
        </w:tc>
      </w:tr>
      <w:tr>
        <w:trPr>
          <w:trHeight w:val="213"/>
        </w:trPr>
        <w:tc>
          <w:tcPr>
            <w:tcW w:w="7080" w:type="dxa"/>
            <w:vAlign w:val="bottom"/>
          </w:tcPr>
          <w:p>
            <w:pPr>
              <w:ind w:left="20"/>
              <w:spacing w:after="0"/>
              <w:rPr>
                <w:sz w:val="20"/>
                <w:szCs w:val="20"/>
                <w:color w:val="auto"/>
              </w:rPr>
            </w:pPr>
            <w:r>
              <w:rPr>
                <w:rFonts w:ascii="Arial" w:cs="Arial" w:eastAsia="Arial" w:hAnsi="Arial"/>
                <w:sz w:val="17"/>
                <w:szCs w:val="17"/>
                <w:color w:val="auto"/>
              </w:rPr>
              <w:t>Real estate investments,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8,226,303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7,707,935</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Company's landside development project at Casino Queen Baton Rouge was completed in late August 2023. The Company also acquired the land and certain real estate assets of Bally's Biloxi, Bally's Tiverton and Casino Queen Marquette in 2023. See Note 15 for details.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Real estate loans, net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discussed in Note 1, the Company entered into the Rockford Loan during the three months ended September 30, 2023 and $40 million of the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$150 million commitment was drawn as of September 30, 2023. The Rockford Loan has a 10% interest rate and a draw period of up to 1 year and a maximum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outstanding period of up to 6 years (5-year initial term with a 1-year extension). The following is a summary of the balances of the Company's Real estate loans,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net.</w:t>
      </w:r>
    </w:p>
    <w:p>
      <w:pPr>
        <w:spacing w:after="0" w:line="241"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1680" w:type="dxa"/>
            <w:vAlign w:val="bottom"/>
          </w:tcPr>
          <w:p>
            <w:pPr>
              <w:jc w:val="center"/>
              <w:ind w:right="441"/>
              <w:spacing w:after="0"/>
              <w:rPr>
                <w:sz w:val="20"/>
                <w:szCs w:val="20"/>
                <w:color w:val="auto"/>
              </w:rPr>
            </w:pPr>
            <w:r>
              <w:rPr>
                <w:rFonts w:ascii="Arial" w:cs="Arial" w:eastAsia="Arial" w:hAnsi="Arial"/>
                <w:sz w:val="14"/>
                <w:szCs w:val="14"/>
                <w:b w:val="1"/>
                <w:bCs w:val="1"/>
                <w:color w:val="auto"/>
                <w:w w:val="87"/>
              </w:rPr>
              <w:t>December 31,</w:t>
            </w:r>
          </w:p>
        </w:tc>
      </w:tr>
      <w:tr>
        <w:trPr>
          <w:trHeight w:val="184"/>
        </w:trPr>
        <w:tc>
          <w:tcPr>
            <w:tcW w:w="2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b w:val="1"/>
                <w:bCs w:val="1"/>
                <w:color w:val="auto"/>
              </w:rPr>
              <w:t>2022</w:t>
            </w:r>
          </w:p>
        </w:tc>
      </w:tr>
      <w:tr>
        <w:trPr>
          <w:trHeight w:val="185"/>
        </w:trPr>
        <w:tc>
          <w:tcPr>
            <w:tcW w:w="2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6"/>
                <w:szCs w:val="16"/>
                <w:color w:val="auto"/>
              </w:rPr>
            </w:pPr>
          </w:p>
        </w:tc>
      </w:tr>
      <w:tr>
        <w:trPr>
          <w:trHeight w:val="227"/>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loans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ind w:left="1440"/>
              <w:spacing w:after="0"/>
              <w:rPr>
                <w:sz w:val="20"/>
                <w:szCs w:val="20"/>
                <w:color w:val="auto"/>
              </w:rPr>
            </w:pPr>
            <w:r>
              <w:rPr>
                <w:rFonts w:ascii="Arial" w:cs="Arial" w:eastAsia="Arial" w:hAnsi="Arial"/>
                <w:sz w:val="17"/>
                <w:szCs w:val="17"/>
                <w:color w:val="auto"/>
              </w:rPr>
              <w:t>—</w:t>
            </w:r>
          </w:p>
        </w:tc>
      </w:tr>
      <w:tr>
        <w:trPr>
          <w:trHeight w:val="218"/>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credit losses</w:t>
            </w: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7"/>
                <w:szCs w:val="17"/>
                <w:color w:val="auto"/>
              </w:rPr>
              <w:t>—</w:t>
            </w:r>
          </w:p>
        </w:tc>
      </w:tr>
      <w:tr>
        <w:trPr>
          <w:trHeight w:val="23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loans, net</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7"/>
                <w:szCs w:val="17"/>
                <w:color w:val="auto"/>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 in the allowance for credit losses for the Company's Real estate loans is shown below (in thousands):</w:t>
      </w:r>
    </w:p>
    <w:p>
      <w:pPr>
        <w:spacing w:after="0" w:line="281"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3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94"/>
              </w:rPr>
              <w:t>Rockford Loan</w:t>
            </w:r>
          </w:p>
        </w:tc>
      </w:tr>
      <w:tr>
        <w:trPr>
          <w:trHeight w:val="218"/>
        </w:trPr>
        <w:tc>
          <w:tcPr>
            <w:tcW w:w="354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r>
      <w:tr>
        <w:trPr>
          <w:trHeight w:val="213"/>
        </w:trPr>
        <w:tc>
          <w:tcPr>
            <w:tcW w:w="3540" w:type="dxa"/>
            <w:vAlign w:val="bottom"/>
          </w:tcPr>
          <w:p>
            <w:pPr>
              <w:ind w:left="20"/>
              <w:spacing w:after="0"/>
              <w:rPr>
                <w:sz w:val="20"/>
                <w:szCs w:val="20"/>
                <w:color w:val="auto"/>
              </w:rPr>
            </w:pPr>
            <w:r>
              <w:rPr>
                <w:rFonts w:ascii="Arial" w:cs="Arial" w:eastAsia="Arial" w:hAnsi="Arial"/>
                <w:sz w:val="17"/>
                <w:szCs w:val="17"/>
                <w:color w:val="auto"/>
              </w:rPr>
              <w:t>Ending balance at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Rockford Loan is subject to CECL, which is described in Note 3. The Company recorded provision for credit losses of $0.7 million and $1.6 million on the Rockford Loan and the associated $110 million unfunded loan commitment, respectively, for the three month period ended September 30, 2023. The reserve for the unfunded loan commitment was recorded in other liabilities on the Condensed Consolidated Balance Sheets. The borrower is current on its loan obligation as of September 30, 2023.</w:t>
      </w:r>
    </w:p>
    <w:p>
      <w:pPr>
        <w:spacing w:after="0" w:line="198" w:lineRule="exact"/>
        <w:rPr>
          <w:sz w:val="20"/>
          <w:szCs w:val="20"/>
          <w:color w:val="auto"/>
        </w:rPr>
      </w:pPr>
    </w:p>
    <w:p>
      <w:pPr>
        <w:ind w:right="8460" w:firstLine="3"/>
        <w:spacing w:after="0" w:line="541" w:lineRule="auto"/>
        <w:tabs>
          <w:tab w:leader="none" w:pos="30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28"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ind w:left="620"/>
        <w:spacing w:after="0"/>
        <w:rPr>
          <w:sz w:val="20"/>
          <w:szCs w:val="20"/>
          <w:color w:val="auto"/>
        </w:rPr>
      </w:pPr>
      <w:r>
        <w:rPr>
          <w:rFonts w:ascii="Arial" w:cs="Arial" w:eastAsia="Arial" w:hAnsi="Arial"/>
          <w:sz w:val="17"/>
          <w:szCs w:val="17"/>
          <w:color w:val="auto"/>
        </w:rPr>
        <w:t>Components of the Company's right-of use assets and land rights, net are detailed below (in thousands):</w:t>
      </w:r>
    </w:p>
    <w:p>
      <w:pPr>
        <w:spacing w:after="0" w:line="39" w:lineRule="exact"/>
        <w:rPr>
          <w:sz w:val="20"/>
          <w:szCs w:val="20"/>
          <w:color w:val="auto"/>
        </w:rPr>
      </w:pPr>
    </w:p>
    <w:tbl>
      <w:tblPr>
        <w:tblLayout w:type="fixed"/>
        <w:tblInd w:w="136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1600" w:type="dxa"/>
            <w:vAlign w:val="bottom"/>
          </w:tcPr>
          <w:p>
            <w:pPr>
              <w:jc w:val="right"/>
              <w:ind w:right="298"/>
              <w:spacing w:after="0"/>
              <w:rPr>
                <w:sz w:val="20"/>
                <w:szCs w:val="20"/>
                <w:color w:val="auto"/>
              </w:rPr>
            </w:pPr>
            <w:r>
              <w:rPr>
                <w:rFonts w:ascii="Arial" w:cs="Arial" w:eastAsia="Arial" w:hAnsi="Arial"/>
                <w:sz w:val="14"/>
                <w:szCs w:val="14"/>
                <w:b w:val="1"/>
                <w:bCs w:val="1"/>
                <w:color w:val="auto"/>
                <w:w w:val="95"/>
              </w:rPr>
              <w:t>December 31, 2022</w:t>
            </w:r>
          </w:p>
        </w:tc>
      </w:tr>
      <w:tr>
        <w:trPr>
          <w:trHeight w:val="24"/>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2"/>
        </w:trPr>
        <w:tc>
          <w:tcPr>
            <w:tcW w:w="538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Right-of use assets - operating leases </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181,243</w:t>
            </w:r>
          </w:p>
        </w:tc>
      </w:tr>
      <w:tr>
        <w:trPr>
          <w:trHeight w:val="21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Land rights, net</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642,546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652,824</w:t>
            </w: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Right-of-use assets and land rights,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839,295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834,067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firstLine="3"/>
        <w:spacing w:after="0" w:line="219"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During the three month period ended September 30, 2023, the Company acquired certain real estate assets at the Belle at Baton Rouge and the previously recorded right-of use assets and related accumulated amortization associated with the ground leases at this property totaling $0.4 million were written off.</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 Rights</w:t>
      </w:r>
    </w:p>
    <w:p>
      <w:pPr>
        <w:spacing w:after="0" w:line="249" w:lineRule="exact"/>
        <w:rPr>
          <w:sz w:val="20"/>
          <w:szCs w:val="20"/>
          <w:color w:val="auto"/>
        </w:rPr>
      </w:pPr>
    </w:p>
    <w:p>
      <w:pPr>
        <w:ind w:right="100" w:firstLine="619"/>
        <w:spacing w:after="0" w:line="270" w:lineRule="auto"/>
        <w:rPr>
          <w:sz w:val="20"/>
          <w:szCs w:val="20"/>
          <w:color w:val="auto"/>
        </w:rPr>
      </w:pPr>
      <w:r>
        <w:rPr>
          <w:rFonts w:ascii="Arial" w:cs="Arial" w:eastAsia="Arial" w:hAnsi="Arial"/>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1000" w:type="dxa"/>
        <w:tblCellMar>
          <w:top w:w="0" w:type="dxa"/>
          <w:left w:w="0" w:type="dxa"/>
          <w:bottom w:w="0" w:type="dxa"/>
          <w:right w:w="0" w:type="dxa"/>
        </w:tblCellMar>
      </w:tblPr>
      <w:tr>
        <w:trPr>
          <w:trHeight w:val="143"/>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2"/>
                <w:szCs w:val="12"/>
                <w:color w:val="auto"/>
              </w:rPr>
            </w:pPr>
          </w:p>
        </w:tc>
        <w:tc>
          <w:tcPr>
            <w:tcW w:w="118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w w:val="87"/>
              </w:rPr>
              <w:t>December 31,</w:t>
            </w:r>
          </w:p>
        </w:tc>
      </w:tr>
      <w:tr>
        <w:trPr>
          <w:trHeight w:val="184"/>
        </w:trPr>
        <w:tc>
          <w:tcPr>
            <w:tcW w:w="7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185"/>
        </w:trPr>
        <w:tc>
          <w:tcPr>
            <w:tcW w:w="7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ind w:left="820"/>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020" w:type="dxa"/>
            <w:vAlign w:val="bottom"/>
            <w:shd w:val="clear" w:color="auto" w:fill="CCEEFF"/>
          </w:tcPr>
          <w:p>
            <w:pPr>
              <w:ind w:left="20"/>
              <w:spacing w:after="0" w:line="227" w:lineRule="exact"/>
              <w:rPr>
                <w:sz w:val="20"/>
                <w:szCs w:val="20"/>
                <w:color w:val="auto"/>
              </w:rPr>
            </w:pPr>
            <w:r>
              <w:rPr>
                <w:rFonts w:ascii="Arial" w:cs="Arial" w:eastAsia="Arial" w:hAnsi="Arial"/>
                <w:sz w:val="17"/>
                <w:szCs w:val="17"/>
                <w:color w:val="auto"/>
              </w:rPr>
              <w:t xml:space="preserve">Land rights </w:t>
            </w:r>
            <w:r>
              <w:rPr>
                <w:rFonts w:ascii="Arial" w:cs="Arial" w:eastAsia="Arial" w:hAnsi="Arial"/>
                <w:sz w:val="22"/>
                <w:szCs w:val="22"/>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7"/>
                <w:szCs w:val="17"/>
                <w:color w:val="auto"/>
                <w:w w:val="97"/>
              </w:rPr>
              <w:t>727,114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7"/>
                <w:szCs w:val="17"/>
                <w:color w:val="auto"/>
                <w:w w:val="97"/>
              </w:rPr>
              <w:t>727,796</w:t>
            </w:r>
          </w:p>
        </w:tc>
      </w:tr>
      <w:tr>
        <w:trPr>
          <w:trHeight w:val="219"/>
        </w:trPr>
        <w:tc>
          <w:tcPr>
            <w:tcW w:w="70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 xml:space="preserve">Less accumulated amortization </w:t>
            </w:r>
            <w:r>
              <w:rPr>
                <w:rFonts w:ascii="Arial" w:cs="Arial" w:eastAsia="Arial" w:hAnsi="Arial"/>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91"/>
              </w:rPr>
              <w:t>(84,568)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4"/>
              </w:rPr>
              <w:t>(74,972)</w:t>
            </w: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w w:val="97"/>
              </w:rPr>
              <w:t>642,546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w w:val="97"/>
              </w:rPr>
              <w:t>652,824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right="60" w:firstLine="3"/>
        <w:spacing w:after="0" w:line="219" w:lineRule="auto"/>
        <w:tabs>
          <w:tab w:leader="none" w:pos="345" w:val="left"/>
        </w:tabs>
        <w:numPr>
          <w:ilvl w:val="0"/>
          <w:numId w:val="9"/>
        </w:numPr>
        <w:rPr>
          <w:rFonts w:ascii="Arial" w:cs="Arial" w:eastAsia="Arial" w:hAnsi="Arial"/>
          <w:sz w:val="22"/>
          <w:szCs w:val="22"/>
          <w:color w:val="auto"/>
          <w:vertAlign w:val="superscript"/>
        </w:rPr>
      </w:pPr>
      <w:r>
        <w:rPr>
          <w:rFonts w:ascii="Arial" w:cs="Arial" w:eastAsia="Arial" w:hAnsi="Arial"/>
          <w:sz w:val="15"/>
          <w:szCs w:val="15"/>
          <w:color w:val="auto"/>
        </w:rPr>
        <w:t>During the three month period ended September 30, 2023, the Company acquired certain real estate assets at the Belle at Baton Rouge and the previously recorded land rights and related accumulated amortization associated with the ground leases at this property totaling $0.7 million were written off.</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As of September 30, 2023, estimated future amortization expense related to the Company’s land rights by fiscal year is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4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4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w:t>
            </w:r>
          </w:p>
        </w:tc>
        <w:tc>
          <w:tcPr>
            <w:tcW w:w="0" w:type="dxa"/>
            <w:vAlign w:val="bottom"/>
          </w:tcPr>
          <w:p>
            <w:pPr>
              <w:spacing w:after="0"/>
              <w:rPr>
                <w:sz w:val="1"/>
                <w:szCs w:val="1"/>
                <w:color w:val="auto"/>
              </w:rPr>
            </w:pPr>
          </w:p>
        </w:tc>
      </w:tr>
      <w:tr>
        <w:trPr>
          <w:trHeight w:val="218"/>
        </w:trPr>
        <w:tc>
          <w:tcPr>
            <w:tcW w:w="2900" w:type="dxa"/>
            <w:vAlign w:val="bottom"/>
            <w:gridSpan w:val="2"/>
          </w:tcPr>
          <w:p>
            <w:pPr>
              <w:ind w:left="136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13,104</w:t>
            </w:r>
          </w:p>
        </w:tc>
        <w:tc>
          <w:tcPr>
            <w:tcW w:w="0" w:type="dxa"/>
            <w:vAlign w:val="bottom"/>
          </w:tcPr>
          <w:p>
            <w:pPr>
              <w:spacing w:after="0"/>
              <w:rPr>
                <w:sz w:val="1"/>
                <w:szCs w:val="1"/>
                <w:color w:val="auto"/>
              </w:rPr>
            </w:pPr>
          </w:p>
        </w:tc>
      </w:tr>
      <w:tr>
        <w:trPr>
          <w:trHeight w:val="220"/>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13,104</w:t>
            </w:r>
          </w:p>
        </w:tc>
        <w:tc>
          <w:tcPr>
            <w:tcW w:w="0" w:type="dxa"/>
            <w:vAlign w:val="bottom"/>
          </w:tcPr>
          <w:p>
            <w:pPr>
              <w:spacing w:after="0"/>
              <w:rPr>
                <w:sz w:val="1"/>
                <w:szCs w:val="1"/>
                <w:color w:val="auto"/>
              </w:rPr>
            </w:pPr>
          </w:p>
        </w:tc>
      </w:tr>
      <w:tr>
        <w:trPr>
          <w:trHeight w:val="218"/>
        </w:trPr>
        <w:tc>
          <w:tcPr>
            <w:tcW w:w="2900" w:type="dxa"/>
            <w:vAlign w:val="bottom"/>
            <w:gridSpan w:val="2"/>
          </w:tcPr>
          <w:p>
            <w:pPr>
              <w:ind w:left="136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13,104</w:t>
            </w:r>
          </w:p>
        </w:tc>
        <w:tc>
          <w:tcPr>
            <w:tcW w:w="0" w:type="dxa"/>
            <w:vAlign w:val="bottom"/>
          </w:tcPr>
          <w:p>
            <w:pPr>
              <w:spacing w:after="0"/>
              <w:rPr>
                <w:sz w:val="1"/>
                <w:szCs w:val="1"/>
                <w:color w:val="auto"/>
              </w:rPr>
            </w:pPr>
          </w:p>
        </w:tc>
      </w:tr>
      <w:tr>
        <w:trPr>
          <w:trHeight w:val="220"/>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13,104</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544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586,854</w:t>
            </w:r>
          </w:p>
        </w:tc>
        <w:tc>
          <w:tcPr>
            <w:tcW w:w="0" w:type="dxa"/>
            <w:vAlign w:val="bottom"/>
          </w:tcPr>
          <w:p>
            <w:pPr>
              <w:spacing w:after="0"/>
              <w:rPr>
                <w:sz w:val="1"/>
                <w:szCs w:val="1"/>
                <w:color w:val="auto"/>
              </w:rPr>
            </w:pPr>
          </w:p>
        </w:tc>
      </w:tr>
      <w:tr>
        <w:trPr>
          <w:trHeight w:val="233"/>
        </w:trPr>
        <w:tc>
          <w:tcPr>
            <w:tcW w:w="1360" w:type="dxa"/>
            <w:vAlign w:val="bottom"/>
            <w:tcBorders>
              <w:right w:val="single" w:sz="8" w:color="CCEEFF"/>
            </w:tcBorders>
          </w:tcPr>
          <w:p>
            <w:pPr>
              <w:spacing w:after="0"/>
              <w:rPr>
                <w:sz w:val="20"/>
                <w:szCs w:val="20"/>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642,546</w:t>
            </w:r>
          </w:p>
        </w:tc>
        <w:tc>
          <w:tcPr>
            <w:tcW w:w="0" w:type="dxa"/>
            <w:vAlign w:val="bottom"/>
          </w:tcPr>
          <w:p>
            <w:pPr>
              <w:spacing w:after="0"/>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ind w:left="620"/>
              <w:spacing w:after="0"/>
              <w:rPr>
                <w:sz w:val="20"/>
                <w:szCs w:val="20"/>
                <w:color w:val="auto"/>
              </w:rPr>
            </w:pPr>
            <w:r>
              <w:rPr>
                <w:rFonts w:ascii="Arial" w:cs="Arial" w:eastAsia="Arial" w:hAnsi="Arial"/>
                <w:sz w:val="17"/>
                <w:szCs w:val="17"/>
                <w:color w:val="auto"/>
              </w:rPr>
              <w:t>At September 30, 2023,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4"/>
          </w:tcPr>
          <w:p>
            <w:pPr>
              <w:ind w:left="3040"/>
              <w:spacing w:after="0"/>
              <w:rPr>
                <w:sz w:val="20"/>
                <w:szCs w:val="20"/>
                <w:color w:val="auto"/>
              </w:rPr>
            </w:pPr>
            <w:r>
              <w:rPr>
                <w:rFonts w:ascii="Arial" w:cs="Arial" w:eastAsia="Arial" w:hAnsi="Arial"/>
                <w:sz w:val="17"/>
                <w:szCs w:val="17"/>
                <w:color w:val="auto"/>
              </w:rPr>
              <w:t>2024</w:t>
            </w: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14,566</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4"/>
          </w:tcPr>
          <w:p>
            <w:pPr>
              <w:ind w:left="3040"/>
              <w:spacing w:after="0"/>
              <w:rPr>
                <w:sz w:val="20"/>
                <w:szCs w:val="20"/>
                <w:color w:val="auto"/>
              </w:rPr>
            </w:pPr>
            <w:r>
              <w:rPr>
                <w:rFonts w:ascii="Arial" w:cs="Arial" w:eastAsia="Arial" w:hAnsi="Arial"/>
                <w:sz w:val="17"/>
                <w:szCs w:val="17"/>
                <w:color w:val="auto"/>
              </w:rPr>
              <w:t>2026</w:t>
            </w: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14,512</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14,038</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655,942</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717,222</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interest</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(519,849)</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197,373</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94" w:right="39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Lease Expense</w:t>
      </w:r>
    </w:p>
    <w:p>
      <w:pPr>
        <w:spacing w:after="0" w:line="249"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expense were as follows (in thousands):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3480" w:type="dxa"/>
            <w:vAlign w:val="bottom"/>
          </w:tcPr>
          <w:p>
            <w:pPr>
              <w:spacing w:after="0"/>
              <w:rPr>
                <w:sz w:val="17"/>
                <w:szCs w:val="17"/>
                <w:color w:val="auto"/>
              </w:rPr>
            </w:pPr>
          </w:p>
        </w:tc>
        <w:tc>
          <w:tcPr>
            <w:tcW w:w="3140" w:type="dxa"/>
            <w:vAlign w:val="bottom"/>
            <w:gridSpan w:val="4"/>
          </w:tcPr>
          <w:p>
            <w:pPr>
              <w:jc w:val="right"/>
              <w:spacing w:after="0"/>
              <w:rPr>
                <w:sz w:val="20"/>
                <w:szCs w:val="20"/>
                <w:color w:val="auto"/>
              </w:rPr>
            </w:pPr>
            <w:r>
              <w:rPr>
                <w:rFonts w:ascii="Arial" w:cs="Arial" w:eastAsia="Arial" w:hAnsi="Arial"/>
                <w:sz w:val="15"/>
                <w:szCs w:val="15"/>
                <w:b w:val="1"/>
                <w:bCs w:val="1"/>
                <w:color w:val="auto"/>
              </w:rPr>
              <w:t>Three Months Ended September 30,</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4"/>
          </w:tcPr>
          <w:p>
            <w:pPr>
              <w:jc w:val="center"/>
              <w:ind w:left="501"/>
              <w:spacing w:after="0"/>
              <w:rPr>
                <w:sz w:val="20"/>
                <w:szCs w:val="20"/>
                <w:color w:val="auto"/>
              </w:rPr>
            </w:pPr>
            <w:r>
              <w:rPr>
                <w:rFonts w:ascii="Arial" w:cs="Arial" w:eastAsia="Arial" w:hAnsi="Arial"/>
                <w:sz w:val="15"/>
                <w:szCs w:val="15"/>
                <w:b w:val="1"/>
                <w:bCs w:val="1"/>
                <w:color w:val="auto"/>
                <w:w w:val="93"/>
              </w:rPr>
              <w:t>Nine Months Ended September 30,</w:t>
            </w:r>
          </w:p>
        </w:tc>
        <w:tc>
          <w:tcPr>
            <w:tcW w:w="400" w:type="dxa"/>
            <w:vAlign w:val="bottom"/>
          </w:tcPr>
          <w:p>
            <w:pPr>
              <w:spacing w:after="0"/>
              <w:rPr>
                <w:sz w:val="17"/>
                <w:szCs w:val="17"/>
                <w:color w:val="auto"/>
              </w:rPr>
            </w:pPr>
          </w:p>
        </w:tc>
      </w:tr>
      <w:tr>
        <w:trPr>
          <w:trHeight w:val="178"/>
        </w:trPr>
        <w:tc>
          <w:tcPr>
            <w:tcW w:w="3480" w:type="dxa"/>
            <w:vAlign w:val="bottom"/>
          </w:tcPr>
          <w:p>
            <w:pPr>
              <w:spacing w:after="0"/>
              <w:rPr>
                <w:sz w:val="15"/>
                <w:szCs w:val="15"/>
                <w:color w:val="auto"/>
              </w:rPr>
            </w:pPr>
          </w:p>
        </w:tc>
        <w:tc>
          <w:tcPr>
            <w:tcW w:w="1160" w:type="dxa"/>
            <w:vAlign w:val="bottom"/>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r>
      <w:tr>
        <w:trPr>
          <w:trHeight w:val="24"/>
        </w:trPr>
        <w:tc>
          <w:tcPr>
            <w:tcW w:w="3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11,175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0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10,10</w:t>
            </w: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5,106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14,859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14,53</w:t>
            </w:r>
          </w:p>
        </w:tc>
      </w:tr>
      <w:tr>
        <w:trPr>
          <w:trHeight w:val="220"/>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18"/>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land right assets</w:t>
            </w: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3,290</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10,278</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12,57</w:t>
            </w:r>
          </w:p>
        </w:tc>
      </w:tr>
      <w:tr>
        <w:trPr>
          <w:trHeight w:val="23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12,406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4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11,765</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36,312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right="108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37,21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Disclosures Related to Leases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balance sheet information related to the Company's operating leases was as follows:</w:t>
      </w:r>
    </w:p>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ind w:left="226"/>
              <w:spacing w:after="0"/>
              <w:rPr>
                <w:sz w:val="20"/>
                <w:szCs w:val="20"/>
                <w:color w:val="auto"/>
              </w:rPr>
            </w:pPr>
            <w:r>
              <w:rPr>
                <w:rFonts w:ascii="Arial" w:cs="Arial" w:eastAsia="Arial" w:hAnsi="Arial"/>
                <w:sz w:val="14"/>
                <w:szCs w:val="14"/>
                <w:b w:val="1"/>
                <w:bCs w:val="1"/>
                <w:color w:val="auto"/>
                <w:w w:val="87"/>
              </w:rPr>
              <w:t>September 30, 2023</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 operating leases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123"/>
              <w:spacing w:after="0"/>
              <w:rPr>
                <w:sz w:val="20"/>
                <w:szCs w:val="20"/>
                <w:color w:val="auto"/>
              </w:rPr>
            </w:pPr>
            <w:r>
              <w:rPr>
                <w:rFonts w:ascii="Arial" w:cs="Arial" w:eastAsia="Arial" w:hAnsi="Arial"/>
                <w:sz w:val="17"/>
                <w:szCs w:val="17"/>
                <w:color w:val="auto"/>
                <w:w w:val="90"/>
              </w:rPr>
              <w:t>50.89 years</w:t>
            </w:r>
          </w:p>
        </w:tc>
        <w:tc>
          <w:tcPr>
            <w:tcW w:w="3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Weighted average discount rate - operating leases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center"/>
              <w:ind w:left="118"/>
              <w:spacing w:after="0"/>
              <w:rPr>
                <w:sz w:val="20"/>
                <w:szCs w:val="20"/>
                <w:color w:val="auto"/>
              </w:rPr>
            </w:pPr>
            <w:r>
              <w:rPr>
                <w:rFonts w:ascii="Arial" w:cs="Arial" w:eastAsia="Arial" w:hAnsi="Arial"/>
                <w:sz w:val="17"/>
                <w:szCs w:val="17"/>
                <w:color w:val="auto"/>
                <w:w w:val="91"/>
              </w:rPr>
              <w:t>6.57%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6"/>
        </w:trPr>
        <w:tc>
          <w:tcPr>
            <w:tcW w:w="6580" w:type="dxa"/>
            <w:vAlign w:val="bottom"/>
            <w:gridSpan w:val="4"/>
          </w:tcPr>
          <w:p>
            <w:pPr>
              <w:jc w:val="right"/>
              <w:ind w:right="3"/>
              <w:spacing w:after="0"/>
              <w:rPr>
                <w:sz w:val="20"/>
                <w:szCs w:val="20"/>
                <w:color w:val="auto"/>
              </w:rPr>
            </w:pPr>
            <w:r>
              <w:rPr>
                <w:rFonts w:ascii="Arial" w:cs="Arial" w:eastAsia="Arial" w:hAnsi="Arial"/>
                <w:sz w:val="17"/>
                <w:szCs w:val="17"/>
                <w:color w:val="auto"/>
                <w:w w:val="91"/>
              </w:rPr>
              <w:t>Supplemental cash flow information related to the Company's operating leases was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Three Months Ended September</w:t>
            </w:r>
          </w:p>
        </w:tc>
        <w:tc>
          <w:tcPr>
            <w:tcW w:w="21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246"/>
              <w:spacing w:after="0"/>
              <w:rPr>
                <w:sz w:val="20"/>
                <w:szCs w:val="20"/>
                <w:color w:val="auto"/>
              </w:rPr>
            </w:pPr>
            <w:r>
              <w:rPr>
                <w:rFonts w:ascii="Arial" w:cs="Arial" w:eastAsia="Arial" w:hAnsi="Arial"/>
                <w:sz w:val="14"/>
                <w:szCs w:val="14"/>
                <w:b w:val="1"/>
                <w:bCs w:val="1"/>
                <w:color w:val="auto"/>
                <w:w w:val="81"/>
              </w:rPr>
              <w:t>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w w:val="76"/>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Arial" w:cs="Arial" w:eastAsia="Arial" w:hAnsi="Arial"/>
                <w:sz w:val="17"/>
                <w:szCs w:val="17"/>
                <w:color w:val="auto"/>
              </w:rPr>
              <w:t xml:space="preserve">Operating cash flows from operating leases </w:t>
            </w:r>
            <w:r>
              <w:rPr>
                <w:rFonts w:ascii="Arial" w:cs="Arial" w:eastAsia="Arial" w:hAnsi="Arial"/>
                <w:sz w:val="22"/>
                <w:szCs w:val="22"/>
                <w:color w:val="auto"/>
                <w:vertAlign w:val="superscript"/>
              </w:rPr>
              <w:t>(1)</w:t>
            </w:r>
          </w:p>
        </w:tc>
        <w:tc>
          <w:tcPr>
            <w:tcW w:w="280" w:type="dxa"/>
            <w:vAlign w:val="bottom"/>
          </w:tcPr>
          <w:p>
            <w:pPr>
              <w:jc w:val="right"/>
              <w:ind w:right="103"/>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406</w:t>
            </w:r>
          </w:p>
        </w:tc>
        <w:tc>
          <w:tcPr>
            <w:tcW w:w="520" w:type="dxa"/>
            <w:vAlign w:val="bottom"/>
          </w:tcPr>
          <w:p>
            <w:pPr>
              <w:jc w:val="right"/>
              <w:ind w:right="186"/>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1,215</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right="100" w:firstLine="622"/>
        <w:spacing w:after="0" w:line="305" w:lineRule="auto"/>
        <w:tabs>
          <w:tab w:leader="none" w:pos="777"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Financing Lease Liabilities</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September 30, 2023, payments under the Company's financing lease liabilities were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6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(remainder of year)</w:t>
            </w:r>
          </w:p>
        </w:tc>
        <w:tc>
          <w:tcPr>
            <w:tcW w:w="1600" w:type="dxa"/>
            <w:vAlign w:val="bottom"/>
            <w:gridSpan w:val="2"/>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1880"/>
              <w:spacing w:after="0"/>
              <w:rPr>
                <w:sz w:val="20"/>
                <w:szCs w:val="20"/>
                <w:color w:val="auto"/>
              </w:rPr>
            </w:pPr>
            <w:r>
              <w:rPr>
                <w:rFonts w:ascii="Arial" w:cs="Arial" w:eastAsia="Arial" w:hAnsi="Arial"/>
                <w:sz w:val="17"/>
                <w:szCs w:val="17"/>
                <w:color w:val="auto"/>
              </w:rPr>
              <w:t>2024</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2,244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1880"/>
              <w:spacing w:after="0"/>
              <w:rPr>
                <w:sz w:val="20"/>
                <w:szCs w:val="20"/>
                <w:color w:val="auto"/>
              </w:rPr>
            </w:pPr>
            <w:r>
              <w:rPr>
                <w:rFonts w:ascii="Arial" w:cs="Arial" w:eastAsia="Arial" w:hAnsi="Arial"/>
                <w:sz w:val="17"/>
                <w:szCs w:val="17"/>
                <w:color w:val="auto"/>
              </w:rPr>
              <w:t>2026</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2,289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60" w:type="dxa"/>
            <w:vAlign w:val="bottom"/>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60" w:type="dxa"/>
            <w:vAlign w:val="bottom"/>
          </w:tcPr>
          <w:p>
            <w:pPr>
              <w:spacing w:after="0"/>
              <w:rPr>
                <w:sz w:val="18"/>
                <w:szCs w:val="18"/>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9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302,058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600" w:type="dxa"/>
            <w:vAlign w:val="bottom"/>
            <w:gridSpan w:val="2"/>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311,729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60" w:type="dxa"/>
            <w:vAlign w:val="bottom"/>
          </w:tcPr>
          <w:p>
            <w:pPr>
              <w:spacing w:after="0"/>
              <w:rPr>
                <w:sz w:val="18"/>
                <w:szCs w:val="18"/>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Interest</w:t>
            </w:r>
          </w:p>
        </w:tc>
        <w:tc>
          <w:tcPr>
            <w:tcW w:w="9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(257,590)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finance lease liability</w:t>
            </w:r>
          </w:p>
        </w:tc>
        <w:tc>
          <w:tcPr>
            <w:tcW w:w="9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54,139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7.  Long-term Debt</w:t>
            </w:r>
          </w:p>
        </w:tc>
        <w:tc>
          <w:tcPr>
            <w:tcW w:w="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50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040" w:type="dxa"/>
            <w:vAlign w:val="bottom"/>
            <w:gridSpan w:val="2"/>
          </w:tcPr>
          <w:p>
            <w:pPr>
              <w:ind w:left="620"/>
              <w:spacing w:after="0"/>
              <w:rPr>
                <w:sz w:val="20"/>
                <w:szCs w:val="20"/>
                <w:color w:val="auto"/>
              </w:rPr>
            </w:pPr>
            <w:r>
              <w:rPr>
                <w:rFonts w:ascii="Arial" w:cs="Arial" w:eastAsia="Arial" w:hAnsi="Arial"/>
                <w:sz w:val="17"/>
                <w:szCs w:val="17"/>
                <w:color w:val="auto"/>
              </w:rPr>
              <w:t>Long-term debt is as follows: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976"/>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Unsecured $1,750 million revolver</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Term Loan Credit Facility due September 2027</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$500 million 5.375% senior unsecured notes due November 2023</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$400 million 3.350% senior unsecured notes due September 2024</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$850 million 5.250% senior unsecured notes due June 2025</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$975 million 5.375% senior unsecured notes due April 2026</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$500 million 5.750% senior unsecured notes due June 2028</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$750 million 5.300% senior unsecured notes due January 2029</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$700 million 4.000% senior unsecured notes due January 2030</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$700 million 4.000% senior unsecured notes due January 2031</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$800 million 3.250% senior unsecured notes due January 2032</w:t>
            </w: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long-term debt</w:t>
            </w: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4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w w:val="99"/>
              </w:rPr>
              <w:t>Less: unamortized debt issuance costs, bond premiums and original issuance discounts</w:t>
            </w: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(39,266)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9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w w:val="95"/>
              </w:rPr>
              <w:t>Total long-term debt, net of unamortized debt issuance costs, bond premiums and original issuance discounts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6,246,206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6,128,468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154"/>
              <w:spacing w:after="0"/>
              <w:rPr>
                <w:sz w:val="20"/>
                <w:szCs w:val="20"/>
                <w:color w:val="auto"/>
              </w:rPr>
            </w:pPr>
            <w:r>
              <w:rPr>
                <w:rFonts w:ascii="Arial" w:cs="Arial" w:eastAsia="Arial" w:hAnsi="Arial"/>
                <w:sz w:val="17"/>
                <w:szCs w:val="17"/>
                <w:color w:val="auto"/>
              </w:rPr>
              <w:t>22</w:t>
            </w:r>
          </w:p>
        </w:tc>
        <w:tc>
          <w:tcPr>
            <w:tcW w:w="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4"/>
        </w:trPr>
        <w:tc>
          <w:tcPr>
            <w:tcW w:w="1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8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3" w:name="page24"/>
    <w:bookmarkEnd w:id="23"/>
    <w:p>
      <w:pPr>
        <w:ind w:left="620"/>
        <w:spacing w:after="0"/>
        <w:rPr>
          <w:sz w:val="20"/>
          <w:szCs w:val="20"/>
          <w:color w:val="auto"/>
        </w:rPr>
      </w:pPr>
      <w:r>
        <w:rPr>
          <w:rFonts w:ascii="Arial" w:cs="Arial" w:eastAsia="Arial" w:hAnsi="Arial"/>
          <w:sz w:val="17"/>
          <w:szCs w:val="17"/>
          <w:color w:val="auto"/>
        </w:rPr>
        <w:t>The following is a schedule of future minimum repayments of long-term debt as of September 30, 2023 (in thousands):</w:t>
      </w:r>
    </w:p>
    <w:p>
      <w:pPr>
        <w:spacing w:after="0" w:line="281" w:lineRule="exact"/>
        <w:rPr>
          <w:sz w:val="20"/>
          <w:szCs w:val="20"/>
          <w:color w:val="auto"/>
        </w:rPr>
      </w:pPr>
    </w:p>
    <w:tbl>
      <w:tblPr>
        <w:tblLayout w:type="fixed"/>
        <w:tblInd w:w="2140" w:type="dxa"/>
        <w:tblCellMar>
          <w:top w:w="0" w:type="dxa"/>
          <w:left w:w="0" w:type="dxa"/>
          <w:bottom w:w="0" w:type="dxa"/>
          <w:right w:w="0" w:type="dxa"/>
        </w:tblCellMar>
      </w:tblP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2023</w:t>
            </w:r>
          </w:p>
        </w:tc>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year)</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2024</w:t>
            </w: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400,156</w:t>
            </w:r>
          </w:p>
        </w:tc>
      </w:t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2025</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850,164</w:t>
            </w: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2026</w:t>
            </w: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985,114</w:t>
            </w:r>
          </w:p>
        </w:tc>
      </w:t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2027</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r>
      <w:tr>
        <w:trPr>
          <w:trHeight w:val="218"/>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Over 5 years</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3,450,000</w:t>
            </w:r>
          </w:p>
        </w:tc>
      </w:tr>
      <w:tr>
        <w:trPr>
          <w:trHeight w:val="23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minimum payments</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6,285,472</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8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and Fees</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September 30, 2023 was 6.73% .</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 and Prepayments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Certain Covenants and Events of Default</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Credit Agreement and Amended Credit Agreement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May 13, 2022, GLP Capital entered into a credit agreement (the "Credit Agreement") providing for a $1.75 billion revolving credit facility (the "Initial Revolving Credit Facility") maturing in May 2026, plus two six-month extensions at GLP Capital's option. GLP Capital is the primary obligor under the Credit Agreement, which is guaranteed by GLPI.</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At September 30, 2023, $10.0 million was outstanding under the Amended Credit Agreement. Additionally, at September 30, 2023, the Company was contingently obligated under letters of credit issued pursuant to the Amended Credit Agreement with face amounts aggregating approximately $0.4 million, resulting in $1,739.6 million of available borrowing capacity under the Amended Credit Agreement as of September 30,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jc w:val="both"/>
        <w:ind w:firstLine="619"/>
        <w:spacing w:after="0" w:line="273" w:lineRule="auto"/>
        <w:rPr>
          <w:sz w:val="20"/>
          <w:szCs w:val="20"/>
          <w:color w:val="auto"/>
        </w:rPr>
      </w:pPr>
      <w:r>
        <w:rPr>
          <w:rFonts w:ascii="Arial" w:cs="Arial" w:eastAsia="Arial" w:hAnsi="Arial"/>
          <w:sz w:val="16"/>
          <w:szCs w:val="16"/>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The weighted average interest rate under the Revolver at September 30, 2023 was 6.73%</w:t>
      </w:r>
    </w:p>
    <w:p>
      <w:pPr>
        <w:spacing w:after="0" w:line="2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September 30, 2023, the Company was in compliance with all required financial covenants under the Amended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Notes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At September 30, 2023, the Company had $5,675.0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94"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of the Issuers' senior indebtedness, including the Amended Credit Facility, and senior in right of payment to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subordinated indebtedness, without giving effect to collateral arrangements.</w:t>
      </w:r>
    </w:p>
    <w:p>
      <w:pPr>
        <w:spacing w:after="0" w:line="11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6" w:name="page27"/>
    <w:bookmarkEnd w:id="26"/>
    <w:p>
      <w:pPr>
        <w:jc w:val="both"/>
        <w:ind w:firstLine="619"/>
        <w:spacing w:after="0" w:line="302" w:lineRule="auto"/>
        <w:rPr>
          <w:sz w:val="20"/>
          <w:szCs w:val="20"/>
          <w:color w:val="auto"/>
        </w:rPr>
      </w:pPr>
      <w:r>
        <w:rPr>
          <w:rFonts w:ascii="Arial" w:cs="Arial" w:eastAsia="Arial" w:hAnsi="Arial"/>
          <w:sz w:val="15"/>
          <w:szCs w:val="15"/>
          <w:color w:val="auto"/>
        </w:rPr>
        <w:t>On January 13, 2023, the Company announced that it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 See Note 12 for additional discussion.</w:t>
      </w:r>
    </w:p>
    <w:p>
      <w:pPr>
        <w:spacing w:after="0" w:line="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2023, the Company was in compliance with all required financial covenants under its Senior Notes.</w:t>
      </w:r>
    </w:p>
    <w:p>
      <w:pPr>
        <w:spacing w:after="0" w:line="22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Fair Value of Financial Assets and Liabilities</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9"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 for identical assets or liabilities.</w:t>
      </w:r>
    </w:p>
    <w:p>
      <w:pPr>
        <w:spacing w:after="0" w:line="24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jc w:val="both"/>
        <w:ind w:firstLine="198"/>
        <w:spacing w:after="0" w:line="279" w:lineRule="auto"/>
        <w:rPr>
          <w:sz w:val="20"/>
          <w:szCs w:val="20"/>
          <w:color w:val="auto"/>
        </w:rPr>
      </w:pPr>
      <w:r>
        <w:rPr>
          <w:rFonts w:ascii="Arial" w:cs="Arial" w:eastAsia="Arial" w:hAnsi="Arial"/>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methods and assumptions are used to estimate the fair value of each class of financial instruments for which it is practicable to estimate.</w:t>
      </w:r>
    </w:p>
    <w:p>
      <w:pPr>
        <w:spacing w:after="0" w:line="200" w:lineRule="exact"/>
        <w:rPr>
          <w:sz w:val="20"/>
          <w:szCs w:val="20"/>
          <w:color w:val="auto"/>
        </w:rPr>
      </w:pPr>
    </w:p>
    <w:p>
      <w:pPr>
        <w:spacing w:after="0" w:line="29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and Cash Equivalents</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of the Company’s cash and cash equivalents approximates the carrying value of the Company’s cash and cash equivalents, due to the short maturity of the cash equivalents.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 in leases, financing receivables, net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fair value of the Company's investment in leases, financing receivables, net is based on the value of the underlying real estate property the Company owns related to the Maryland Live! Lease, the Pennsylvania Live! Master Lease, and the Rockford Lease. The initial fair value was the price paid by the Company to acquire the real estate. The initial fair value is then adjusted for changes in the commercial real estate price index and as such is a Level 3 measurement as defined under ASC 820.</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Deferred Compensation Plan Assets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7"/>
          <w:szCs w:val="17"/>
          <w:i w:val="1"/>
          <w:iCs w:val="1"/>
          <w:color w:val="auto"/>
        </w:rPr>
        <w:t>Real Estate Loans, net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fair value of the real estate loans approximates the gross carrying value of the Company's real estate loans, as collection on the outstanding loan balance is reasonably assured and the loan was recently originated on market based terms. The fair value measurement of the real estate loans is considered a Level 3 measurement as defined in ASC 820.</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Long-term Debt</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the Senior Notes are estimated based on quoted prices in active markets and as such is a Level 1 measurement as defined under ASC</w:t>
      </w:r>
    </w:p>
    <w:p>
      <w:pPr>
        <w:spacing w:after="0" w:line="45" w:lineRule="exact"/>
        <w:rPr>
          <w:sz w:val="20"/>
          <w:szCs w:val="20"/>
          <w:color w:val="auto"/>
        </w:rPr>
      </w:pPr>
    </w:p>
    <w:p>
      <w:pPr>
        <w:ind w:firstLine="3"/>
        <w:spacing w:after="0" w:line="266" w:lineRule="auto"/>
        <w:tabs>
          <w:tab w:leader="none" w:pos="3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fair value of the obligations in our Amended Credit Agreement and Term Loan Credit Facility is based on indicative pricing from market information (Level 2 inputs).</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fair values of the Company’s financial instruments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5"/>
        </w:trPr>
        <w:tc>
          <w:tcPr>
            <w:tcW w:w="5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458"/>
              <w:spacing w:after="0" w:line="12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25"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8"/>
              <w:spacing w:after="0" w:line="125" w:lineRule="exact"/>
              <w:rPr>
                <w:sz w:val="20"/>
                <w:szCs w:val="20"/>
                <w:color w:val="auto"/>
              </w:rPr>
            </w:pPr>
            <w:r>
              <w:rPr>
                <w:rFonts w:ascii="Arial" w:cs="Arial" w:eastAsia="Arial" w:hAnsi="Arial"/>
                <w:sz w:val="14"/>
                <w:szCs w:val="14"/>
                <w:b w:val="1"/>
                <w:bCs w:val="1"/>
                <w:color w:val="auto"/>
              </w:rPr>
              <w:t>Fair</w:t>
            </w:r>
          </w:p>
        </w:tc>
      </w:tr>
      <w:tr>
        <w:trPr>
          <w:trHeight w:val="184"/>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6"/>
                <w:szCs w:val="16"/>
                <w:color w:val="auto"/>
              </w:rPr>
            </w:pPr>
          </w:p>
        </w:tc>
        <w:tc>
          <w:tcPr>
            <w:tcW w:w="900" w:type="dxa"/>
            <w:vAlign w:val="bottom"/>
          </w:tcPr>
          <w:p>
            <w:pPr>
              <w:jc w:val="right"/>
              <w:ind w:right="478"/>
              <w:spacing w:after="0"/>
              <w:rPr>
                <w:sz w:val="20"/>
                <w:szCs w:val="20"/>
                <w:color w:val="auto"/>
              </w:rPr>
            </w:pPr>
            <w:r>
              <w:rPr>
                <w:rFonts w:ascii="Arial" w:cs="Arial" w:eastAsia="Arial" w:hAnsi="Arial"/>
                <w:sz w:val="14"/>
                <w:szCs w:val="14"/>
                <w:b w:val="1"/>
                <w:bCs w:val="1"/>
                <w:color w:val="auto"/>
                <w:w w:val="85"/>
              </w:rPr>
              <w:t>Value</w:t>
            </w:r>
          </w:p>
        </w:tc>
      </w:tr>
      <w:tr>
        <w:trPr>
          <w:trHeight w:val="205"/>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8"/>
        </w:trPr>
        <w:tc>
          <w:tcPr>
            <w:tcW w:w="512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81,149</w:t>
            </w:r>
          </w:p>
        </w:tc>
        <w:tc>
          <w:tcPr>
            <w:tcW w:w="100" w:type="dxa"/>
            <w:vAlign w:val="bottom"/>
          </w:tcPr>
          <w:p>
            <w:pPr>
              <w:spacing w:after="0"/>
              <w:rPr>
                <w:sz w:val="18"/>
                <w:szCs w:val="18"/>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81,149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239,083</w:t>
            </w:r>
          </w:p>
        </w:tc>
        <w:tc>
          <w:tcPr>
            <w:tcW w:w="10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239,083</w:t>
            </w:r>
          </w:p>
        </w:tc>
      </w:tr>
      <w:tr>
        <w:trPr>
          <w:trHeight w:val="220"/>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 in leases, financing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1,998,551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1,903,195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1,900,971</w:t>
            </w:r>
          </w:p>
        </w:tc>
      </w:tr>
      <w:tr>
        <w:trPr>
          <w:trHeight w:val="218"/>
        </w:trPr>
        <w:tc>
          <w:tcPr>
            <w:tcW w:w="5120" w:type="dxa"/>
            <w:vAlign w:val="bottom"/>
          </w:tcPr>
          <w:p>
            <w:pPr>
              <w:ind w:left="180"/>
              <w:spacing w:after="0"/>
              <w:rPr>
                <w:sz w:val="20"/>
                <w:szCs w:val="20"/>
                <w:color w:val="auto"/>
              </w:rPr>
            </w:pPr>
            <w:r>
              <w:rPr>
                <w:rFonts w:ascii="Arial" w:cs="Arial" w:eastAsia="Arial" w:hAnsi="Arial"/>
                <w:sz w:val="17"/>
                <w:szCs w:val="17"/>
                <w:color w:val="auto"/>
              </w:rPr>
              <w:t>Real estate loans,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39,291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compensation plan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27,387</w:t>
            </w:r>
          </w:p>
        </w:tc>
      </w:tr>
      <w:tr>
        <w:trPr>
          <w:trHeight w:val="219"/>
        </w:trPr>
        <w:tc>
          <w:tcPr>
            <w:tcW w:w="5120" w:type="dxa"/>
            <w:vAlign w:val="bottom"/>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8"/>
        </w:trPr>
        <w:tc>
          <w:tcPr>
            <w:tcW w:w="5120" w:type="dxa"/>
            <w:vAlign w:val="bottom"/>
          </w:tcPr>
          <w:p>
            <w:pPr>
              <w:ind w:left="320"/>
              <w:spacing w:after="0"/>
              <w:rPr>
                <w:sz w:val="20"/>
                <w:szCs w:val="20"/>
                <w:color w:val="auto"/>
              </w:rPr>
            </w:pPr>
            <w:r>
              <w:rPr>
                <w:rFonts w:ascii="Arial" w:cs="Arial" w:eastAsia="Arial" w:hAnsi="Arial"/>
                <w:sz w:val="17"/>
                <w:szCs w:val="17"/>
                <w:color w:val="auto"/>
              </w:rPr>
              <w:t>Amended Credit Agreement and Term Loan Credit Facility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610,000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Senior Notes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5,715,963</w:t>
            </w: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and Liabilities Measured at Fair Value on a Nonrecurring Basis</w:t>
      </w:r>
    </w:p>
    <w:p>
      <w:pPr>
        <w:spacing w:after="0" w:line="140" w:lineRule="exact"/>
        <w:rPr>
          <w:sz w:val="20"/>
          <w:szCs w:val="20"/>
          <w:color w:val="auto"/>
        </w:rPr>
      </w:pPr>
    </w:p>
    <w:p>
      <w:pPr>
        <w:ind w:right="20" w:firstLine="619"/>
        <w:spacing w:after="0" w:line="318" w:lineRule="auto"/>
        <w:rPr>
          <w:sz w:val="20"/>
          <w:szCs w:val="20"/>
          <w:color w:val="auto"/>
        </w:rPr>
      </w:pPr>
      <w:r>
        <w:rPr>
          <w:rFonts w:ascii="Arial" w:cs="Arial" w:eastAsia="Arial" w:hAnsi="Arial"/>
          <w:sz w:val="15"/>
          <w:szCs w:val="15"/>
          <w:color w:val="auto"/>
        </w:rPr>
        <w:t>During the nine months ended September 30, 2022, the Company entered into an agreement to sell excess land for approximately $3.5 million (that we determined is a level 2 input), which had a carrying amount of $6.8 million and, as such, the Company recorded an impairment charge during the second quarter of 2022. There were no other assets or liabilities measured at fair value on a nonrecurring basis during the nine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ind w:right="8500" w:firstLine="3"/>
        <w:spacing w:after="0" w:line="526" w:lineRule="auto"/>
        <w:tabs>
          <w:tab w:leader="none" w:pos="301"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Litigation</w:t>
      </w:r>
    </w:p>
    <w:p>
      <w:pPr>
        <w:jc w:val="both"/>
        <w:ind w:firstLine="619"/>
        <w:spacing w:after="0" w:line="276"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commitments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Company has agreed to a funding mechanism to support PENN's pursuit of relocation and development opportunities at several of the properties included in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 The funding commitment expires on January 1, 2026.</w:t>
      </w:r>
    </w:p>
    <w:p>
      <w:pPr>
        <w:spacing w:after="0" w:line="171"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See Note 1 for a discussion on the potential future funding commitments the Company may have in connection with the possible future transaction with Bally's and the Athletics at the Tropicana Site.</w:t>
      </w:r>
    </w:p>
    <w:p>
      <w:pPr>
        <w:spacing w:after="0" w:line="189" w:lineRule="exact"/>
        <w:rPr>
          <w:sz w:val="20"/>
          <w:szCs w:val="20"/>
          <w:color w:val="auto"/>
        </w:rPr>
      </w:pPr>
    </w:p>
    <w:p>
      <w:pPr>
        <w:jc w:val="both"/>
        <w:ind w:firstLine="619"/>
        <w:spacing w:after="0" w:line="244" w:lineRule="auto"/>
        <w:rPr>
          <w:sz w:val="20"/>
          <w:szCs w:val="20"/>
          <w:color w:val="auto"/>
        </w:rPr>
      </w:pPr>
      <w:r>
        <w:rPr>
          <w:rFonts w:ascii="Arial" w:cs="Arial" w:eastAsia="Arial" w:hAnsi="Arial"/>
          <w:sz w:val="17"/>
          <w:szCs w:val="17"/>
          <w:color w:val="auto"/>
        </w:rPr>
        <w:t>As discussed in Note 1, the Company has also committed to providing up to $150 million (of which $40 million was funded as of September 30, 2023) of development funding via the Rockford Loan. Any borrowings under the Rockford Loan will be subject to an interest rate of 10%. The Rockford Loan has a draw period of up to 1 year and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w:t>
      </w:r>
    </w:p>
    <w:p>
      <w:pPr>
        <w:spacing w:after="0" w:line="20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Finally, the Company has agreed and anticipates funding certain construction costs of a landside development project at Casino Queen Marquette that is expected to be completed by December 31, 2024 for an amount not to exceed $12.5 million.</w:t>
      </w:r>
    </w:p>
    <w:p>
      <w:pPr>
        <w:spacing w:after="0" w:line="196" w:lineRule="exact"/>
        <w:rPr>
          <w:sz w:val="20"/>
          <w:szCs w:val="20"/>
          <w:color w:val="auto"/>
        </w:rPr>
      </w:pPr>
    </w:p>
    <w:p>
      <w:pPr>
        <w:jc w:val="both"/>
        <w:ind w:right="9260" w:firstLine="3"/>
        <w:spacing w:after="0" w:line="614" w:lineRule="auto"/>
        <w:tabs>
          <w:tab w:leader="none" w:pos="387"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Revenues from Real Estate</w:t>
      </w:r>
    </w:p>
    <w:p>
      <w:pPr>
        <w:jc w:val="both"/>
        <w:ind w:firstLine="619"/>
        <w:spacing w:after="0" w:line="273" w:lineRule="auto"/>
        <w:rPr>
          <w:sz w:val="20"/>
          <w:szCs w:val="20"/>
          <w:color w:val="auto"/>
        </w:rPr>
      </w:pPr>
      <w:r>
        <w:rPr>
          <w:rFonts w:ascii="Arial" w:cs="Arial" w:eastAsia="Arial" w:hAnsi="Arial"/>
          <w:sz w:val="16"/>
          <w:szCs w:val="16"/>
          <w:color w:val="auto"/>
        </w:rPr>
        <w:t>As of September 30, 2023, 14 of the Company’s real estate investment properties were leased to a subsidiary of PENN under the Amended PENN Master Lease, 7 of the Company's real estate investment properties were leased to a subsidiary under the PENN 2023 Master Lease, 12 of the Company's real estate investment properties were leased to a subsidiary of PENN under the Amended Pinnacle Master Lease, 6 of the Company's real estate investment properties were leased to a subsidiary of Caesars under the Second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and 3 of the Company's real estate properties were leased to a subsidiary of Casino Queen under the Casino Queen Master Lease. Additionally, the land under PENN's Hollywood Casino Morgantown is subject to the Morgantown Lease. Finally, the Company has single property triple net leases with Caesars under the Horseshoe St. Louis Lease, Boyd under the Belterra Park Lease, Cordish under the Maryland Live! Lease, and Bally's under the Tropicana Las Vegas Lease and a facility under construction that is intended to be managed by Hard Rock under the Rockford Lease.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obligations under the Amended PENN Master Lease, the PENN 2023 Master Lease and Amended Pinnacle Master Lease, as well as the Morgantown Lease, are guaranteed by PENN and, with respect to each lease, jointly and severally by PENN's subsidiaries that occupy and operate the facilities covered by such lease. Similarly, the obligations under the Second Amended and Restated Caesars Master Lease and Bally's Master Lease are jointly and severally guaranteed by the parent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9" w:name="page30"/>
    <w:bookmarkEnd w:id="29"/>
    <w:p>
      <w:pPr>
        <w:jc w:val="both"/>
        <w:spacing w:after="0" w:line="266" w:lineRule="auto"/>
        <w:rPr>
          <w:sz w:val="20"/>
          <w:szCs w:val="20"/>
          <w:color w:val="auto"/>
        </w:rPr>
      </w:pPr>
      <w:r>
        <w:rPr>
          <w:rFonts w:ascii="Arial" w:cs="Arial" w:eastAsia="Arial" w:hAnsi="Arial"/>
          <w:sz w:val="17"/>
          <w:szCs w:val="17"/>
          <w:color w:val="auto"/>
        </w:rPr>
        <w:t>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Rent</w:t>
      </w:r>
    </w:p>
    <w:p>
      <w:pPr>
        <w:spacing w:after="0" w:line="14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rent structure under the Amended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every five years to an amount equal to 4% of the average net revenues of all facilities under the Amended PENN Master Lease during the preceding five years in excess of a contractual baseline.</w:t>
      </w:r>
    </w:p>
    <w:p>
      <w:pPr>
        <w:spacing w:after="0" w:line="8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PENN 2023 Master Lease that became effective on January 1, 2023 has annual rent of $232.2 million, which is fixed and subject to annual escalation of 1.50%, with the first escalation to occur for the lease year beginning on November 1, 2023. In addition to the fixed escalations, a one-time annualized increase of $1.4 million will occur on November 1, 2027. The deferred revenue from the Perryville Lease and Meadows Lease (which were terminated effective January 1, 2023 and whose underlying real estate was added to the PENN 2023 Master Lease) along with an allocation of the deferred revenue from the Original PENN Master Lease, as well as the guaranteed fixed escalations and the one time annual base rent increase are being recognized on a straight-line basis over the initial lease term which expires on October 31, 2033.</w:t>
      </w:r>
    </w:p>
    <w:p>
      <w:pPr>
        <w:spacing w:after="0" w:line="20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6"/>
          <w:szCs w:val="16"/>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Morgantown Lease became effective on October 1, 2020 whereby the Company is leasing the land under PENN's gaming facility and the initial rent on the opening date and on each anniversary thereafter shall be increased by 1.5% annually (on a prorated basis for the remainder of the lease year in which the gaming facility opens) for each of the following three lease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0" w:name="page31"/>
    <w:bookmarkEnd w:id="30"/>
    <w:p>
      <w:pPr>
        <w:jc w:val="both"/>
        <w:spacing w:after="0" w:line="290" w:lineRule="auto"/>
        <w:rPr>
          <w:sz w:val="20"/>
          <w:szCs w:val="20"/>
          <w:color w:val="auto"/>
        </w:rPr>
      </w:pPr>
      <w:r>
        <w:rPr>
          <w:rFonts w:ascii="Arial" w:cs="Arial" w:eastAsia="Arial" w:hAnsi="Arial"/>
          <w:sz w:val="16"/>
          <w:szCs w:val="16"/>
          <w:color w:val="auto"/>
        </w:rPr>
        <w:t>years, and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18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initial rent under the Casino Queen Master Lease increases annually by 0.5% for the first six years. Beginning with the seventh lease year through the remainder of the lease term, if the CPI increases by at least 0.25% for any lease year then annual rent shall be increased by 1.25%, and if the CPI increase is less than 0.25%, rent will remain unchanged for such lease year. The Company also completed the landside development project that opened in late August 2023 and rent under the Casino Queen Master Lease was adjusted to reflect a yield of 8.25% on GLPI's project costs of $77 million. Additionally, on September 6, 2023, the Company acquired the land and certain improvements at Casino Queen Marquette for $32.72 million. The annual rent on the Casino Queen Master Lease was increased by $2.7 million for this acquisition. Additionally, the Company anticipates funding certain construction costs of a landside development project at Casino Queen Marquette that is expected to be completed by December 31, 2024 in an amount not to exceed $12.5 million.</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Bally's Master Lease became effective on June 3, 2021 with the annual rent subject to contractual escalations based on the CPI, with a 1% floor and a 2% ceiling, subject to the CPI meeting a 0.5% threshold. On April 1, 2022 and January 3, 2023, the Company completed additional acquisitions from Bally's of various land and real estate assets of Bally's casinos. These properties were added to the existing Bally's Master Lease with annual rent increases subject to the escalation clauses described above.</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December 29, 2021, the Maryland Live! Lease with Cordish became effective. Annual rent increases by 1.75% upon the second anniversary of the lease commencement. The Pennsylvania Live! Master Lease with Cordish became effective March 1, 2022 and annual rent increases by 1.75% upon the second anniversary of the lease commencement. These leases were accounted for as an Investment in leases, financing receivables. See Note 3 for the further information including the future annual cash payments to be received under these leases.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August 29, 2023, the Company acquired the land associated with the Hard Rock Casino development project in Rockford, IL from 815 Entertainment for $100 million. Simultaneously with the land acquisition, GLPI entered into the Rockford Lease which has a 99 year term and initial annual rent of $8 million, subject to fixed 2% annual escalation beginning with the lease's first anniversary and for the entirety of its term.</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will go into effect at the next reset.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terms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2022, the Original PENN Master Lease required an accounting reassessment due to a lease amendment resulting in a lease modification for accounting purposes. The Company concluded the lease term should end at the current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5"/>
          <w:szCs w:val="15"/>
          <w:color w:val="auto"/>
        </w:rPr>
        <w:t>lease expiration date of October 31, 2033 and not include any of the three remaining renewal terms of 5 years each. This was due to several factors that were not present at the inception of the Original PENN Master Lease. At the time of this amendment, since the formation of the Company on November 1, 2013, the Company had amended and reassessed four of its nine leases that were originated prior to 2021. All four of these reassessments were done before the completion of their initial lease terms and were the result of significant lease amendments. Additionally, Pinnacle sold its operations to PENN for fair value whose underlying real estate for the casino operations were leased from the Company. PENN has significantly diversified its earnings stream since the inception of the Original PENN Master Lease such that the leased operations in the Original PENN Master Lease no longer represent substantially all of PENN's revenues and earnings. We believe all these factors precluded the Company from concluding all renewal periods are reasonably assured to be exercised in the Original PENN Master Lease.</w:t>
      </w:r>
    </w:p>
    <w:p>
      <w:pPr>
        <w:spacing w:after="0" w:line="18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Amended PENN Master Lease and the PENN 2023 Master Lease became effective January 1, 2023. The Company concluded that the lease term for both of these leases should end at the current lease expiration date of October 31, 2033 and not include any of the three remaining renewal terms of 5 years each due to the factors described above and the fact that the earnings from the leased operations in these master leases do not represent substantially all of PENN's revenues and earnings. The Company concluded that each individual lease component within the Amended PENN Master Lease and the PENN 2023 Master Lease meets the definition of an operating lease. The deferred rent and contractual fixed minimum lease payments at January 1, 2023 are being recognized on a straight-line basis over the initial lease term expiration date of October 31, 2033 for both master leases.</w:t>
      </w:r>
    </w:p>
    <w:p>
      <w:pPr>
        <w:spacing w:after="0" w:line="19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In addition to the historical reassessments and the fact that Pinnacle sold its operations to PENN for fair value as described above, additional competitive threats have emerged in the regional markets for the properties in the Casino Queen Master Lease that were not present previously. In particular, land based gaming operations including Casino Queen's leased operation in the state of Illinois have experienced significant additional competitive pressures from video gaming terminals that have rapidly expanded in the state. We believe all these factors precluded the Company from concluding all renewal periods are reasonably assured to be exercised in the Casino Queen Master Lease.</w:t>
      </w:r>
    </w:p>
    <w:p>
      <w:pPr>
        <w:spacing w:after="0" w:line="1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2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substantially all of the tenant's business at lease inception (and with respect to the Bally's Master Lease at each point when assets were added to the lease). The Company concluded that the lease term of the Amended and Restated Caesars Master Lease was its remaining initial lease term which was extended by 5 years when the Amended and Restated Caesars Master Lease became effective on July 23, 2020. The lease terms of the Boyd Master Lease and Bally's Master Lease are 10 years and 15 years, respectively, equal to the initial terms of such master leases.</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Belterra Park Lease, Morgantown Lease, Maryland Live! Lease, Horseshoe St. Louis Lease and Tropicana Las Vegas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 The Company also concluded that the lease term for the Pennsylvania Live! Master Lease was limited to its initial lease term given the relative size and geographic concentration of the properties in this lease.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 w:name="page33"/>
    <w:bookmarkEnd w:id="32"/>
    <w:p>
      <w:pPr>
        <w:ind w:left="620"/>
        <w:spacing w:after="0"/>
        <w:rPr>
          <w:sz w:val="20"/>
          <w:szCs w:val="20"/>
          <w:color w:val="auto"/>
        </w:rPr>
      </w:pPr>
      <w:r>
        <w:rPr>
          <w:rFonts w:ascii="Arial" w:cs="Arial" w:eastAsia="Arial" w:hAnsi="Arial"/>
          <w:sz w:val="17"/>
          <w:szCs w:val="17"/>
          <w:color w:val="auto"/>
        </w:rPr>
        <w:t>Details of the Company's income from real estate for the three and nine months ended September 30, 2023 was as follows (in thousands):</w:t>
      </w:r>
    </w:p>
    <w:p>
      <w:pPr>
        <w:spacing w:after="0" w:line="20"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1600" w:type="dxa"/>
            <w:vAlign w:val="bottom"/>
          </w:tcPr>
          <w:p>
            <w:pPr>
              <w:jc w:val="right"/>
              <w:ind w:right="237"/>
              <w:spacing w:after="0"/>
              <w:rPr>
                <w:sz w:val="20"/>
                <w:szCs w:val="20"/>
                <w:color w:val="auto"/>
              </w:rPr>
            </w:pPr>
            <w:r>
              <w:rPr>
                <w:rFonts w:ascii="Arial" w:cs="Arial" w:eastAsia="Arial" w:hAnsi="Arial"/>
                <w:sz w:val="14"/>
                <w:szCs w:val="14"/>
                <w:b w:val="1"/>
                <w:bCs w:val="1"/>
                <w:color w:val="auto"/>
                <w:w w:val="96"/>
              </w:rPr>
              <w:t>Nine Months Ended</w:t>
            </w:r>
          </w:p>
        </w:tc>
      </w:tr>
      <w:tr>
        <w:trPr>
          <w:trHeight w:val="184"/>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 2023</w:t>
            </w:r>
          </w:p>
        </w:tc>
        <w:tc>
          <w:tcPr>
            <w:tcW w:w="200" w:type="dxa"/>
            <w:vAlign w:val="bottom"/>
          </w:tcPr>
          <w:p>
            <w:pPr>
              <w:spacing w:after="0"/>
              <w:rPr>
                <w:sz w:val="16"/>
                <w:szCs w:val="16"/>
                <w:color w:val="auto"/>
              </w:rPr>
            </w:pPr>
          </w:p>
        </w:tc>
        <w:tc>
          <w:tcPr>
            <w:tcW w:w="1600" w:type="dxa"/>
            <w:vAlign w:val="bottom"/>
          </w:tcPr>
          <w:p>
            <w:pPr>
              <w:jc w:val="right"/>
              <w:ind w:right="237"/>
              <w:spacing w:after="0"/>
              <w:rPr>
                <w:sz w:val="20"/>
                <w:szCs w:val="20"/>
                <w:color w:val="auto"/>
              </w:rPr>
            </w:pPr>
            <w:r>
              <w:rPr>
                <w:rFonts w:ascii="Arial" w:cs="Arial" w:eastAsia="Arial" w:hAnsi="Arial"/>
                <w:sz w:val="14"/>
                <w:szCs w:val="14"/>
                <w:b w:val="1"/>
                <w:bCs w:val="1"/>
                <w:color w:val="auto"/>
                <w:w w:val="96"/>
              </w:rPr>
              <w:t>September 30, 2023</w:t>
            </w:r>
          </w:p>
        </w:tc>
      </w:tr>
      <w:tr>
        <w:trPr>
          <w:trHeight w:val="218"/>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Building base rent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276,374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824,150</w:t>
            </w: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Land base rent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42,035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124,680</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Percentage rent and other rental revenue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53,449</w:t>
            </w:r>
          </w:p>
        </w:tc>
      </w:tr>
      <w:tr>
        <w:trPr>
          <w:trHeight w:val="21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 on real estate loans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1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cash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1,002,301</w:t>
            </w: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Straight-line rent adjustments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26,445</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Ground rent in revenue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25,811</w:t>
            </w:r>
          </w:p>
        </w:tc>
      </w:tr>
      <w:tr>
        <w:trPr>
          <w:trHeight w:val="21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Accretion on financing receivables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16,806</w:t>
            </w:r>
          </w:p>
        </w:tc>
      </w:tr>
      <w:tr>
        <w:trPr>
          <w:trHeight w:val="23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income from real estate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359,560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1,071,363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September 30, 2023, the future minimum rental income from the Company's rental properties under non-cancelable operating leases, including any reasonably assured renewal periods, was as follows (in thousands):</w:t>
      </w:r>
    </w:p>
    <w:p>
      <w:pPr>
        <w:spacing w:after="0" w:line="10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Future Rental</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Straight-Line Rent</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Future Base Ground</w:t>
            </w:r>
          </w:p>
        </w:tc>
        <w:tc>
          <w:tcPr>
            <w:tcW w:w="100" w:type="dxa"/>
            <w:vAlign w:val="bottom"/>
          </w:tcPr>
          <w:p>
            <w:pPr>
              <w:spacing w:after="0"/>
              <w:rPr>
                <w:sz w:val="14"/>
                <w:szCs w:val="14"/>
                <w:color w:val="auto"/>
              </w:rPr>
            </w:pPr>
          </w:p>
        </w:tc>
        <w:tc>
          <w:tcPr>
            <w:tcW w:w="140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Future Income to be</w:t>
            </w:r>
          </w:p>
        </w:tc>
        <w:tc>
          <w:tcPr>
            <w:tcW w:w="0" w:type="dxa"/>
            <w:vAlign w:val="bottom"/>
          </w:tcPr>
          <w:p>
            <w:pPr>
              <w:spacing w:after="0"/>
              <w:rPr>
                <w:sz w:val="1"/>
                <w:szCs w:val="1"/>
                <w:color w:val="auto"/>
              </w:rPr>
            </w:pPr>
          </w:p>
        </w:tc>
      </w:tr>
      <w:tr>
        <w:trPr>
          <w:trHeight w:val="142"/>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6"/>
              </w:rPr>
              <w:t>Recognized Related to</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Payments Receivable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Rents Receivable</w:t>
            </w:r>
          </w:p>
        </w:tc>
        <w:tc>
          <w:tcPr>
            <w:tcW w:w="100" w:type="dxa"/>
            <w:vAlign w:val="bottom"/>
          </w:tcPr>
          <w:p>
            <w:pPr>
              <w:spacing w:after="0"/>
              <w:rPr>
                <w:sz w:val="12"/>
                <w:szCs w:val="12"/>
                <w:color w:val="auto"/>
              </w:rPr>
            </w:pPr>
          </w:p>
        </w:tc>
        <w:tc>
          <w:tcPr>
            <w:tcW w:w="1400" w:type="dxa"/>
            <w:vAlign w:val="bottom"/>
          </w:tcPr>
          <w:p>
            <w:pPr>
              <w:jc w:val="center"/>
              <w:ind w:right="19"/>
              <w:spacing w:after="0" w:line="142" w:lineRule="exact"/>
              <w:rPr>
                <w:sz w:val="20"/>
                <w:szCs w:val="20"/>
                <w:color w:val="auto"/>
              </w:rPr>
            </w:pPr>
            <w:r>
              <w:rPr>
                <w:rFonts w:ascii="Arial" w:cs="Arial" w:eastAsia="Arial" w:hAnsi="Arial"/>
                <w:sz w:val="14"/>
                <w:szCs w:val="14"/>
                <w:b w:val="1"/>
                <w:bCs w:val="1"/>
                <w:color w:val="auto"/>
                <w:w w:val="86"/>
              </w:rPr>
              <w:t>Operating Leases</w:t>
            </w:r>
          </w:p>
        </w:tc>
        <w:tc>
          <w:tcPr>
            <w:tcW w:w="0" w:type="dxa"/>
            <w:vAlign w:val="bottom"/>
          </w:tcPr>
          <w:p>
            <w:pPr>
              <w:spacing w:after="0"/>
              <w:rPr>
                <w:sz w:val="1"/>
                <w:szCs w:val="1"/>
                <w:color w:val="auto"/>
              </w:rPr>
            </w:pP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301,483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318,142</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20"/>
                <w:szCs w:val="20"/>
                <w:color w:val="auto"/>
              </w:rPr>
            </w:pPr>
            <w:r>
              <w:rPr>
                <w:rFonts w:ascii="Arial" w:cs="Arial" w:eastAsia="Arial" w:hAnsi="Arial"/>
                <w:sz w:val="17"/>
                <w:szCs w:val="17"/>
                <w:color w:val="auto"/>
              </w:rPr>
              <w:t>2024</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1,170,043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1,245,433</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1,232,098</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20"/>
                <w:szCs w:val="20"/>
                <w:color w:val="auto"/>
              </w:rPr>
            </w:pPr>
            <w:r>
              <w:rPr>
                <w:rFonts w:ascii="Arial" w:cs="Arial" w:eastAsia="Arial" w:hAnsi="Arial"/>
                <w:sz w:val="17"/>
                <w:szCs w:val="17"/>
                <w:color w:val="auto"/>
              </w:rPr>
              <w:t>2026</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1,102,903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1,165,078</w:t>
            </w:r>
          </w:p>
        </w:tc>
        <w:tc>
          <w:tcPr>
            <w:tcW w:w="0" w:type="dxa"/>
            <w:vAlign w:val="bottom"/>
          </w:tcPr>
          <w:p>
            <w:pPr>
              <w:spacing w:after="0"/>
              <w:rPr>
                <w:sz w:val="1"/>
                <w:szCs w:val="1"/>
                <w:color w:val="auto"/>
              </w:rPr>
            </w:pPr>
          </w:p>
        </w:tc>
      </w:tr>
      <w:tr>
        <w:trPr>
          <w:trHeight w:val="220"/>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1,131,002</w:t>
            </w:r>
          </w:p>
        </w:tc>
        <w:tc>
          <w:tcPr>
            <w:tcW w:w="0" w:type="dxa"/>
            <w:vAlign w:val="bottom"/>
          </w:tcPr>
          <w:p>
            <w:pPr>
              <w:spacing w:after="0"/>
              <w:rPr>
                <w:sz w:val="1"/>
                <w:szCs w:val="1"/>
                <w:color w:val="auto"/>
              </w:rPr>
            </w:pPr>
          </w:p>
        </w:tc>
      </w:tr>
      <w:tr>
        <w:trPr>
          <w:trHeight w:val="218"/>
        </w:trPr>
        <w:tc>
          <w:tcPr>
            <w:tcW w:w="40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6,942,697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7,081,869</w:t>
            </w:r>
          </w:p>
        </w:tc>
        <w:tc>
          <w:tcPr>
            <w:tcW w:w="0" w:type="dxa"/>
            <w:vAlign w:val="bottom"/>
          </w:tcPr>
          <w:p>
            <w:pPr>
              <w:spacing w:after="0"/>
              <w:rPr>
                <w:sz w:val="1"/>
                <w:szCs w:val="1"/>
                <w:color w:val="auto"/>
              </w:rPr>
            </w:pPr>
          </w:p>
        </w:tc>
      </w:tr>
      <w:tr>
        <w:trPr>
          <w:trHeight w:val="238"/>
        </w:trPr>
        <w:tc>
          <w:tcPr>
            <w:tcW w:w="4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11,755,417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298,329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119,876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12,173,622</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financing receivables, net.</w:t>
      </w: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Earnings Per Share</w:t>
      </w:r>
    </w:p>
    <w:p>
      <w:pPr>
        <w:spacing w:after="0" w:line="22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 xml:space="preserve">The Company calculates earnings per share ("EPS") in accordance with ASC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3" w:name="page34"/>
    <w:bookmarkEnd w:id="33"/>
    <w:p>
      <w:pPr>
        <w:ind w:right="200" w:firstLine="619"/>
        <w:spacing w:after="0" w:line="279"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2023 and 2022:</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35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580" w:type="dxa"/>
            <w:vAlign w:val="bottom"/>
            <w:gridSpan w:val="3"/>
          </w:tcPr>
          <w:p>
            <w:pPr>
              <w:jc w:val="right"/>
              <w:ind w:right="397"/>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4"/>
        </w:trPr>
        <w:tc>
          <w:tcPr>
            <w:tcW w:w="5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9"/>
        </w:trPr>
        <w:tc>
          <w:tcPr>
            <w:tcW w:w="5120" w:type="dxa"/>
            <w:vAlign w:val="bottom"/>
          </w:tcPr>
          <w:p>
            <w:pPr>
              <w:spacing w:after="0"/>
              <w:rPr>
                <w:sz w:val="15"/>
                <w:szCs w:val="15"/>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186"/>
        </w:trPr>
        <w:tc>
          <w:tcPr>
            <w:tcW w:w="5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7"/>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Determination of shares: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460" w:type="dxa"/>
            <w:vAlign w:val="bottom"/>
          </w:tcPr>
          <w:p>
            <w:pPr>
              <w:jc w:val="right"/>
              <w:spacing w:after="0"/>
              <w:rPr>
                <w:sz w:val="20"/>
                <w:szCs w:val="20"/>
                <w:color w:val="auto"/>
              </w:rPr>
            </w:pPr>
            <w:r>
              <w:rPr>
                <w:rFonts w:ascii="Arial" w:cs="Arial" w:eastAsia="Arial" w:hAnsi="Arial"/>
                <w:sz w:val="17"/>
                <w:szCs w:val="17"/>
                <w:color w:val="auto"/>
              </w:rPr>
              <w:t>263,238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256,558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262,512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250,577</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conversion of restricted stock awards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Assumed conversion of performance-based restricted stock awards</w:t>
            </w:r>
          </w:p>
        </w:tc>
        <w:tc>
          <w:tcPr>
            <w:tcW w:w="1460" w:type="dxa"/>
            <w:vAlign w:val="bottom"/>
          </w:tcPr>
          <w:p>
            <w:pPr>
              <w:jc w:val="right"/>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728</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Dilution attributable to equity forward contract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264,207</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257,530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263,425</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251,453</w:t>
            </w:r>
          </w:p>
        </w:tc>
      </w:tr>
      <w:tr>
        <w:trPr>
          <w:trHeight w:val="20"/>
        </w:trPr>
        <w:tc>
          <w:tcPr>
            <w:tcW w:w="5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calculation of basic and diluted EPS for the Company’s common stock for the three and nine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and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72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5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7"/>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Calculation of basic EPS: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184,010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522,991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490,536</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allocated to participating securities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11"/>
        </w:trPr>
        <w:tc>
          <w:tcPr>
            <w:tcW w:w="5120" w:type="dxa"/>
            <w:vAlign w:val="bottom"/>
          </w:tcPr>
          <w:p>
            <w:pPr>
              <w:ind w:left="20"/>
              <w:spacing w:after="0"/>
              <w:rPr>
                <w:sz w:val="20"/>
                <w:szCs w:val="20"/>
                <w:color w:val="auto"/>
              </w:rPr>
            </w:pPr>
            <w:r>
              <w:rPr>
                <w:rFonts w:ascii="Arial" w:cs="Arial" w:eastAsia="Arial" w:hAnsi="Arial"/>
                <w:sz w:val="17"/>
                <w:szCs w:val="17"/>
                <w:color w:val="auto"/>
              </w:rPr>
              <w:t>Net income for earnings per share purposes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183,893</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219,801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522,697</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490,246</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250,577</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Basic EPS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0.70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1.96</w:t>
            </w:r>
          </w:p>
        </w:tc>
      </w:tr>
      <w:tr>
        <w:trPr>
          <w:trHeight w:val="207"/>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9"/>
        </w:trPr>
        <w:tc>
          <w:tcPr>
            <w:tcW w:w="5120" w:type="dxa"/>
            <w:vAlign w:val="bottom"/>
          </w:tcPr>
          <w:p>
            <w:pPr>
              <w:ind w:left="20"/>
              <w:spacing w:after="0"/>
              <w:rPr>
                <w:sz w:val="20"/>
                <w:szCs w:val="20"/>
                <w:color w:val="auto"/>
              </w:rPr>
            </w:pPr>
            <w:r>
              <w:rPr>
                <w:rFonts w:ascii="Arial" w:cs="Arial" w:eastAsia="Arial" w:hAnsi="Arial"/>
                <w:sz w:val="17"/>
                <w:szCs w:val="17"/>
                <w:b w:val="1"/>
                <w:bCs w:val="1"/>
                <w:color w:val="auto"/>
              </w:rPr>
              <w:t>Calculation of diluted EPS: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490,536</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264,207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257,530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263,425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251,453</w:t>
            </w: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8"/>
        </w:trPr>
        <w:tc>
          <w:tcPr>
            <w:tcW w:w="512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b w:val="1"/>
                <w:bCs w:val="1"/>
                <w:color w:val="auto"/>
                <w:w w:val="98"/>
              </w:rPr>
              <w:t>Antidilutive securities excluded from the computation of diluted</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2"/>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earnings per share</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Equity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issuance</w:t>
      </w:r>
    </w:p>
    <w:p>
      <w:pPr>
        <w:spacing w:after="0" w:line="24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5"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7"/>
          <w:szCs w:val="17"/>
          <w:color w:val="auto"/>
        </w:rPr>
        <w:t>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During the three and nine months ended September 30, 2023, the Company sold 4.4 million and 4.7 million shares of its common stock under the 2022 ATM Program which raised net proceeds of $210.8 million and $224.9 million, respectively. As of September 30, 2023, the Company had $774.0 million remaining for issuance under the 2022 ATM Program.</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August 2022, the Company entered into a forward sale agreement under the Company's prior ATM program that was settled in February 2023 which resulted in the issuance of 1,284,556 common shares and net proceeds of $64.6 million. The issuance was under the prior ATM program.</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Non-controlling interests</w:t>
      </w:r>
    </w:p>
    <w:p>
      <w:pPr>
        <w:spacing w:after="0" w:line="236"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6"/>
          <w:szCs w:val="16"/>
          <w:color w:val="auto"/>
        </w:rPr>
        <w:t>As partial consideration for the closing of the real property assets under the Bally's Master Lease that occurred on January 3, 2023, the Company's operating partnership issued 286,643 newly-issued OP Units to affiliates of Bally's which were valued at $14.9 million. In the prior year, as partial consideration for the closing of the real property assets under the Pennsylvania Live! Master Lease that occurred on March 1, 2022, the Company's operating partnership issued 3,017,909 newly-issued OP Units to affiliates of Cordish which were valued at $137.0 million. The OP Units are exchangeable for common shares of the Company on a one-for-one basis, subject to certain terms and conditions. As of September 30, 2023, the Company holds a 97.2%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$5.6 million and $18.5 million in distributions to the non-controlling interest holders concurrently with the dividends paid to the Company's common shareholders, during the three and nine month periods ended September 30, 2023, respectively. The Company paid $5.2 million and $15.5 million in distributions to the non-controlling interest holders concurrently with the dividends paid to the Company's common shareholders, during the three and nine month periods ended September 30, 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Dividends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lists the dividends declared and paid by the Company during the nine months ended September 30, 2023 and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Declaration Date</w:t>
            </w:r>
          </w:p>
        </w:tc>
        <w:tc>
          <w:tcPr>
            <w:tcW w:w="208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Shareholder Record Date</w:t>
            </w: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Securities</w:t>
            </w:r>
          </w:p>
        </w:tc>
        <w:tc>
          <w:tcPr>
            <w:tcW w:w="10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Dividend</w:t>
            </w:r>
          </w:p>
        </w:tc>
        <w:tc>
          <w:tcPr>
            <w:tcW w:w="180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Period Covered</w:t>
            </w:r>
          </w:p>
        </w:tc>
        <w:tc>
          <w:tcPr>
            <w:tcW w:w="2080" w:type="dxa"/>
            <w:vAlign w:val="bottom"/>
            <w:gridSpan w:val="2"/>
            <w:vMerge w:val="restart"/>
          </w:tcPr>
          <w:p>
            <w:pPr>
              <w:ind w:left="420"/>
              <w:spacing w:after="0"/>
              <w:rPr>
                <w:sz w:val="20"/>
                <w:szCs w:val="20"/>
                <w:color w:val="auto"/>
              </w:rPr>
            </w:pPr>
            <w:r>
              <w:rPr>
                <w:rFonts w:ascii="Arial" w:cs="Arial" w:eastAsia="Arial" w:hAnsi="Arial"/>
                <w:sz w:val="15"/>
                <w:szCs w:val="15"/>
                <w:b w:val="1"/>
                <w:bCs w:val="1"/>
                <w:color w:val="auto"/>
              </w:rPr>
              <w:t>Distribution Date</w:t>
            </w:r>
          </w:p>
        </w:tc>
        <w:tc>
          <w:tcPr>
            <w:tcW w:w="12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Dividend Amount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4"/>
              </w:rPr>
              <w:t>Class</w:t>
            </w: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Per Share</w:t>
            </w: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w w:val="83"/>
              </w:rPr>
              <w:t>2023</w:t>
            </w: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60" w:type="dxa"/>
            <w:vAlign w:val="bottom"/>
            <w:gridSpan w:val="4"/>
            <w:vMerge w:val="restart"/>
          </w:tcPr>
          <w:p>
            <w:pPr>
              <w:ind w:left="20"/>
              <w:spacing w:after="0"/>
              <w:rPr>
                <w:sz w:val="20"/>
                <w:szCs w:val="20"/>
                <w:color w:val="auto"/>
              </w:rPr>
            </w:pPr>
            <w:r>
              <w:rPr>
                <w:rFonts w:ascii="Arial" w:cs="Arial" w:eastAsia="Arial" w:hAnsi="Arial"/>
                <w:sz w:val="15"/>
                <w:szCs w:val="15"/>
                <w:color w:val="auto"/>
              </w:rPr>
              <w:t>February 22, 2023</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March 10, 2023</w:t>
            </w:r>
          </w:p>
        </w:tc>
        <w:tc>
          <w:tcPr>
            <w:tcW w:w="1040" w:type="dxa"/>
            <w:vAlign w:val="bottom"/>
            <w:gridSpan w:val="2"/>
          </w:tcPr>
          <w:p>
            <w:pPr>
              <w:jc w:val="center"/>
              <w:ind w:right="100"/>
              <w:spacing w:after="0" w:line="160"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5"/>
                <w:szCs w:val="15"/>
                <w:color w:val="auto"/>
              </w:rPr>
              <w:t>First Quarter 2023</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March 24, 2023</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$188,896</w:t>
            </w:r>
          </w:p>
        </w:tc>
        <w:tc>
          <w:tcPr>
            <w:tcW w:w="0" w:type="dxa"/>
            <w:vAlign w:val="bottom"/>
          </w:tcPr>
          <w:p>
            <w:pPr>
              <w:spacing w:after="0"/>
              <w:rPr>
                <w:sz w:val="1"/>
                <w:szCs w:val="1"/>
                <w:color w:val="auto"/>
              </w:rPr>
            </w:pPr>
          </w:p>
        </w:tc>
      </w:tr>
      <w:tr>
        <w:trPr>
          <w:trHeight w:val="199"/>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gridSpan w:val="4"/>
            <w:vMerge w:val="restart"/>
            <w:shd w:val="clear" w:color="auto" w:fill="CCEEFF"/>
          </w:tcPr>
          <w:p>
            <w:pPr>
              <w:ind w:left="20"/>
              <w:spacing w:after="0"/>
              <w:rPr>
                <w:sz w:val="20"/>
                <w:szCs w:val="20"/>
                <w:color w:val="auto"/>
              </w:rPr>
            </w:pPr>
            <w:r>
              <w:rPr>
                <w:rFonts w:ascii="Arial" w:cs="Arial" w:eastAsia="Arial" w:hAnsi="Arial"/>
                <w:sz w:val="15"/>
                <w:szCs w:val="15"/>
                <w:color w:val="auto"/>
              </w:rPr>
              <w:t>February 22, 2023</w:t>
            </w: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March 10, 2023</w:t>
            </w:r>
          </w:p>
        </w:tc>
        <w:tc>
          <w:tcPr>
            <w:tcW w:w="104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First Quarter 2023</w:t>
            </w: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March 24, 2023</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$65,588</w:t>
            </w:r>
          </w:p>
        </w:tc>
        <w:tc>
          <w:tcPr>
            <w:tcW w:w="0" w:type="dxa"/>
            <w:vAlign w:val="bottom"/>
          </w:tcPr>
          <w:p>
            <w:pPr>
              <w:spacing w:after="0"/>
              <w:rPr>
                <w:sz w:val="1"/>
                <w:szCs w:val="1"/>
                <w:color w:val="auto"/>
              </w:rPr>
            </w:pPr>
          </w:p>
        </w:tc>
      </w:tr>
      <w:tr>
        <w:trPr>
          <w:trHeight w:val="201"/>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60" w:type="dxa"/>
            <w:vAlign w:val="bottom"/>
            <w:gridSpan w:val="4"/>
            <w:vMerge w:val="restart"/>
          </w:tcPr>
          <w:p>
            <w:pPr>
              <w:ind w:left="20"/>
              <w:spacing w:after="0"/>
              <w:rPr>
                <w:sz w:val="20"/>
                <w:szCs w:val="20"/>
                <w:color w:val="auto"/>
              </w:rPr>
            </w:pPr>
            <w:r>
              <w:rPr>
                <w:rFonts w:ascii="Arial" w:cs="Arial" w:eastAsia="Arial" w:hAnsi="Arial"/>
                <w:sz w:val="15"/>
                <w:szCs w:val="15"/>
                <w:color w:val="auto"/>
              </w:rPr>
              <w:t>June 1, 2023</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June 16, 2023</w:t>
            </w:r>
          </w:p>
        </w:tc>
        <w:tc>
          <w:tcPr>
            <w:tcW w:w="1040" w:type="dxa"/>
            <w:vAlign w:val="bottom"/>
            <w:gridSpan w:val="2"/>
          </w:tcPr>
          <w:p>
            <w:pPr>
              <w:jc w:val="center"/>
              <w:ind w:right="100"/>
              <w:spacing w:after="0" w:line="160"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5"/>
                <w:szCs w:val="15"/>
                <w:color w:val="auto"/>
              </w:rPr>
              <w:t>Second Quarter 2023</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June 30, 2023</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$189,095</w:t>
            </w:r>
          </w:p>
        </w:tc>
        <w:tc>
          <w:tcPr>
            <w:tcW w:w="0" w:type="dxa"/>
            <w:vAlign w:val="bottom"/>
          </w:tcPr>
          <w:p>
            <w:pPr>
              <w:spacing w:after="0"/>
              <w:rPr>
                <w:sz w:val="1"/>
                <w:szCs w:val="1"/>
                <w:color w:val="auto"/>
              </w:rPr>
            </w:pPr>
          </w:p>
        </w:tc>
      </w:tr>
      <w:tr>
        <w:trPr>
          <w:trHeight w:val="199"/>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gridSpan w:val="4"/>
            <w:vMerge w:val="restart"/>
            <w:shd w:val="clear" w:color="auto" w:fill="CCEEFF"/>
          </w:tcPr>
          <w:p>
            <w:pPr>
              <w:ind w:left="20"/>
              <w:spacing w:after="0"/>
              <w:rPr>
                <w:sz w:val="20"/>
                <w:szCs w:val="20"/>
                <w:color w:val="auto"/>
              </w:rPr>
            </w:pPr>
            <w:r>
              <w:rPr>
                <w:rFonts w:ascii="Arial" w:cs="Arial" w:eastAsia="Arial" w:hAnsi="Arial"/>
                <w:sz w:val="17"/>
                <w:szCs w:val="17"/>
                <w:color w:val="auto"/>
              </w:rPr>
              <w:t>August 30, 2023</w:t>
            </w: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September 15, 2023</w:t>
            </w:r>
          </w:p>
        </w:tc>
        <w:tc>
          <w:tcPr>
            <w:tcW w:w="104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10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Third Quarter 2023</w:t>
            </w: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September 29, 2023</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$192,085</w:t>
            </w:r>
          </w:p>
        </w:tc>
        <w:tc>
          <w:tcPr>
            <w:tcW w:w="0" w:type="dxa"/>
            <w:vAlign w:val="bottom"/>
          </w:tcPr>
          <w:p>
            <w:pPr>
              <w:spacing w:after="0"/>
              <w:rPr>
                <w:sz w:val="1"/>
                <w:szCs w:val="1"/>
                <w:color w:val="auto"/>
              </w:rPr>
            </w:pPr>
          </w:p>
        </w:tc>
      </w:tr>
      <w:tr>
        <w:trPr>
          <w:trHeight w:val="201"/>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68" w:lineRule="exact"/>
              <w:rPr>
                <w:sz w:val="20"/>
                <w:szCs w:val="20"/>
                <w:color w:val="auto"/>
              </w:rPr>
            </w:pPr>
            <w:r>
              <w:rPr>
                <w:rFonts w:ascii="Arial" w:cs="Arial" w:eastAsia="Arial" w:hAnsi="Arial"/>
                <w:sz w:val="15"/>
                <w:szCs w:val="15"/>
                <w:b w:val="1"/>
                <w:bCs w:val="1"/>
                <w:color w:val="auto"/>
                <w:w w:val="83"/>
              </w:rPr>
              <w:t>2022</w:t>
            </w: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60" w:type="dxa"/>
            <w:vAlign w:val="bottom"/>
            <w:gridSpan w:val="4"/>
            <w:vMerge w:val="restart"/>
          </w:tcPr>
          <w:p>
            <w:pPr>
              <w:ind w:left="20"/>
              <w:spacing w:after="0"/>
              <w:rPr>
                <w:sz w:val="20"/>
                <w:szCs w:val="20"/>
                <w:color w:val="auto"/>
              </w:rPr>
            </w:pPr>
            <w:r>
              <w:rPr>
                <w:rFonts w:ascii="Arial" w:cs="Arial" w:eastAsia="Arial" w:hAnsi="Arial"/>
                <w:sz w:val="15"/>
                <w:szCs w:val="15"/>
                <w:color w:val="auto"/>
              </w:rPr>
              <w:t>February 24, 2022</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March 11, 2022</w:t>
            </w:r>
          </w:p>
        </w:tc>
        <w:tc>
          <w:tcPr>
            <w:tcW w:w="1040" w:type="dxa"/>
            <w:vAlign w:val="bottom"/>
            <w:gridSpan w:val="2"/>
          </w:tcPr>
          <w:p>
            <w:pPr>
              <w:jc w:val="center"/>
              <w:ind w:right="100"/>
              <w:spacing w:after="0" w:line="160"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$0.69</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5"/>
                <w:szCs w:val="15"/>
                <w:color w:val="auto"/>
              </w:rPr>
              <w:t>First Quarter 2022</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March 25, 2022</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$170,805</w:t>
            </w:r>
          </w:p>
        </w:tc>
        <w:tc>
          <w:tcPr>
            <w:tcW w:w="0" w:type="dxa"/>
            <w:vAlign w:val="bottom"/>
          </w:tcPr>
          <w:p>
            <w:pPr>
              <w:spacing w:after="0"/>
              <w:rPr>
                <w:sz w:val="1"/>
                <w:szCs w:val="1"/>
                <w:color w:val="auto"/>
              </w:rPr>
            </w:pPr>
          </w:p>
        </w:tc>
      </w:tr>
      <w:tr>
        <w:trPr>
          <w:trHeight w:val="199"/>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60" w:type="dxa"/>
            <w:vAlign w:val="bottom"/>
            <w:gridSpan w:val="4"/>
            <w:vMerge w:val="restart"/>
            <w:shd w:val="clear" w:color="auto" w:fill="CCEEFF"/>
          </w:tcPr>
          <w:p>
            <w:pPr>
              <w:ind w:left="20"/>
              <w:spacing w:after="0"/>
              <w:rPr>
                <w:sz w:val="20"/>
                <w:szCs w:val="20"/>
                <w:color w:val="auto"/>
              </w:rPr>
            </w:pPr>
            <w:r>
              <w:rPr>
                <w:rFonts w:ascii="Arial" w:cs="Arial" w:eastAsia="Arial" w:hAnsi="Arial"/>
                <w:sz w:val="15"/>
                <w:szCs w:val="15"/>
                <w:color w:val="auto"/>
              </w:rPr>
              <w:t>May 9, 2022</w:t>
            </w: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June 10, 2022</w:t>
            </w:r>
          </w:p>
        </w:tc>
        <w:tc>
          <w:tcPr>
            <w:tcW w:w="104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$0.705</w:t>
            </w:r>
          </w:p>
        </w:tc>
        <w:tc>
          <w:tcPr>
            <w:tcW w:w="10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Second Quarter 2022</w:t>
            </w: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June 24, 2022</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$174,519</w:t>
            </w:r>
          </w:p>
        </w:tc>
        <w:tc>
          <w:tcPr>
            <w:tcW w:w="0" w:type="dxa"/>
            <w:vAlign w:val="bottom"/>
          </w:tcPr>
          <w:p>
            <w:pPr>
              <w:spacing w:after="0"/>
              <w:rPr>
                <w:sz w:val="1"/>
                <w:szCs w:val="1"/>
                <w:color w:val="auto"/>
              </w:rPr>
            </w:pPr>
          </w:p>
        </w:tc>
      </w:tr>
      <w:tr>
        <w:trPr>
          <w:trHeight w:val="201"/>
        </w:trPr>
        <w:tc>
          <w:tcPr>
            <w:tcW w:w="1960" w:type="dxa"/>
            <w:vAlign w:val="bottom"/>
            <w:gridSpan w:val="4"/>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208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60" w:type="dxa"/>
            <w:vAlign w:val="bottom"/>
            <w:gridSpan w:val="4"/>
            <w:vMerge w:val="restart"/>
          </w:tcPr>
          <w:p>
            <w:pPr>
              <w:ind w:left="20"/>
              <w:spacing w:after="0"/>
              <w:rPr>
                <w:sz w:val="20"/>
                <w:szCs w:val="20"/>
                <w:color w:val="auto"/>
              </w:rPr>
            </w:pPr>
            <w:r>
              <w:rPr>
                <w:rFonts w:ascii="Arial" w:cs="Arial" w:eastAsia="Arial" w:hAnsi="Arial"/>
                <w:sz w:val="15"/>
                <w:szCs w:val="15"/>
                <w:color w:val="auto"/>
              </w:rPr>
              <w:t>August 31, 2022</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September 16, 2022</w:t>
            </w:r>
          </w:p>
        </w:tc>
        <w:tc>
          <w:tcPr>
            <w:tcW w:w="1040" w:type="dxa"/>
            <w:vAlign w:val="bottom"/>
            <w:gridSpan w:val="2"/>
          </w:tcPr>
          <w:p>
            <w:pPr>
              <w:jc w:val="center"/>
              <w:ind w:right="100"/>
              <w:spacing w:after="0" w:line="160" w:lineRule="exact"/>
              <w:rPr>
                <w:sz w:val="20"/>
                <w:szCs w:val="20"/>
                <w:color w:val="auto"/>
              </w:rPr>
            </w:pPr>
            <w:r>
              <w:rPr>
                <w:rFonts w:ascii="Arial" w:cs="Arial" w:eastAsia="Arial" w:hAnsi="Arial"/>
                <w:sz w:val="15"/>
                <w:szCs w:val="15"/>
                <w:color w:val="auto"/>
                <w:w w:val="95"/>
              </w:rPr>
              <w:t>Common</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$0.705</w:t>
            </w:r>
          </w:p>
        </w:tc>
        <w:tc>
          <w:tcPr>
            <w:tcW w:w="100" w:type="dxa"/>
            <w:vAlign w:val="bottom"/>
          </w:tcPr>
          <w:p>
            <w:pPr>
              <w:spacing w:after="0"/>
              <w:rPr>
                <w:sz w:val="13"/>
                <w:szCs w:val="13"/>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5"/>
                <w:szCs w:val="15"/>
                <w:color w:val="auto"/>
              </w:rPr>
              <w:t>Third Quarter 2022</w:t>
            </w:r>
          </w:p>
        </w:tc>
        <w:tc>
          <w:tcPr>
            <w:tcW w:w="2080" w:type="dxa"/>
            <w:vAlign w:val="bottom"/>
            <w:gridSpan w:val="2"/>
            <w:vMerge w:val="restart"/>
          </w:tcPr>
          <w:p>
            <w:pPr>
              <w:ind w:left="20"/>
              <w:spacing w:after="0"/>
              <w:rPr>
                <w:sz w:val="20"/>
                <w:szCs w:val="20"/>
                <w:color w:val="auto"/>
              </w:rPr>
            </w:pPr>
            <w:r>
              <w:rPr>
                <w:rFonts w:ascii="Arial" w:cs="Arial" w:eastAsia="Arial" w:hAnsi="Arial"/>
                <w:sz w:val="15"/>
                <w:szCs w:val="15"/>
                <w:color w:val="auto"/>
              </w:rPr>
              <w:t>September 30, 2022</w:t>
            </w: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$181,549</w:t>
            </w:r>
          </w:p>
        </w:tc>
        <w:tc>
          <w:tcPr>
            <w:tcW w:w="0" w:type="dxa"/>
            <w:vAlign w:val="bottom"/>
          </w:tcPr>
          <w:p>
            <w:pPr>
              <w:spacing w:after="0"/>
              <w:rPr>
                <w:sz w:val="1"/>
                <w:szCs w:val="1"/>
                <w:color w:val="auto"/>
              </w:rPr>
            </w:pPr>
          </w:p>
        </w:tc>
      </w:tr>
      <w:tr>
        <w:trPr>
          <w:trHeight w:val="196"/>
        </w:trPr>
        <w:tc>
          <w:tcPr>
            <w:tcW w:w="1960" w:type="dxa"/>
            <w:vAlign w:val="bottom"/>
            <w:gridSpan w:val="4"/>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Stock</w:t>
            </w: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for the three and nine months ended September 30, 2023, dividend payments were made to GLPI restricted stock award holders in the amount of $0.2 million and $0.7 million, respectively. In addition, for the three and nine months ended September 30, 2022, dividend payments were made to GLPI restricted stock award holders in the amount of $0.2 million and $0.6 million, respectively. On February 22, 2023, the Company declared a first quarter dividend of $0.72 per share in addition to a special earnings and profit dividend related to the sale of the Tropicana Las Vegas building of $0.25 per share on the Company's common stock.</w:t>
      </w:r>
    </w:p>
    <w:p>
      <w:pPr>
        <w:spacing w:after="0" w:line="20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22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The Company accounts for stock compensation under ASC 718 -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of September 30, 2023, there was $5.6 million of total unrecognized compensation cost for restricted stock awards that will be recognized over the grants' remaining weighted average vesting period of 1.75 years. For the three and nine months ended September 30, 2023, the Company recognized $1.5 million and $7.2 million of compensation expense associated with these awards, compared to $1.3 million and $6.8 million for the three and nine months ended September 30, 2022, within general and administrative expenses on the condensed consolidated statements of income.</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information on restricted stock award activity for the nine months ended September 30, 2023:</w:t>
      </w:r>
    </w:p>
    <w:p>
      <w:pPr>
        <w:spacing w:after="0" w:line="17"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Award</w:t>
            </w:r>
          </w:p>
        </w:tc>
      </w:tr>
      <w:tr>
        <w:trPr>
          <w:trHeight w:val="186"/>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860" w:type="dxa"/>
            <w:vAlign w:val="bottom"/>
            <w:shd w:val="clear" w:color="auto" w:fill="CCEEFF"/>
          </w:tcPr>
          <w:p>
            <w:pPr>
              <w:jc w:val="center"/>
              <w:ind w:left="1060"/>
              <w:spacing w:after="0"/>
              <w:rPr>
                <w:sz w:val="20"/>
                <w:szCs w:val="20"/>
                <w:color w:val="auto"/>
              </w:rPr>
            </w:pPr>
            <w:r>
              <w:rPr>
                <w:rFonts w:ascii="Arial" w:cs="Arial" w:eastAsia="Arial" w:hAnsi="Arial"/>
                <w:sz w:val="17"/>
                <w:szCs w:val="17"/>
                <w:color w:val="auto"/>
                <w:w w:val="91"/>
              </w:rPr>
              <w:t>247,051</w:t>
            </w:r>
          </w:p>
        </w:tc>
      </w:tr>
      <w:tr>
        <w:trPr>
          <w:trHeight w:val="218"/>
        </w:trPr>
        <w:tc>
          <w:tcPr>
            <w:tcW w:w="4640" w:type="dxa"/>
            <w:vAlign w:val="bottom"/>
          </w:tcPr>
          <w:p>
            <w:pPr>
              <w:ind w:left="20"/>
              <w:spacing w:after="0"/>
              <w:rPr>
                <w:sz w:val="20"/>
                <w:szCs w:val="20"/>
                <w:color w:val="auto"/>
              </w:rPr>
            </w:pPr>
            <w:r>
              <w:rPr>
                <w:rFonts w:ascii="Arial" w:cs="Arial" w:eastAsia="Arial" w:hAnsi="Arial"/>
                <w:sz w:val="17"/>
                <w:szCs w:val="17"/>
                <w:color w:val="auto"/>
              </w:rPr>
              <w:t>Granted</w:t>
            </w:r>
          </w:p>
        </w:tc>
        <w:tc>
          <w:tcPr>
            <w:tcW w:w="1860" w:type="dxa"/>
            <w:vAlign w:val="bottom"/>
          </w:tcPr>
          <w:p>
            <w:pPr>
              <w:jc w:val="center"/>
              <w:ind w:left="1060"/>
              <w:spacing w:after="0"/>
              <w:rPr>
                <w:sz w:val="20"/>
                <w:szCs w:val="20"/>
                <w:color w:val="auto"/>
              </w:rPr>
            </w:pPr>
            <w:r>
              <w:rPr>
                <w:rFonts w:ascii="Arial" w:cs="Arial" w:eastAsia="Arial" w:hAnsi="Arial"/>
                <w:sz w:val="17"/>
                <w:szCs w:val="17"/>
                <w:color w:val="auto"/>
                <w:w w:val="91"/>
              </w:rPr>
              <w:t>243,291</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1860" w:type="dxa"/>
            <w:vAlign w:val="bottom"/>
            <w:tcBorders>
              <w:bottom w:val="single" w:sz="8" w:color="auto"/>
            </w:tcBorders>
            <w:shd w:val="clear" w:color="auto" w:fill="CCEEFF"/>
          </w:tcPr>
          <w:p>
            <w:pPr>
              <w:jc w:val="center"/>
              <w:ind w:left="1040"/>
              <w:spacing w:after="0"/>
              <w:rPr>
                <w:sz w:val="20"/>
                <w:szCs w:val="20"/>
                <w:color w:val="auto"/>
              </w:rPr>
            </w:pPr>
            <w:r>
              <w:rPr>
                <w:rFonts w:ascii="Arial" w:cs="Arial" w:eastAsia="Arial" w:hAnsi="Arial"/>
                <w:sz w:val="17"/>
                <w:szCs w:val="17"/>
                <w:color w:val="auto"/>
                <w:w w:val="90"/>
              </w:rPr>
              <w:t>(190,221)</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Outstanding at September 30, 2023</w:t>
            </w:r>
          </w:p>
        </w:tc>
        <w:tc>
          <w:tcPr>
            <w:tcW w:w="1860" w:type="dxa"/>
            <w:vAlign w:val="bottom"/>
            <w:tcBorders>
              <w:bottom w:val="single" w:sz="8" w:color="auto"/>
            </w:tcBorders>
          </w:tcPr>
          <w:p>
            <w:pPr>
              <w:jc w:val="center"/>
              <w:ind w:left="1060"/>
              <w:spacing w:after="0"/>
              <w:rPr>
                <w:sz w:val="20"/>
                <w:szCs w:val="20"/>
                <w:color w:val="auto"/>
              </w:rPr>
            </w:pPr>
            <w:r>
              <w:rPr>
                <w:rFonts w:ascii="Arial" w:cs="Arial" w:eastAsia="Arial" w:hAnsi="Arial"/>
                <w:sz w:val="17"/>
                <w:szCs w:val="17"/>
                <w:color w:val="auto"/>
                <w:w w:val="91"/>
              </w:rPr>
              <w:t>300,121</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6" w:name="page37"/>
    <w:bookmarkEnd w:id="36"/>
    <w:p>
      <w:pPr>
        <w:jc w:val="both"/>
        <w:ind w:firstLine="619"/>
        <w:spacing w:after="0" w:line="274"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September 30, 2023, there was $19.9 million of total unrecognized compensation cost, which will be recognized over the performance-based restricted stock awards' remaining weighted average vesting period of 1.84 years. For the three and nine months ended September 30, 2023, the Company recognized $3.7 million and $10.8 million of compensation expense associated with these awards within general and administrative expenses on the condensed consolidated statements of income compared to $3.1 million and $9.5 million for the corresponding periods in the prior year.</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nine months ended September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Number of Performance-Based Award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3"/>
          </w:tcPr>
          <w:p>
            <w:pPr>
              <w:jc w:val="center"/>
              <w:ind w:left="926"/>
              <w:spacing w:after="0"/>
              <w:rPr>
                <w:sz w:val="20"/>
                <w:szCs w:val="20"/>
                <w:color w:val="auto"/>
              </w:rPr>
            </w:pPr>
            <w:r>
              <w:rPr>
                <w:rFonts w:ascii="Arial" w:cs="Arial" w:eastAsia="Arial" w:hAnsi="Arial"/>
                <w:sz w:val="14"/>
                <w:szCs w:val="14"/>
                <w:b w:val="1"/>
                <w:bCs w:val="1"/>
                <w:color w:val="auto"/>
                <w:w w:val="81"/>
              </w:rPr>
              <w:t>Shares</w:t>
            </w:r>
          </w:p>
        </w:tc>
        <w:tc>
          <w:tcPr>
            <w:tcW w:w="10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2022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1,394,220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Granted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514,000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Released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(416,220)</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Canceled</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September 30, 2023</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1,492,000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5"/>
            <w:vMerge w:val="restart"/>
          </w:tcPr>
          <w:p>
            <w:pPr>
              <w:jc w:val="right"/>
              <w:ind w:right="443"/>
              <w:spacing w:after="0"/>
              <w:rPr>
                <w:sz w:val="20"/>
                <w:szCs w:val="20"/>
                <w:color w:val="auto"/>
              </w:rPr>
            </w:pPr>
            <w:r>
              <w:rPr>
                <w:rFonts w:ascii="Arial" w:cs="Arial" w:eastAsia="Arial" w:hAnsi="Arial"/>
                <w:sz w:val="17"/>
                <w:szCs w:val="17"/>
                <w:b w:val="1"/>
                <w:bCs w:val="1"/>
                <w:color w:val="auto"/>
                <w:w w:val="91"/>
              </w:rPr>
              <w:t>14.  Supplemental Disclosures of Cash Flow Information and Noncash Activities</w:t>
            </w: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64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2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w w:val="92"/>
              </w:rPr>
              <w:t>Supplemental disclosures of cash flow information are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24"/>
        </w:trPr>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798"/>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4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income taxes, net of refunds received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448</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6,202</w:t>
            </w: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4580" w:type="dxa"/>
            <w:vAlign w:val="bottom"/>
            <w:gridSpan w:val="2"/>
          </w:tcPr>
          <w:p>
            <w:pPr>
              <w:ind w:left="20"/>
              <w:spacing w:after="0"/>
              <w:rPr>
                <w:sz w:val="20"/>
                <w:szCs w:val="20"/>
                <w:color w:val="auto"/>
              </w:rPr>
            </w:pPr>
            <w:r>
              <w:rPr>
                <w:rFonts w:ascii="Arial" w:cs="Arial" w:eastAsia="Arial" w:hAnsi="Arial"/>
                <w:sz w:val="17"/>
                <w:szCs w:val="17"/>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3"/>
              <w:spacing w:after="0"/>
              <w:rPr>
                <w:sz w:val="20"/>
                <w:szCs w:val="20"/>
                <w:color w:val="auto"/>
              </w:rPr>
            </w:pPr>
            <w:r>
              <w:rPr>
                <w:rFonts w:ascii="Arial" w:cs="Arial" w:eastAsia="Arial" w:hAnsi="Arial"/>
                <w:sz w:val="17"/>
                <w:szCs w:val="17"/>
                <w:color w:val="auto"/>
              </w:rPr>
              <w:t>79,126</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71,931</w:t>
            </w:r>
          </w:p>
        </w:tc>
        <w:tc>
          <w:tcPr>
            <w:tcW w:w="120" w:type="dxa"/>
            <w:vAlign w:val="bottom"/>
          </w:tcPr>
          <w:p>
            <w:pPr>
              <w:spacing w:after="0"/>
              <w:rPr>
                <w:sz w:val="18"/>
                <w:szCs w:val="18"/>
                <w:color w:val="auto"/>
              </w:rPr>
            </w:pPr>
          </w:p>
        </w:tc>
        <w:tc>
          <w:tcPr>
            <w:tcW w:w="260" w:type="dxa"/>
            <w:vAlign w:val="bottom"/>
          </w:tcPr>
          <w:p>
            <w:pPr>
              <w:jc w:val="center"/>
              <w:ind w:right="5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235,214</w:t>
            </w: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208,222</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Noncash Investing and Financing Activities</w:t>
      </w:r>
    </w:p>
    <w:p>
      <w:pPr>
        <w:spacing w:after="0" w:line="249"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On January 3, 2023, as part of the consideration for the land and real estate assets of Bally's Biloxi and Bally's Tiverton, the Company issued 286,643 OP Units to affiliates of Bally's that were valued at $14.9 million for accounting purposes at closing. On March 1, 2022, as part of the consideration for the real estate assets acquired pursuant to the Pennsylvania Live! Master Lease, the Company issued 3,017,909 OP Units to affiliates of Cordish that were valued at $137.0 million for accounting purposes at closing and assumed debt of $422.9 million that was repaid after closing with the offsetting increase to Investment in leases, financing receivables, net.</w:t>
      </w:r>
    </w:p>
    <w:p>
      <w:pPr>
        <w:spacing w:after="0" w:line="19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Acquisitions</w:t>
      </w:r>
    </w:p>
    <w:p>
      <w:pPr>
        <w:spacing w:after="0" w:line="24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 xml:space="preserve">The Company accounts for its acquisitions of real estate assets as asset acquisitions under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asset acquisition accounting, incremental transaction costs incurred to acquire the purchased assets are also included as part of the asset cost.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7" w:name="page38"/>
    <w:bookmarkEnd w:id="37"/>
    <w:p>
      <w:pPr>
        <w:ind w:left="620"/>
        <w:spacing w:after="0"/>
        <w:rPr>
          <w:sz w:val="20"/>
          <w:szCs w:val="20"/>
          <w:color w:val="auto"/>
        </w:rPr>
      </w:pPr>
      <w:r>
        <w:rPr>
          <w:rFonts w:ascii="Arial" w:cs="Arial" w:eastAsia="Arial" w:hAnsi="Arial"/>
          <w:sz w:val="17"/>
          <w:szCs w:val="17"/>
          <w:b w:val="1"/>
          <w:bCs w:val="1"/>
          <w:color w:val="auto"/>
        </w:rPr>
        <w:t>Current year acquisitions</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January 3, 2023, the Company closed its previously announced acquisition from Bally's of the land and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spacing w:after="0" w:line="200" w:lineRule="exact"/>
        <w:rPr>
          <w:sz w:val="20"/>
          <w:szCs w:val="20"/>
          <w:color w:val="auto"/>
        </w:rPr>
      </w:pPr>
    </w:p>
    <w:p>
      <w:pPr>
        <w:spacing w:after="0" w:line="265" w:lineRule="exact"/>
        <w:rPr>
          <w:sz w:val="20"/>
          <w:szCs w:val="20"/>
          <w:color w:val="auto"/>
        </w:rPr>
      </w:pPr>
    </w:p>
    <w:tbl>
      <w:tblPr>
        <w:tblLayout w:type="fixed"/>
        <w:tblInd w:w="2480" w:type="dxa"/>
        <w:tblCellMar>
          <w:top w:w="0" w:type="dxa"/>
          <w:left w:w="0" w:type="dxa"/>
          <w:bottom w:w="0" w:type="dxa"/>
          <w:right w:w="0" w:type="dxa"/>
        </w:tblCellMar>
      </w:tblPr>
      <w:tr>
        <w:trPr>
          <w:trHeight w:val="219"/>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321,155</w:t>
            </w:r>
          </w:p>
        </w:tc>
      </w:tr>
      <w:tr>
        <w:trPr>
          <w:trHeight w:val="218"/>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Building and improvements</w:t>
            </w: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306,100</w:t>
            </w: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627,255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300" w:lineRule="auto"/>
        <w:rPr>
          <w:sz w:val="20"/>
          <w:szCs w:val="20"/>
          <w:color w:val="auto"/>
        </w:rPr>
      </w:pPr>
      <w:r>
        <w:rPr>
          <w:rFonts w:ascii="Arial" w:cs="Arial" w:eastAsia="Arial" w:hAnsi="Arial"/>
          <w:sz w:val="15"/>
          <w:szCs w:val="15"/>
          <w:color w:val="auto"/>
        </w:rPr>
        <w:t>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$771.0 million and additional annual rent of $58.8 million.</w:t>
      </w:r>
    </w:p>
    <w:p>
      <w:pPr>
        <w:spacing w:after="0" w:line="178" w:lineRule="exact"/>
        <w:rPr>
          <w:sz w:val="20"/>
          <w:szCs w:val="20"/>
          <w:color w:val="auto"/>
        </w:rPr>
      </w:pPr>
    </w:p>
    <w:p>
      <w:pPr>
        <w:jc w:val="both"/>
        <w:ind w:firstLine="619"/>
        <w:spacing w:after="0" w:line="300" w:lineRule="auto"/>
        <w:rPr>
          <w:sz w:val="20"/>
          <w:szCs w:val="20"/>
          <w:color w:val="auto"/>
        </w:rPr>
      </w:pPr>
      <w:r>
        <w:rPr>
          <w:rFonts w:ascii="Arial" w:cs="Arial" w:eastAsia="Arial" w:hAnsi="Arial"/>
          <w:sz w:val="15"/>
          <w:szCs w:val="15"/>
          <w:color w:val="auto"/>
        </w:rPr>
        <w:t>On August 29, 2023, the Company acquired the land associated with a development project in Rockford, IL, that upon opening is intended to be managed by Hard Rock, from an affiliate of 815 Entertainment. Simultaneously with the land acquisition, GLPI entered into the Rockford Lease. The transaction was accounted for as a failed sale leaseback and as such the purchase price was allocated to Investment in leases, financing receivables in the amount of $100.2 million.</w:t>
      </w:r>
    </w:p>
    <w:p>
      <w:pPr>
        <w:spacing w:after="0" w:line="178"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On September 6, 2023, the Company acquired the land and certain improvements at Casino Queen Marquette for $32.72 million. The property was added to the Casino Queen Master Lease and annual rent was increased by $2.7 million. The purchase price allocation of these assets based on their fair values at the acquisition date are summarized below (in thousands).</w:t>
      </w:r>
    </w:p>
    <w:p>
      <w:pPr>
        <w:spacing w:after="0" w:line="252" w:lineRule="exact"/>
        <w:rPr>
          <w:sz w:val="20"/>
          <w:szCs w:val="20"/>
          <w:color w:val="auto"/>
        </w:rPr>
      </w:pPr>
    </w:p>
    <w:tbl>
      <w:tblPr>
        <w:tblLayout w:type="fixed"/>
        <w:tblInd w:w="2480" w:type="dxa"/>
        <w:tblCellMar>
          <w:top w:w="0" w:type="dxa"/>
          <w:left w:w="0" w:type="dxa"/>
          <w:bottom w:w="0" w:type="dxa"/>
          <w:right w:w="0" w:type="dxa"/>
        </w:tblCellMar>
      </w:tblPr>
      <w:tr>
        <w:trPr>
          <w:trHeight w:val="219"/>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32,032</w:t>
            </w:r>
          </w:p>
        </w:tc>
      </w:tr>
      <w:tr>
        <w:trPr>
          <w:trHeight w:val="218"/>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Building and improvements</w:t>
            </w:r>
          </w:p>
        </w:tc>
        <w:tc>
          <w:tcPr>
            <w:tcW w:w="9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w:t>
            </w:r>
          </w:p>
        </w:tc>
      </w:tr>
      <w:tr>
        <w:trPr>
          <w:trHeight w:val="23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32,722</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w:t>
      </w:r>
    </w:p>
    <w:p>
      <w:pPr>
        <w:spacing w:after="0" w:line="15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106"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 P., the operating partnership ("GLP Capital").</w:t>
      </w:r>
    </w:p>
    <w:p>
      <w:pPr>
        <w:spacing w:after="0" w:line="10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During 2020, the Company and Tropicana LV, LLC, a wholly owned subsidiary of the Company that at the time held the real estate of the Tropicana Las Vegas Casino Hotel Resort, elected to treat Tropicana LV, LLC as a TRS. In September 2022, Bally's Corporation ("Bally's") acquired both the building assets from GLPI and PENN's outstanding equity interests in Tropicana Las Vegas. GLPI retained ownership of the land and entered into a ground lease with Bally's. In connection with this transaction, Tropicana LV, LLC was merged into GLP Capital and GLPI paid a special earnings and profit dividend of $0.25 per share in the first quarter of 2023 related to the sale of the building.</w:t>
      </w:r>
    </w:p>
    <w:p>
      <w:pPr>
        <w:spacing w:after="0" w:line="11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6"/>
          <w:szCs w:val="16"/>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("Bally's Biloxi") and Bally's Tiverton Casino &amp; Hotel ("Bally's Tiverton").</w:t>
      </w:r>
    </w:p>
    <w:p>
      <w:pPr>
        <w:spacing w:after="0" w:line="102"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As of September 30, 2023, GLPI's portfolio consisted of interests in 61 gaming and related facilities,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9 gaming and related facilities operated by Bally's, the real property associated with 3 gaming and related facilities operated by Casino Queen, the real property associated with 3 gaming and related facilities operated by Cordish and 1 facility under development that is intended to be managed by Hard Rock. These facilities, including our corporate headquarters building, are geographically diversified across 18 states and contain approximately 28.7 million square feet. As of September 30, 2023, our properties were 100% occupied. We expect to continue growing our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color w:val="auto"/>
        </w:rPr>
        <w:t>PENN Master Lease and Amended Penn Master Lease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"Original PENN Master Lease"). The Original PENN Master Lease is a triple-net operating lease, the term of which expires on October 31, 2033, with no purchase option, followed by three remaining 5-year renewal options (exercisable by the tenant) on the same terms and conditions.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October 10, 2022, the Company announced that it agreed to create a new master lease with PENN for seven of PENN's current properties. The companies also agreed to a funding mechanism to support PENN's pursuit of relocation and development opportunities at several of the properties included in the new master lease. The transaction, including the creation of the new master lease, became effective on January 1, 2023.</w:t>
      </w:r>
    </w:p>
    <w:p>
      <w:pPr>
        <w:spacing w:after="0" w:line="1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terms of the PENN 2023 Master Lease and the Amended PENN Master Lease are substantially similar to the Original PENN Master Lease with the following key differences;</w:t>
      </w:r>
    </w:p>
    <w:p>
      <w:pPr>
        <w:spacing w:after="0" w:line="204" w:lineRule="exact"/>
        <w:rPr>
          <w:sz w:val="20"/>
          <w:szCs w:val="20"/>
          <w:color w:val="auto"/>
        </w:rPr>
      </w:pPr>
    </w:p>
    <w:p>
      <w:pPr>
        <w:ind w:left="920" w:hanging="298"/>
        <w:spacing w:after="0"/>
        <w:tabs>
          <w:tab w:leader="none" w:pos="920"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PENN 2023 Master Lease is cross-defaulted and co-terminus with the Amended PENN Master Lease.</w:t>
      </w:r>
    </w:p>
    <w:p>
      <w:pPr>
        <w:spacing w:after="0" w:line="27" w:lineRule="exact"/>
        <w:rPr>
          <w:rFonts w:ascii="Arial" w:cs="Arial" w:eastAsia="Arial" w:hAnsi="Arial"/>
          <w:sz w:val="21"/>
          <w:szCs w:val="21"/>
          <w:color w:val="auto"/>
        </w:rPr>
      </w:pPr>
    </w:p>
    <w:p>
      <w:pPr>
        <w:ind w:left="940" w:hanging="318"/>
        <w:spacing w:after="0" w:line="232" w:lineRule="auto"/>
        <w:tabs>
          <w:tab w:leader="none" w:pos="935"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rent for the PENN 2023 Master Lease is $232.2 million in base rent which is fixed with annual escalation of 1.50%, with the first escalation to occur for the lease year beginning on November 1, 2023.</w:t>
      </w:r>
    </w:p>
    <w:p>
      <w:pPr>
        <w:spacing w:after="0" w:line="28" w:lineRule="exact"/>
        <w:rPr>
          <w:rFonts w:ascii="Arial" w:cs="Arial" w:eastAsia="Arial" w:hAnsi="Arial"/>
          <w:sz w:val="21"/>
          <w:szCs w:val="21"/>
          <w:color w:val="auto"/>
        </w:rPr>
      </w:pPr>
    </w:p>
    <w:p>
      <w:pPr>
        <w:ind w:left="940" w:hanging="318"/>
        <w:spacing w:after="0" w:line="239" w:lineRule="auto"/>
        <w:tabs>
          <w:tab w:leader="none" w:pos="935"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rent for the Amended 2023 PENN Master Lease was adjusted to $284.1 million, consisting of $208.2 million of building base rent, $43.0 million of land base rent, and $32.9 million of percentage rent.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Pinnacle Master Lease, Boyd Master Lease and Belterra Park Lease</w:t>
      </w:r>
    </w:p>
    <w:p>
      <w:pPr>
        <w:spacing w:after="0" w:line="2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assets of Belterra Park in satisfaction of the Belterra Park Loan, subject to a long-term lease (the "Belterra Park Lease") with a Boyd affiliate operating the</w:t>
      </w:r>
    </w:p>
    <w:p>
      <w:pPr>
        <w:spacing w:after="0" w:line="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floors, every two years to an amount equal to 4% of the average annual net revenues of Belterra Park during the preceding two years in excess of a contractual baseline.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Amended and Restated Caesars Master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1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annual land base rent was increased.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Horseshoe St. Louis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color w:val="auto"/>
        </w:rPr>
        <w:t>Bally's Master Lease</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 2022 and January 3, 2023, the Company completed additional acquisitions from Bally's of various land and real estate assets of Bally's casinos, namely Bally's Biloxi, Bally's Tiverton, Bally's Black Hawk and Bally's Quad Cities. These properties were added to the existing Bally's Master Lease with annual rent increases that are subject to the escalation clauses described above.</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GLPI’s commitment to consummate the Bally’s Biloxi and Bally's Tiverton acquisitions, it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prior to December 31, 2026 for a purchase price of $771.0 million and additional rent of $58.8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Tropicana Las Vegas Lease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17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(including, without limitation, a food, beverage and retail entrance plaza and structured parking).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approvals and other conditions, including, without limitation, the approval of the MLB owners to relocate the Team on or before December 1, 2023, and certain approvals by the Nevada Gaming Control Board and Nevada Gaming Commission.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Morgantown Lease</w:t>
      </w:r>
    </w:p>
    <w:p>
      <w:pPr>
        <w:spacing w:after="0" w:line="14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and on each anniversary thereafter rent shall be increased by 1.5% annually (on a prorated basis for the remainder of the lease year in which the gaming facility opens)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Queen Master Lease</w:t>
      </w:r>
    </w:p>
    <w:p>
      <w:pPr>
        <w:spacing w:after="0" w:line="23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On November 25, 2020, the Company entered into a definitive agreement to sell the operations of our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Casino Queen Master Lease was adjusted upon opening to reflect a yield of 8.25% on GLPI's project costs of $77 million. The Company also acquired the land and certain improvements at Casino Queen Marquette for $32.72 million on September 6, 2023. The annual rent on the Casino Queen Master Lease was increased by $2.7 million for this acquisition. Additionally, the Company anticipates funding certain construction costs of a landside development project at Casino Queen Marquette that is expected to be completed by December 31, 2024 for an amount not to exceed $12.5 million.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Maryland Live! Lease and Pennsylvania Live! Master Lease</w:t>
      </w:r>
    </w:p>
    <w:p>
      <w:pPr>
        <w:spacing w:after="0" w:line="243"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15"/>
          <w:szCs w:val="15"/>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w:t>
      </w:r>
    </w:p>
    <w:p>
      <w:pPr>
        <w:spacing w:after="0" w:line="2" w:lineRule="exact"/>
        <w:rPr>
          <w:sz w:val="20"/>
          <w:szCs w:val="20"/>
          <w:color w:val="auto"/>
        </w:rPr>
      </w:pPr>
    </w:p>
    <w:p>
      <w:pPr>
        <w:jc w:val="both"/>
        <w:ind w:firstLine="3"/>
        <w:spacing w:after="0" w:line="257" w:lineRule="auto"/>
        <w:tabs>
          <w:tab w:leader="none" w:pos="177" w:val="left"/>
        </w:tabs>
        <w:numPr>
          <w:ilvl w:val="0"/>
          <w:numId w:val="16"/>
        </w:numPr>
        <w:rPr>
          <w:rFonts w:ascii="Arial" w:cs="Arial" w:eastAsia="Arial" w:hAnsi="Arial"/>
          <w:sz w:val="17"/>
          <w:szCs w:val="17"/>
          <w:color w:val="auto"/>
        </w:rPr>
      </w:pPr>
      <w:r>
        <w:rPr>
          <w:rFonts w:ascii="Arial" w:cs="Arial" w:eastAsia="Arial" w:hAnsi="Arial"/>
          <w:sz w:val="17"/>
          <w:szCs w:val="17"/>
          <w:color w:val="auto"/>
        </w:rPr>
        <w:t>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w:t>
      </w:r>
    </w:p>
    <w:p>
      <w:pPr>
        <w:spacing w:after="0" w:line="11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majority of our earnings are the result of the rental revenues we receive from our triple-net master leases with PENN, Boyd, Bally's, Cordish and Caesars. Additionally, we have rental revenue from the Casino Queen Master Lease which is also a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Additionally, in accordance with Accounting Standards Codification ("ASC") 842, we record revenue for the ground lease rent paid by our tenants with an offsetting expense in land rights and ground lease expense within the Condensed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7"/>
          <w:szCs w:val="17"/>
          <w:color w:val="auto"/>
        </w:rPr>
        <w:t>Consolidated Statements of Income as we have concluded that as the lessee we are the primary obligor under the ground leases. We sublease these ground leases back to our tenants, who are responsible for payment directly to the landlord.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Rockford Lease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August 29, 2023, the Company acquired the land associated with the Hard Rock Casino development project in Rockford, IL from an affiliate of 815 Entertainment, LLC (together, "815 Entertainment") for $100.0 million. Simultaneously with the land acquisition, GLPI entered into a ground lease with 815 Entertainment for a 99 years term. The initial annual rent for the ground lease is $8.0 million, subject to fixed 2% annual escalation beginning with the lease's first anniversary and for the entirety of its term (the "Rockford Lease").</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to the Rockford Lease, the Company has also committed to providing up to $150 million of development funding via a senior secured delayed draw term loan (the "Rockford Loan"). Any borrowings under the Rockford Loan will be subject to an interest rate of 10%. The term loan has a draw period of up to 1 year and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September 30, 2023, $40 million was advanced and outstanding under the Rockford Loan. Additionally, the Company also received a right of first refusal on the building improvements of the Hard Rock Casino in Rockford, IL if there is a future decision to sell them once completed.</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Executive Summary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Highlights</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reported total revenues and income from operations of $359.6 million and $268.3 million, respectively, for the three months ended September 30, 2023, compared to $333.8 million and $317.6 million, respectively, for the corresponding period in the prior year. For the nine months ended September 30, 2023, we reported total revenues and income from operations of $1,071.4 million and $773.4 million, respectively, compared to $975.3 million and $754.5 million, respectively, for the corresponding period in the prior year.</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major factors affecting our results for the three and nine months ended September 30, 2023, as compared to the three and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 were as follows:</w:t>
      </w:r>
    </w:p>
    <w:p>
      <w:pPr>
        <w:spacing w:after="0" w:line="206" w:lineRule="exact"/>
        <w:rPr>
          <w:sz w:val="20"/>
          <w:szCs w:val="20"/>
          <w:color w:val="auto"/>
        </w:rPr>
      </w:pPr>
    </w:p>
    <w:p>
      <w:pPr>
        <w:jc w:val="both"/>
        <w:ind w:left="620" w:hanging="307"/>
        <w:spacing w:after="0" w:line="257"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income from real estate increased by $25.7 million to $359.6 million for the three months ended September 30, 2023 compared to $333.8 million for the corresponding period in the prior year. The reason for the increase was primarily due to our recent acquisitions which in the aggregate increased cash rental income by $16.2 million for the three months ended September 30, 2023. Additionally, the three months ended September 30, 2023 benefited by $3.8 million compared to the corresponding period in the prior year from escalations on our leases. The Company also recognized higher accretion of $0.6 million on its Investment in leases, financing receivables and favorable straight-line rent adjustments of $5.9 million compared to the corresponding period in the prior year. Finally, the Company had unfavorable variable rents of $0.8 million for the three months ended September 30, 2023 compared to the corresponding period in the prior year.</w:t>
      </w:r>
    </w:p>
    <w:p>
      <w:pPr>
        <w:spacing w:after="0" w:line="210" w:lineRule="exact"/>
        <w:rPr>
          <w:rFonts w:ascii="Arial" w:cs="Arial" w:eastAsia="Arial" w:hAnsi="Arial"/>
          <w:sz w:val="17"/>
          <w:szCs w:val="17"/>
          <w:color w:val="auto"/>
        </w:rPr>
      </w:pPr>
    </w:p>
    <w:p>
      <w:pPr>
        <w:jc w:val="both"/>
        <w:ind w:left="620" w:hanging="307"/>
        <w:spacing w:after="0" w:line="254"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income from real estate increased by $96.1 million for the nine months ended September 30, 2023 compared to the corresponding period in the prior year. The reason for the increase was primarily due to our recent acquisitions which in the aggregate increased cash rental income by $56.8 million for the nine months ended September 30, 2023. Additionally, the nine months ended September 30, 2023 benefited by $11.1 million compared to the corresponding period in the prior year from escalations on our leases. The Company also recognized higher accretion of $2.7 million on its Investments in leases, financing receivables and favorable straight-line rent adjustments of $24.9 million compared to the corresponding period in the prior year. Finally, the Company had higher ground rent income of $1.4 million due primarily from the additions to the Bally's Master Lease. Partially offsetting these favorable variances was lower variable rent of $0.7 million for the nine months ended September 30, 2023 compared to the corresponding period in the prior year.</w:t>
      </w:r>
    </w:p>
    <w:p>
      <w:pPr>
        <w:spacing w:after="0" w:line="6" w:lineRule="exact"/>
        <w:rPr>
          <w:rFonts w:ascii="Arial" w:cs="Arial" w:eastAsia="Arial" w:hAnsi="Arial"/>
          <w:sz w:val="17"/>
          <w:szCs w:val="17"/>
          <w:color w:val="auto"/>
        </w:rPr>
      </w:pPr>
    </w:p>
    <w:p>
      <w:pPr>
        <w:jc w:val="both"/>
        <w:ind w:left="620" w:hanging="307"/>
        <w:spacing w:after="0" w:line="278" w:lineRule="auto"/>
        <w:tabs>
          <w:tab w:leader="none" w:pos="616"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Total operating expenses increased by $75.0 million for the three months ended September 30, 2023 as compared to the corresponding period in the prior year. This was primarily due to the prior year sale of the Tropicana Las Vegas building asset to Bally's that closed on September 26, 2022 which resulted in a pre-tax gain of $67.4 million. Additionally, the provision for credit losses, net, increased by $1.6 million during the three months ended September 30, 2023. The provision increase was the result of the origination of the Rockford Loan and Rockford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4" w:name="page45"/>
    <w:bookmarkEnd w:id="44"/>
    <w:p>
      <w:pPr>
        <w:jc w:val="both"/>
        <w:ind w:left="620"/>
        <w:spacing w:after="0" w:line="294" w:lineRule="auto"/>
        <w:rPr>
          <w:sz w:val="20"/>
          <w:szCs w:val="20"/>
          <w:color w:val="auto"/>
        </w:rPr>
      </w:pPr>
      <w:r>
        <w:rPr>
          <w:rFonts w:ascii="Arial" w:cs="Arial" w:eastAsia="Arial" w:hAnsi="Arial"/>
          <w:sz w:val="15"/>
          <w:szCs w:val="15"/>
          <w:color w:val="auto"/>
        </w:rPr>
        <w:t>Lease during the third quarter of 2023, partially offset by a reversals associated with reserves associated with the Maryland Live! Lease and the Pennsylvania Live! Master Lease. The benefit recorded on these two leases was the result of an improvement in the long term projections of the Commercial Real Estate Price Index as of September 30, 2023, compared to June 30, 2023 which lowered their expected losses. Depreciation expense for the three months ended September 30, 2023 increased by $6.0 million compared to the corresponding period in the prior year due to our recent acquisitions that were added to the Bally's Master Lease and Casino Queen Master Lease as well as higher depreciation expense related to the building assets at the Company's Joliet and Aurora properties and Casino Queen Baton Rouge which opened in late August 2023. In connection with the recent transaction with PENN, new facilities are expected to be developed that would replace these existing locations. As a result, the Company decreased the useful life assumption of these two assets to reflect the expected opening date of the new projects. Partially offsetting these increases was a property transfer tax recovery of $2.2 million for the three months ended September 30, 2023 related to the Pennsylvania Live! Master Lease.</w:t>
      </w:r>
    </w:p>
    <w:p>
      <w:pPr>
        <w:spacing w:after="0" w:line="187" w:lineRule="exact"/>
        <w:rPr>
          <w:sz w:val="20"/>
          <w:szCs w:val="20"/>
          <w:color w:val="auto"/>
        </w:rPr>
      </w:pPr>
    </w:p>
    <w:p>
      <w:pPr>
        <w:jc w:val="both"/>
        <w:ind w:left="620" w:hanging="307"/>
        <w:spacing w:after="0" w:line="294" w:lineRule="auto"/>
        <w:tabs>
          <w:tab w:leader="none" w:pos="616" w:val="left"/>
        </w:tabs>
        <w:numPr>
          <w:ilvl w:val="0"/>
          <w:numId w:val="18"/>
        </w:numPr>
        <w:rPr>
          <w:rFonts w:ascii="Arial" w:cs="Arial" w:eastAsia="Arial" w:hAnsi="Arial"/>
          <w:sz w:val="15"/>
          <w:szCs w:val="15"/>
          <w:b w:val="1"/>
          <w:bCs w:val="1"/>
          <w:color w:val="auto"/>
        </w:rPr>
      </w:pPr>
      <w:r>
        <w:rPr>
          <w:rFonts w:ascii="Arial" w:cs="Arial" w:eastAsia="Arial" w:hAnsi="Arial"/>
          <w:sz w:val="15"/>
          <w:szCs w:val="15"/>
          <w:color w:val="auto"/>
        </w:rPr>
        <w:t>Total operating expenses increased by $77.1 million for the nine months ended September 30, 2023 as compared to the corresponding period in the prior year. This was primarily due to the prior year sale of the Tropicana Las Vegas building asset to Bally's that closed on September 26, 2022 which resulted in a pre-tax gain of $67.4 million. Depreciation expense for the nine months ended September 30, 2023 increased by $18.2 million compared to the corresponding period in the prior year due to our recent acquisitions that were added to the Bally's Master Lease as well as higher depreciation expense related to the building assets at the Company's Joliet and Aurora properties as explained above. The provision for credit losses, net, decreased by $4.8 million for the nine months ended September 30, 2023 as compared to the corresponding period in the prior year. The nine months ended September 30, 2022 provision of $28.9 million was driven primarily by the initial reserve established for the Pennsylvania Live! Master Lease which was originated on March 1, 2022. The nine months ended September 30, 2023 included the previously mentioned property transfer tax recovery of $2.2 million whereas the corresponding period in the prior year included an impairment charge of $3.3 million related to the sale of excess land.</w:t>
      </w:r>
    </w:p>
    <w:p>
      <w:pPr>
        <w:spacing w:after="0" w:line="186" w:lineRule="exact"/>
        <w:rPr>
          <w:rFonts w:ascii="Arial" w:cs="Arial" w:eastAsia="Arial" w:hAnsi="Arial"/>
          <w:sz w:val="15"/>
          <w:szCs w:val="15"/>
          <w:b w:val="1"/>
          <w:bCs w:val="1"/>
          <w:color w:val="auto"/>
        </w:rPr>
      </w:pPr>
    </w:p>
    <w:p>
      <w:pPr>
        <w:jc w:val="both"/>
        <w:ind w:left="620" w:hanging="307"/>
        <w:spacing w:after="0" w:line="25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 expenses increased by $2.4 million and $0.1 million for the three and nine months ended September 30, 2023, due to higher interest expense of $3.2 million and $7.8 million, respectively, associated with the Company's increased borrowings to fund our recent acquisitions, partially offset by higher interest income of $0.8 million and $6.2 million because of higher variable market interest rates earned on our cash balances. Finally, debt extinguishment charges of $0.6 million were recorded during the nine months ended September 30, 2023 compared with charges of $2.2 million for the nine months ended September 30, 2022.</w:t>
      </w:r>
    </w:p>
    <w:p>
      <w:pPr>
        <w:spacing w:after="0" w:line="208"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Income tax expense decreased by $14.8 million and $15.4 million for the three and nine months ended September 30, 2023, as compared to the corresponding periods in the prior year primarily from the tax provision related to the Tropicana building asset sale to Bally's in the prior year.</w:t>
      </w:r>
    </w:p>
    <w:p>
      <w:pPr>
        <w:spacing w:after="0" w:line="166"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income decreased by $36.9 million and increased by $34.4 million for the three and nine months ended September 30, 2023, as compared to the corresponding periods in the prior year, primarily due to the variances explained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most recent Annual Report. There has been no material change to these estimates for the three and nine months ended September 30, 2023.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have announced or closed numerous transactions recently and expect to continue to grow our portfolio by pursuing opportunities to acquire additional gaming facilities to lease to gaming operators under prudent terms.</w:t>
      </w:r>
    </w:p>
    <w:p>
      <w:pPr>
        <w:spacing w:after="0" w:line="19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Several wholly-owned subsidiaries of PENN lease a substantial number of our properties pursuant to three master leases and a single property lease and account for a significant portion of our revenue.</w:t>
      </w:r>
    </w:p>
    <w:p>
      <w:pPr>
        <w:spacing w:after="0" w:line="190" w:lineRule="exact"/>
        <w:rPr>
          <w:rFonts w:ascii="Arial" w:cs="Arial" w:eastAsia="Arial" w:hAnsi="Arial"/>
          <w:sz w:val="17"/>
          <w:szCs w:val="17"/>
          <w:color w:val="auto"/>
        </w:rPr>
      </w:pPr>
    </w:p>
    <w:p>
      <w:pPr>
        <w:jc w:val="both"/>
        <w:ind w:left="620" w:hanging="307"/>
        <w:spacing w:after="0" w:line="283"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risks related to economic conditions, including recent stress in the banking sector, high inflation levels (that have been negatively impacted by the armed conflict between Russia and Ukraine and may be further impacted by recent events in the Middle East)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189"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to refinance our significant levels of debt at attractive terms and obtain favorable funding in connection with future business opportunities.</w:t>
      </w:r>
    </w:p>
    <w:p>
      <w:pPr>
        <w:spacing w:after="0" w:line="228" w:lineRule="exact"/>
        <w:rPr>
          <w:rFonts w:ascii="Arial" w:cs="Arial" w:eastAsia="Arial" w:hAnsi="Arial"/>
          <w:sz w:val="16"/>
          <w:szCs w:val="16"/>
          <w:color w:val="auto"/>
        </w:rPr>
      </w:pPr>
    </w:p>
    <w:p>
      <w:pPr>
        <w:jc w:val="both"/>
        <w:ind w:left="620" w:hanging="307"/>
        <w:spacing w:after="0" w:line="290"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current administration, with or without retroactive application, could materially and adversely affect GLPI and its investors.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results of operations for the three and nine months ended September 30, 2023 and 2022 are summarized below:</w:t>
      </w: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5"/>
                <w:szCs w:val="15"/>
                <w:color w:val="auto"/>
              </w:rPr>
            </w:pPr>
          </w:p>
        </w:tc>
        <w:tc>
          <w:tcPr>
            <w:tcW w:w="256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4"/>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9"/>
        </w:trPr>
        <w:tc>
          <w:tcPr>
            <w:tcW w:w="4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86"/>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1,071,363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975,297</w:t>
            </w:r>
          </w:p>
        </w:tc>
      </w:tr>
      <w:tr>
        <w:trPr>
          <w:trHeight w:val="21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297,935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220,838</w:t>
            </w:r>
          </w:p>
        </w:tc>
      </w:tr>
      <w:tr>
        <w:trPr>
          <w:trHeight w:val="21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773,428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754,459</w:t>
            </w:r>
          </w:p>
        </w:tc>
      </w:tr>
      <w:tr>
        <w:trPr>
          <w:trHeight w:val="21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(76,086)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(234,274)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(234,330)</w:t>
            </w:r>
          </w:p>
        </w:tc>
      </w:tr>
      <w:tr>
        <w:trPr>
          <w:trHeight w:val="21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520,129</w:t>
            </w:r>
          </w:p>
        </w:tc>
      </w:tr>
      <w:tr>
        <w:trPr>
          <w:trHeight w:val="21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16,431</w:t>
            </w:r>
          </w:p>
        </w:tc>
      </w:tr>
      <w:tr>
        <w:trPr>
          <w:trHeight w:val="213"/>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538,114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503,698</w:t>
            </w:r>
          </w:p>
        </w:tc>
      </w:tr>
      <w:tr>
        <w:trPr>
          <w:trHeight w:val="168"/>
        </w:trPr>
        <w:tc>
          <w:tcPr>
            <w:tcW w:w="4640" w:type="dxa"/>
            <w:vAlign w:val="bottom"/>
          </w:tcPr>
          <w:p>
            <w:pPr>
              <w:ind w:left="20"/>
              <w:spacing w:after="0" w:line="168" w:lineRule="exact"/>
              <w:rPr>
                <w:sz w:val="20"/>
                <w:szCs w:val="20"/>
                <w:color w:val="auto"/>
              </w:rPr>
            </w:pPr>
            <w:r>
              <w:rPr>
                <w:rFonts w:ascii="Arial" w:cs="Arial" w:eastAsia="Arial" w:hAnsi="Arial"/>
                <w:sz w:val="17"/>
                <w:szCs w:val="17"/>
                <w:color w:val="auto"/>
              </w:rPr>
              <w:t>Net income attributable to non-controlling interest in the</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1"/>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Partnership</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(13,162)</w:t>
            </w:r>
          </w:p>
        </w:tc>
      </w:tr>
      <w:tr>
        <w:trPr>
          <w:trHeight w:val="23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219,954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522,991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490,536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FFO, AFFO and Adjusted EBITDA</w:t>
      </w:r>
    </w:p>
    <w:p>
      <w:pPr>
        <w:spacing w:after="0" w:line="22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6" w:name="page47"/>
    <w:bookmarkEnd w:id="46"/>
    <w:p>
      <w:pPr>
        <w:jc w:val="both"/>
        <w:ind w:firstLine="619"/>
        <w:spacing w:after="0" w:line="273" w:lineRule="auto"/>
        <w:rPr>
          <w:sz w:val="20"/>
          <w:szCs w:val="20"/>
          <w:color w:val="auto"/>
        </w:rPr>
      </w:pPr>
      <w:r>
        <w:rPr>
          <w:rFonts w:ascii="Arial" w:cs="Arial" w:eastAsia="Arial" w:hAnsi="Arial"/>
          <w:sz w:val="16"/>
          <w:szCs w:val="16"/>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property transfer tax recoveries; impairment charges; straight-line rent adjustments; losses on debt extinguishment;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adjustments; amortization of land rights; accretion on Investment in leases, financing receivables; non-cash adjustments to financing lease liabilities; property transfer tax recoveries; impairment charges; losses on debt extinguishment; and provision (benefit) for credit losses, net.</w:t>
      </w:r>
    </w:p>
    <w:p>
      <w:pPr>
        <w:spacing w:after="0" w:line="20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7" w:name="page48"/>
    <w:bookmarkEnd w:id="47"/>
    <w:p>
      <w:pPr>
        <w:ind w:right="200" w:firstLine="662"/>
        <w:spacing w:after="0" w:line="270" w:lineRule="auto"/>
        <w:rPr>
          <w:sz w:val="20"/>
          <w:szCs w:val="20"/>
          <w:color w:val="auto"/>
        </w:rPr>
      </w:pPr>
      <w:r>
        <w:rPr>
          <w:rFonts w:ascii="Arial" w:cs="Arial" w:eastAsia="Arial" w:hAnsi="Arial"/>
          <w:sz w:val="17"/>
          <w:szCs w:val="17"/>
          <w:color w:val="auto"/>
        </w:rPr>
        <w:t>The reconciliation of the Company’s net income per GAAP to FFO, AFFO, and Adjusted EBITDA for the three and nine months ended September 30, 2023 and 2022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r>
      <w:tr>
        <w:trPr>
          <w:trHeight w:val="271"/>
        </w:trPr>
        <w:tc>
          <w:tcPr>
            <w:tcW w:w="5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23"/>
                <w:szCs w:val="23"/>
                <w:color w:val="auto"/>
              </w:rPr>
            </w:pPr>
          </w:p>
        </w:tc>
      </w:tr>
      <w:tr>
        <w:trPr>
          <w:trHeight w:val="24"/>
        </w:trPr>
        <w:tc>
          <w:tcPr>
            <w:tcW w:w="5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9"/>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2022</w:t>
            </w: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7"/>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189,307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226,219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538,114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503,698</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Gains from dispositions of property, net of tax</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(52,793)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(52,844)</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177,569</w:t>
            </w:r>
          </w:p>
        </w:tc>
      </w:tr>
      <w:tr>
        <w:trPr>
          <w:trHeight w:val="212"/>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Funds from operations</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254,440</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232,842</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733,586</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628,423</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Straight-line rent adjustments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Other depreciation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1,411</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credit losses,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28,859</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Amortization of land rights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10,278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12,570</w:t>
            </w:r>
          </w:p>
        </w:tc>
      </w:tr>
      <w:tr>
        <w:trPr>
          <w:trHeight w:val="169"/>
        </w:trPr>
        <w:tc>
          <w:tcPr>
            <w:tcW w:w="55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8"/>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32"/>
        </w:trPr>
        <w:tc>
          <w:tcPr>
            <w:tcW w:w="5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7,598</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Accretion on investment in leases, financing receivables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(16,806)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(14,103)</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adjustment to financing lease liabilities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Stock based compensation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17,959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16,244</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on debt extinguishment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Recovery of property transfer tax and impairment charge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3,298</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maintenance expenditures</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2"/>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Adjusted funds from operations</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251,151</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235,040</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750,224</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685,225</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230,133</w:t>
            </w:r>
          </w:p>
        </w:tc>
      </w:tr>
      <w:tr>
        <w:trPr>
          <w:trHeight w:val="218"/>
        </w:trPr>
        <w:tc>
          <w:tcPr>
            <w:tcW w:w="554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1,794</w:t>
            </w: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maintenance expenditures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168"/>
        </w:trPr>
        <w:tc>
          <w:tcPr>
            <w:tcW w:w="5540" w:type="dxa"/>
            <w:vAlign w:val="bottom"/>
          </w:tcPr>
          <w:p>
            <w:pPr>
              <w:ind w:left="20"/>
              <w:spacing w:after="0" w:line="168" w:lineRule="exact"/>
              <w:rPr>
                <w:sz w:val="20"/>
                <w:szCs w:val="20"/>
                <w:color w:val="auto"/>
              </w:rPr>
            </w:pPr>
            <w:r>
              <w:rPr>
                <w:rFonts w:ascii="Arial" w:cs="Arial" w:eastAsia="Arial" w:hAnsi="Arial"/>
                <w:sz w:val="17"/>
                <w:szCs w:val="17"/>
                <w:color w:val="auto"/>
                <w:w w:val="98"/>
              </w:rPr>
              <w:t>Amortization of debt issuance costs, bond premiums and original issuance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1"/>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discounts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(2,406)</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(7,598)</w:t>
            </w:r>
          </w:p>
        </w:tc>
      </w:tr>
      <w:tr>
        <w:trPr>
          <w:trHeight w:val="23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327,079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308,795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975,684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909,656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Net income, FFO, AFFO and Adjusted EBITDA were $189.3 million, $254.4 million, $251.2 million, and $327.1 million for the three months ended September 30, 2023. This compares to net income, FFO, AFFO and Adjusted EBITDA of $226.2 million, $232.8 million, $235.0 million and $308.8 million for the corresponding period in the prior year. The decrease in net income of $36.9 million was primarily attributable to the previously explained variances which increased operating expenses by $75.0 million and higher other expenses of $2.4 million, partially offset by the increase in total revenues of $25.7 million and lower income taxes of $14.8 million.</w:t>
      </w:r>
    </w:p>
    <w:p>
      <w:pPr>
        <w:spacing w:after="0" w:line="20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Net income, FFO, AFFO and Adjusted EBITDA were $538.1 million, $733.6 million, $750.2 million, and $975.7 million for the nine months ended September 30, 2023. This compares to net income, FFO, AFFO and Adjusted EBITDA of $503.7 million, $628.4 million, $685.2 million and $909.7 million for the corresponding period in the prior year. The increase in net income of $34.4 million was primarily attributable to the previously explained variances in total revenues which increased by $96.1 million and lower income taxes of $15.4 million, partially offset by higher operating expenses of $77.1 million as compared to the corresponding period in the prior year.</w:t>
      </w:r>
    </w:p>
    <w:p>
      <w:pPr>
        <w:spacing w:after="0" w:line="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increases in FFO for the three and nine months ended September 30, 2023 were due to the items described above, excluding gains from dispositions of property and real estate depreciation. The increases in AFFO and Adjusted EBITDA were due to the items described above, as well as the adjustments mentioned in the tables above.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Revenues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Revenues for the three and nine months ended September 30, 2023 and 2022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9"/>
              </w:rPr>
              <w:t>Three Months Ended September 30,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Rental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0" w:type="dxa"/>
            <w:vAlign w:val="bottom"/>
          </w:tcPr>
          <w:p>
            <w:pPr>
              <w:spacing w:after="0"/>
              <w:rPr>
                <w:sz w:val="1"/>
                <w:szCs w:val="1"/>
                <w:color w:val="auto"/>
              </w:rPr>
            </w:pPr>
          </w:p>
        </w:tc>
      </w:tr>
      <w:tr>
        <w:trPr>
          <w:trHeight w:val="218"/>
        </w:trPr>
        <w:tc>
          <w:tcPr>
            <w:tcW w:w="5140" w:type="dxa"/>
            <w:vAlign w:val="bottom"/>
          </w:tcPr>
          <w:p>
            <w:pPr>
              <w:ind w:left="180"/>
              <w:spacing w:after="0"/>
              <w:rPr>
                <w:sz w:val="20"/>
                <w:szCs w:val="20"/>
                <w:color w:val="auto"/>
              </w:rPr>
            </w:pPr>
            <w:r>
              <w:rPr>
                <w:rFonts w:ascii="Arial" w:cs="Arial" w:eastAsia="Arial" w:hAnsi="Arial"/>
                <w:sz w:val="17"/>
                <w:szCs w:val="17"/>
                <w:color w:val="auto"/>
              </w:rPr>
              <w:t>Interest income from real estate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38,332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37,039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1,293</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 from real estate loans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7"/>
                <w:szCs w:val="17"/>
                <w:color w:val="auto"/>
              </w:rPr>
              <w:t>Total income from real estate</w:t>
            </w: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359,560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333,818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25,742</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7.7 %</w:t>
            </w:r>
          </w:p>
        </w:tc>
        <w:tc>
          <w:tcPr>
            <w:tcW w:w="0" w:type="dxa"/>
            <w:vAlign w:val="bottom"/>
          </w:tcPr>
          <w:p>
            <w:pPr>
              <w:spacing w:after="0"/>
              <w:rPr>
                <w:sz w:val="1"/>
                <w:szCs w:val="1"/>
                <w:color w:val="auto"/>
              </w:rPr>
            </w:pPr>
          </w:p>
        </w:tc>
      </w:tr>
      <w:tr>
        <w:trPr>
          <w:trHeight w:val="751"/>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8"/>
              </w:rPr>
              <w:t>Nine Months Ended 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Rental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84,280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18"/>
        </w:trPr>
        <w:tc>
          <w:tcPr>
            <w:tcW w:w="5140" w:type="dxa"/>
            <w:vAlign w:val="bottom"/>
          </w:tcPr>
          <w:p>
            <w:pPr>
              <w:ind w:left="180"/>
              <w:spacing w:after="0"/>
              <w:rPr>
                <w:sz w:val="20"/>
                <w:szCs w:val="20"/>
                <w:color w:val="auto"/>
              </w:rPr>
            </w:pPr>
            <w:r>
              <w:rPr>
                <w:rFonts w:ascii="Arial" w:cs="Arial" w:eastAsia="Arial" w:hAnsi="Arial"/>
                <w:sz w:val="17"/>
                <w:szCs w:val="17"/>
                <w:color w:val="auto"/>
              </w:rPr>
              <w:t>Interest income from real estate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112,931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11,764</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11.6 %</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 from real estate loans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7"/>
                <w:szCs w:val="17"/>
                <w:color w:val="auto"/>
              </w:rPr>
              <w:t>Total income from real estate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1,071,363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975,297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96,066</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9.8 %</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income from real estate</w:t>
      </w:r>
    </w:p>
    <w:p>
      <w:pPr>
        <w:spacing w:after="0" w:line="236" w:lineRule="exact"/>
        <w:rPr>
          <w:sz w:val="20"/>
          <w:szCs w:val="20"/>
          <w:color w:val="auto"/>
        </w:rPr>
      </w:pPr>
    </w:p>
    <w:p>
      <w:pPr>
        <w:jc w:val="both"/>
        <w:ind w:left="620" w:hanging="307"/>
        <w:spacing w:after="0" w:line="255" w:lineRule="auto"/>
        <w:tabs>
          <w:tab w:leader="none" w:pos="609" w:val="left"/>
        </w:tabs>
        <w:numPr>
          <w:ilvl w:val="0"/>
          <w:numId w:val="20"/>
        </w:numPr>
        <w:rPr>
          <w:rFonts w:ascii="Arial" w:cs="Arial" w:eastAsia="Arial" w:hAnsi="Arial"/>
          <w:sz w:val="19"/>
          <w:szCs w:val="19"/>
          <w:b w:val="1"/>
          <w:bCs w:val="1"/>
          <w:color w:val="auto"/>
        </w:rPr>
      </w:pPr>
      <w:r>
        <w:rPr>
          <w:rFonts w:ascii="Arial" w:cs="Arial" w:eastAsia="Arial" w:hAnsi="Arial"/>
          <w:sz w:val="17"/>
          <w:szCs w:val="17"/>
          <w:color w:val="auto"/>
        </w:rPr>
        <w:t>Total income from real estate increased by $25.7 million to $359.6 million for the three months ended September 30, 2023 compared to $333.8 million for the corresponding period in the prior year. The reason for the increase was primarily due to our recent acquisitions which in the aggregate increased cash rental income by $16.2 million for the three months ended September 30, 2023. Additionally, the three months ended September 30, 2023 benefited by $3.8 million compared to the corresponding period in the prior year from escalations on our leases. The Company also recognized higher accretion of $0.6 million on its Investment in leases, financing receivables and favorable straight-line rent adjustments of $5.9 million compared to the corresponding period in the prior year. Finally, the Company had unfavorable variable rent of $0.8 million for the three months ended September 30, 2023 compared to the corresponding period in the prior year.</w:t>
      </w:r>
    </w:p>
    <w:p>
      <w:pPr>
        <w:spacing w:after="0" w:line="210" w:lineRule="exact"/>
        <w:rPr>
          <w:rFonts w:ascii="Arial" w:cs="Arial" w:eastAsia="Arial" w:hAnsi="Arial"/>
          <w:sz w:val="19"/>
          <w:szCs w:val="19"/>
          <w:b w:val="1"/>
          <w:bCs w:val="1"/>
          <w:color w:val="auto"/>
        </w:rPr>
      </w:pPr>
    </w:p>
    <w:p>
      <w:pPr>
        <w:jc w:val="both"/>
        <w:ind w:left="620" w:hanging="307"/>
        <w:spacing w:after="0" w:line="276" w:lineRule="auto"/>
        <w:tabs>
          <w:tab w:leader="none" w:pos="6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 income from real estate increased by $96.1 million for the nine months ended September 30, 2023. The reason for the increase was due primarily to our recent acquisitions which in the aggregate increased cash rental income by $56.8 million for the nine months ended September 30, 2023. Additionally, the nine months ended September 30, 2023 benefited by $11.1 million compared to the corresponding period in the prior year from escalations on our leases. The Company also recognized higher accretion of $2.7 million on its Investments in leases, financing receivables and favorable straight-line rent adjustments of $24.9 million compared to the corresponding period in the prior year. Finally, the Company had higher ground rent income of $1.4 million due primarily from the additions to the Bally's Master Lease. Partially offsetting these favorable variances was lower variable rent of $0.7 million for the nine months ended September 30, 2023 compared to the corresponding period in the prior year.</w:t>
      </w:r>
    </w:p>
    <w:p>
      <w:pPr>
        <w:spacing w:after="0" w:line="194"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color w:val="auto"/>
        </w:rPr>
        <w:t>Details of the Company's income from real estate for the three and nine months ended September 30, 2023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Building base</w:t>
            </w:r>
          </w:p>
        </w:tc>
        <w:tc>
          <w:tcPr>
            <w:tcW w:w="140" w:type="dxa"/>
            <w:vAlign w:val="bottom"/>
          </w:tcPr>
          <w:p>
            <w:pPr>
              <w:spacing w:after="0"/>
              <w:rPr>
                <w:sz w:val="14"/>
                <w:szCs w:val="14"/>
                <w:color w:val="auto"/>
              </w:rPr>
            </w:pPr>
          </w:p>
        </w:tc>
        <w:tc>
          <w:tcPr>
            <w:tcW w:w="7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6"/>
              </w:rPr>
              <w:t>Land base</w:t>
            </w:r>
          </w:p>
        </w:tc>
        <w:tc>
          <w:tcPr>
            <w:tcW w:w="140" w:type="dxa"/>
            <w:vAlign w:val="bottom"/>
          </w:tcPr>
          <w:p>
            <w:pPr>
              <w:spacing w:after="0"/>
              <w:rPr>
                <w:sz w:val="14"/>
                <w:szCs w:val="14"/>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Total cash</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Straight-line</w:t>
            </w: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Ground rent</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Accretion on</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Total income</w:t>
            </w:r>
          </w:p>
        </w:tc>
        <w:tc>
          <w:tcPr>
            <w:tcW w:w="0" w:type="dxa"/>
            <w:vAlign w:val="bottom"/>
          </w:tcPr>
          <w:p>
            <w:pPr>
              <w:spacing w:after="0"/>
              <w:rPr>
                <w:sz w:val="1"/>
                <w:szCs w:val="1"/>
                <w:color w:val="auto"/>
              </w:rPr>
            </w:pPr>
          </w:p>
        </w:tc>
      </w:tr>
      <w:tr>
        <w:trPr>
          <w:trHeight w:val="138"/>
        </w:trPr>
        <w:tc>
          <w:tcPr>
            <w:tcW w:w="2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40" w:type="dxa"/>
            <w:vAlign w:val="bottom"/>
            <w:gridSpan w:val="4"/>
          </w:tcPr>
          <w:p>
            <w:pPr>
              <w:ind w:left="40"/>
              <w:spacing w:after="0" w:line="139" w:lineRule="exact"/>
              <w:rPr>
                <w:sz w:val="20"/>
                <w:szCs w:val="20"/>
                <w:color w:val="auto"/>
              </w:rPr>
            </w:pPr>
            <w:r>
              <w:rPr>
                <w:rFonts w:ascii="Arial" w:cs="Arial" w:eastAsia="Arial" w:hAnsi="Arial"/>
                <w:sz w:val="14"/>
                <w:szCs w:val="14"/>
                <w:b w:val="1"/>
                <w:bCs w:val="1"/>
                <w:color w:val="auto"/>
                <w:w w:val="90"/>
              </w:rPr>
              <w:t>rent and other income on real</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20"/>
              <w:spacing w:after="0" w:line="139" w:lineRule="exact"/>
              <w:rPr>
                <w:sz w:val="20"/>
                <w:szCs w:val="20"/>
                <w:color w:val="auto"/>
              </w:rPr>
            </w:pPr>
            <w:r>
              <w:rPr>
                <w:rFonts w:ascii="Arial" w:cs="Arial" w:eastAsia="Arial" w:hAnsi="Arial"/>
                <w:sz w:val="14"/>
                <w:szCs w:val="14"/>
                <w:b w:val="1"/>
                <w:bCs w:val="1"/>
                <w:color w:val="auto"/>
                <w:w w:val="90"/>
              </w:rPr>
              <w:t>rent</w:t>
            </w: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40"/>
              <w:spacing w:after="0" w:line="139" w:lineRule="exact"/>
              <w:rPr>
                <w:sz w:val="20"/>
                <w:szCs w:val="20"/>
                <w:color w:val="auto"/>
              </w:rPr>
            </w:pPr>
            <w:r>
              <w:rPr>
                <w:rFonts w:ascii="Arial" w:cs="Arial" w:eastAsia="Arial" w:hAnsi="Arial"/>
                <w:sz w:val="14"/>
                <w:szCs w:val="14"/>
                <w:b w:val="1"/>
                <w:bCs w:val="1"/>
                <w:color w:val="auto"/>
                <w:w w:val="89"/>
              </w:rPr>
              <w:t>financing</w:t>
            </w:r>
          </w:p>
        </w:tc>
        <w:tc>
          <w:tcPr>
            <w:tcW w:w="160" w:type="dxa"/>
            <w:vAlign w:val="bottom"/>
          </w:tcPr>
          <w:p>
            <w:pPr>
              <w:spacing w:after="0"/>
              <w:rPr>
                <w:sz w:val="12"/>
                <w:szCs w:val="12"/>
                <w:color w:val="auto"/>
              </w:rPr>
            </w:pPr>
          </w:p>
        </w:tc>
        <w:tc>
          <w:tcPr>
            <w:tcW w:w="780" w:type="dxa"/>
            <w:vAlign w:val="bottom"/>
          </w:tcPr>
          <w:p>
            <w:pPr>
              <w:jc w:val="center"/>
              <w:ind w:right="60"/>
              <w:spacing w:after="0" w:line="139" w:lineRule="exact"/>
              <w:rPr>
                <w:sz w:val="20"/>
                <w:szCs w:val="20"/>
                <w:color w:val="auto"/>
              </w:rPr>
            </w:pPr>
            <w:r>
              <w:rPr>
                <w:rFonts w:ascii="Arial" w:cs="Arial" w:eastAsia="Arial" w:hAnsi="Arial"/>
                <w:sz w:val="14"/>
                <w:szCs w:val="14"/>
                <w:b w:val="1"/>
                <w:bCs w:val="1"/>
                <w:color w:val="auto"/>
                <w:w w:val="93"/>
              </w:rPr>
              <w:t>from real</w:t>
            </w:r>
          </w:p>
        </w:tc>
        <w:tc>
          <w:tcPr>
            <w:tcW w:w="0" w:type="dxa"/>
            <w:vAlign w:val="bottom"/>
          </w:tcPr>
          <w:p>
            <w:pPr>
              <w:spacing w:after="0"/>
              <w:rPr>
                <w:sz w:val="1"/>
                <w:szCs w:val="1"/>
                <w:color w:val="auto"/>
              </w:rPr>
            </w:pPr>
          </w:p>
        </w:tc>
      </w:tr>
      <w:tr>
        <w:trPr>
          <w:trHeight w:val="142"/>
        </w:trPr>
        <w:tc>
          <w:tcPr>
            <w:tcW w:w="2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9"/>
              <w:spacing w:after="0" w:line="122" w:lineRule="exact"/>
              <w:rPr>
                <w:sz w:val="20"/>
                <w:szCs w:val="20"/>
                <w:color w:val="auto"/>
              </w:rPr>
            </w:pPr>
            <w:r>
              <w:rPr>
                <w:rFonts w:ascii="Arial" w:cs="Arial" w:eastAsia="Arial" w:hAnsi="Arial"/>
                <w:sz w:val="14"/>
                <w:szCs w:val="14"/>
                <w:b w:val="1"/>
                <w:bCs w:val="1"/>
                <w:color w:val="auto"/>
                <w:w w:val="90"/>
              </w:rPr>
              <w:t>rent</w:t>
            </w:r>
          </w:p>
        </w:tc>
        <w:tc>
          <w:tcPr>
            <w:tcW w:w="140" w:type="dxa"/>
            <w:vAlign w:val="bottom"/>
          </w:tcPr>
          <w:p>
            <w:pPr>
              <w:spacing w:after="0"/>
              <w:rPr>
                <w:sz w:val="12"/>
                <w:szCs w:val="12"/>
                <w:color w:val="auto"/>
              </w:rPr>
            </w:pPr>
          </w:p>
        </w:tc>
        <w:tc>
          <w:tcPr>
            <w:tcW w:w="780" w:type="dxa"/>
            <w:vAlign w:val="bottom"/>
          </w:tcPr>
          <w:p>
            <w:pPr>
              <w:jc w:val="center"/>
              <w:ind w:right="20"/>
              <w:spacing w:after="0" w:line="122" w:lineRule="exact"/>
              <w:rPr>
                <w:sz w:val="20"/>
                <w:szCs w:val="20"/>
                <w:color w:val="auto"/>
              </w:rPr>
            </w:pPr>
            <w:r>
              <w:rPr>
                <w:rFonts w:ascii="Arial" w:cs="Arial" w:eastAsia="Arial" w:hAnsi="Arial"/>
                <w:sz w:val="14"/>
                <w:szCs w:val="14"/>
                <w:b w:val="1"/>
                <w:bCs w:val="1"/>
                <w:color w:val="auto"/>
                <w:w w:val="90"/>
              </w:rPr>
              <w:t>rent</w:t>
            </w:r>
          </w:p>
        </w:tc>
        <w:tc>
          <w:tcPr>
            <w:tcW w:w="920" w:type="dxa"/>
            <w:vAlign w:val="bottom"/>
            <w:gridSpan w:val="2"/>
          </w:tcPr>
          <w:p>
            <w:pPr>
              <w:ind w:left="40"/>
              <w:spacing w:after="0" w:line="122" w:lineRule="exact"/>
              <w:rPr>
                <w:sz w:val="20"/>
                <w:szCs w:val="20"/>
                <w:color w:val="auto"/>
              </w:rPr>
            </w:pPr>
            <w:r>
              <w:rPr>
                <w:rFonts w:ascii="Arial" w:cs="Arial" w:eastAsia="Arial" w:hAnsi="Arial"/>
                <w:sz w:val="14"/>
                <w:szCs w:val="14"/>
                <w:b w:val="1"/>
                <w:bCs w:val="1"/>
                <w:color w:val="auto"/>
                <w:w w:val="89"/>
              </w:rPr>
              <w:t>rental revenue</w:t>
            </w:r>
          </w:p>
        </w:tc>
        <w:tc>
          <w:tcPr>
            <w:tcW w:w="120" w:type="dxa"/>
            <w:vAlign w:val="bottom"/>
          </w:tcPr>
          <w:p>
            <w:pPr>
              <w:spacing w:after="0"/>
              <w:rPr>
                <w:sz w:val="12"/>
                <w:szCs w:val="12"/>
                <w:color w:val="auto"/>
              </w:rPr>
            </w:pPr>
          </w:p>
        </w:tc>
        <w:tc>
          <w:tcPr>
            <w:tcW w:w="800" w:type="dxa"/>
            <w:vAlign w:val="bottom"/>
          </w:tcPr>
          <w:p>
            <w:pPr>
              <w:jc w:val="center"/>
              <w:ind w:right="40"/>
              <w:spacing w:after="0" w:line="122" w:lineRule="exact"/>
              <w:rPr>
                <w:sz w:val="20"/>
                <w:szCs w:val="20"/>
                <w:color w:val="auto"/>
              </w:rPr>
            </w:pPr>
            <w:r>
              <w:rPr>
                <w:rFonts w:ascii="Arial" w:cs="Arial" w:eastAsia="Arial" w:hAnsi="Arial"/>
                <w:sz w:val="14"/>
                <w:szCs w:val="14"/>
                <w:b w:val="1"/>
                <w:bCs w:val="1"/>
                <w:color w:val="auto"/>
                <w:w w:val="83"/>
              </w:rPr>
              <w:t>estate loans</w:t>
            </w:r>
          </w:p>
        </w:tc>
        <w:tc>
          <w:tcPr>
            <w:tcW w:w="120" w:type="dxa"/>
            <w:vAlign w:val="bottom"/>
          </w:tcPr>
          <w:p>
            <w:pPr>
              <w:spacing w:after="0"/>
              <w:rPr>
                <w:sz w:val="12"/>
                <w:szCs w:val="12"/>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2"/>
                <w:szCs w:val="12"/>
                <w:color w:val="auto"/>
              </w:rPr>
            </w:pPr>
          </w:p>
        </w:tc>
        <w:tc>
          <w:tcPr>
            <w:tcW w:w="860" w:type="dxa"/>
            <w:vAlign w:val="bottom"/>
          </w:tcPr>
          <w:p>
            <w:pPr>
              <w:jc w:val="center"/>
              <w:ind w:right="20"/>
              <w:spacing w:after="0" w:line="122" w:lineRule="exact"/>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2"/>
                <w:szCs w:val="12"/>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5"/>
              </w:rPr>
              <w:t>in revenue</w:t>
            </w:r>
          </w:p>
        </w:tc>
        <w:tc>
          <w:tcPr>
            <w:tcW w:w="180" w:type="dxa"/>
            <w:vAlign w:val="bottom"/>
          </w:tcPr>
          <w:p>
            <w:pPr>
              <w:spacing w:after="0"/>
              <w:rPr>
                <w:sz w:val="12"/>
                <w:szCs w:val="12"/>
                <w:color w:val="auto"/>
              </w:rPr>
            </w:pPr>
          </w:p>
        </w:tc>
        <w:tc>
          <w:tcPr>
            <w:tcW w:w="760" w:type="dxa"/>
            <w:vAlign w:val="bottom"/>
          </w:tcPr>
          <w:p>
            <w:pPr>
              <w:jc w:val="center"/>
              <w:ind w:right="40"/>
              <w:spacing w:after="0" w:line="122" w:lineRule="exact"/>
              <w:rPr>
                <w:sz w:val="20"/>
                <w:szCs w:val="20"/>
                <w:color w:val="auto"/>
              </w:rPr>
            </w:pPr>
            <w:r>
              <w:rPr>
                <w:rFonts w:ascii="Arial" w:cs="Arial" w:eastAsia="Arial" w:hAnsi="Arial"/>
                <w:sz w:val="14"/>
                <w:szCs w:val="14"/>
                <w:b w:val="1"/>
                <w:bCs w:val="1"/>
                <w:color w:val="auto"/>
                <w:w w:val="74"/>
              </w:rPr>
              <w:t>leases</w:t>
            </w:r>
          </w:p>
        </w:tc>
        <w:tc>
          <w:tcPr>
            <w:tcW w:w="160" w:type="dxa"/>
            <w:vAlign w:val="bottom"/>
          </w:tcPr>
          <w:p>
            <w:pPr>
              <w:spacing w:after="0"/>
              <w:rPr>
                <w:sz w:val="12"/>
                <w:szCs w:val="12"/>
                <w:color w:val="auto"/>
              </w:rPr>
            </w:pPr>
          </w:p>
        </w:tc>
        <w:tc>
          <w:tcPr>
            <w:tcW w:w="780" w:type="dxa"/>
            <w:vAlign w:val="bottom"/>
          </w:tcPr>
          <w:p>
            <w:pPr>
              <w:jc w:val="center"/>
              <w:ind w:right="60"/>
              <w:spacing w:after="0" w:line="122" w:lineRule="exact"/>
              <w:rPr>
                <w:sz w:val="20"/>
                <w:szCs w:val="20"/>
                <w:color w:val="auto"/>
              </w:rPr>
            </w:pPr>
            <w:r>
              <w:rPr>
                <w:rFonts w:ascii="Arial" w:cs="Arial" w:eastAsia="Arial" w:hAnsi="Arial"/>
                <w:sz w:val="14"/>
                <w:szCs w:val="14"/>
                <w:b w:val="1"/>
                <w:bCs w:val="1"/>
                <w:color w:val="auto"/>
                <w:w w:val="78"/>
              </w:rPr>
              <w:t>estate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Amended PENN Master Lease</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52,049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70,512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67,796</w:t>
            </w:r>
          </w:p>
        </w:tc>
        <w:tc>
          <w:tcPr>
            <w:tcW w:w="0" w:type="dxa"/>
            <w:vAlign w:val="bottom"/>
          </w:tcPr>
          <w:p>
            <w:pPr>
              <w:spacing w:after="0"/>
              <w:rPr>
                <w:sz w:val="1"/>
                <w:szCs w:val="1"/>
                <w:color w:val="auto"/>
              </w:rPr>
            </w:pPr>
          </w:p>
        </w:tc>
      </w:tr>
      <w:tr>
        <w:trPr>
          <w:trHeight w:val="219"/>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PENN 2023 Master Lease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58,042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57,924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6,492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64,416</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Amended Pinnacle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60,277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85,255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89,174</w:t>
            </w:r>
          </w:p>
        </w:tc>
        <w:tc>
          <w:tcPr>
            <w:tcW w:w="0" w:type="dxa"/>
            <w:vAlign w:val="bottom"/>
          </w:tcPr>
          <w:p>
            <w:pPr>
              <w:spacing w:after="0"/>
              <w:rPr>
                <w:sz w:val="1"/>
                <w:szCs w:val="1"/>
                <w:color w:val="auto"/>
              </w:rPr>
            </w:pPr>
          </w:p>
        </w:tc>
      </w:tr>
      <w:tr>
        <w:trPr>
          <w:trHeight w:val="219"/>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PENN Morgantown Lease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773</w:t>
            </w:r>
          </w:p>
        </w:tc>
        <w:tc>
          <w:tcPr>
            <w:tcW w:w="140" w:type="dxa"/>
            <w:vAlign w:val="bottom"/>
          </w:tcPr>
          <w:p>
            <w:pPr>
              <w:spacing w:after="0"/>
              <w:rPr>
                <w:sz w:val="19"/>
                <w:szCs w:val="19"/>
                <w:color w:val="auto"/>
              </w:rPr>
            </w:pPr>
          </w:p>
        </w:tc>
        <w:tc>
          <w:tcPr>
            <w:tcW w:w="780" w:type="dxa"/>
            <w:vAlign w:val="bottom"/>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Caesars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24,512</w:t>
            </w:r>
          </w:p>
        </w:tc>
        <w:tc>
          <w:tcPr>
            <w:tcW w:w="0" w:type="dxa"/>
            <w:vAlign w:val="bottom"/>
          </w:tcPr>
          <w:p>
            <w:pPr>
              <w:spacing w:after="0"/>
              <w:rPr>
                <w:sz w:val="1"/>
                <w:szCs w:val="1"/>
                <w:color w:val="auto"/>
              </w:rPr>
            </w:pPr>
          </w:p>
        </w:tc>
      </w:tr>
      <w:tr>
        <w:trPr>
          <w:trHeight w:val="219"/>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Horseshoe St. Louis Lease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5,844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5,844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6,316</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Boyd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20,068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26,670</w:t>
            </w:r>
          </w:p>
        </w:tc>
        <w:tc>
          <w:tcPr>
            <w:tcW w:w="0" w:type="dxa"/>
            <w:vAlign w:val="bottom"/>
          </w:tcPr>
          <w:p>
            <w:pPr>
              <w:spacing w:after="0"/>
              <w:rPr>
                <w:sz w:val="1"/>
                <w:szCs w:val="1"/>
                <w:color w:val="auto"/>
              </w:rPr>
            </w:pPr>
          </w:p>
        </w:tc>
      </w:tr>
      <w:tr>
        <w:trPr>
          <w:trHeight w:val="219"/>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Boyd Belterra Lease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9"/>
                <w:szCs w:val="19"/>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1,656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1,807</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Bally's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28,616</w:t>
            </w:r>
          </w:p>
        </w:tc>
        <w:tc>
          <w:tcPr>
            <w:tcW w:w="0" w:type="dxa"/>
            <w:vAlign w:val="bottom"/>
          </w:tcPr>
          <w:p>
            <w:pPr>
              <w:spacing w:after="0"/>
              <w:rPr>
                <w:sz w:val="1"/>
                <w:szCs w:val="1"/>
                <w:color w:val="auto"/>
              </w:rPr>
            </w:pPr>
          </w:p>
        </w:tc>
      </w:tr>
      <w:tr>
        <w:trPr>
          <w:trHeight w:val="219"/>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Maryland Live! Lease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18,750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18,750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2,067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3,404</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24,221</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Pennsylvania Live!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15,048</w:t>
            </w:r>
          </w:p>
        </w:tc>
        <w:tc>
          <w:tcPr>
            <w:tcW w:w="0" w:type="dxa"/>
            <w:vAlign w:val="bottom"/>
          </w:tcPr>
          <w:p>
            <w:pPr>
              <w:spacing w:after="0"/>
              <w:rPr>
                <w:sz w:val="1"/>
                <w:szCs w:val="1"/>
                <w:color w:val="auto"/>
              </w:rPr>
            </w:pPr>
          </w:p>
        </w:tc>
      </w:tr>
      <w:tr>
        <w:trPr>
          <w:trHeight w:val="219"/>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Casino Queen Master Lease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6,417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6,417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6,691</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Tropicana Las Vegas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Rockford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711</w:t>
            </w:r>
          </w:p>
        </w:tc>
        <w:tc>
          <w:tcPr>
            <w:tcW w:w="140" w:type="dxa"/>
            <w:vAlign w:val="bottom"/>
          </w:tcPr>
          <w:p>
            <w:pPr>
              <w:spacing w:after="0"/>
              <w:rPr>
                <w:sz w:val="18"/>
                <w:szCs w:val="18"/>
                <w:color w:val="auto"/>
              </w:rPr>
            </w:pPr>
          </w:p>
        </w:tc>
        <w:tc>
          <w:tcPr>
            <w:tcW w:w="780" w:type="dxa"/>
            <w:vAlign w:val="bottom"/>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19"/>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Rockford Loan</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420"/>
              <w:spacing w:after="0"/>
              <w:rPr>
                <w:sz w:val="20"/>
                <w:szCs w:val="20"/>
                <w:color w:val="auto"/>
              </w:rPr>
            </w:pPr>
            <w:r>
              <w:rPr>
                <w:rFonts w:ascii="Arial" w:cs="Arial" w:eastAsia="Arial" w:hAnsi="Arial"/>
                <w:sz w:val="17"/>
                <w:szCs w:val="17"/>
                <w:color w:val="auto"/>
                <w:w w:val="94"/>
              </w:rPr>
              <w:t>22</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3"/>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276,374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center"/>
              <w:ind w:left="420"/>
              <w:spacing w:after="0"/>
              <w:rPr>
                <w:sz w:val="20"/>
                <w:szCs w:val="20"/>
                <w:color w:val="auto"/>
              </w:rPr>
            </w:pPr>
            <w:r>
              <w:rPr>
                <w:rFonts w:ascii="Arial" w:cs="Arial" w:eastAsia="Arial" w:hAnsi="Arial"/>
                <w:sz w:val="17"/>
                <w:szCs w:val="17"/>
                <w:color w:val="auto"/>
                <w:w w:val="94"/>
              </w:rPr>
              <w:t>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336,221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Building base</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Land base</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39"/>
              <w:spacing w:after="0" w:line="12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center"/>
              <w:ind w:right="60"/>
              <w:spacing w:after="0" w:line="129" w:lineRule="exact"/>
              <w:rPr>
                <w:sz w:val="20"/>
                <w:szCs w:val="20"/>
                <w:color w:val="auto"/>
              </w:rPr>
            </w:pPr>
            <w:r>
              <w:rPr>
                <w:rFonts w:ascii="Arial" w:cs="Arial" w:eastAsia="Arial" w:hAnsi="Arial"/>
                <w:sz w:val="14"/>
                <w:szCs w:val="14"/>
                <w:b w:val="1"/>
                <w:bCs w:val="1"/>
                <w:color w:val="auto"/>
                <w:w w:val="90"/>
              </w:rPr>
              <w:t>Interest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83"/>
              </w:rPr>
              <w:t>Total cash</w:t>
            </w:r>
          </w:p>
        </w:tc>
        <w:tc>
          <w:tcPr>
            <w:tcW w:w="10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90"/>
              </w:rPr>
              <w:t>Straight-line</w:t>
            </w:r>
          </w:p>
        </w:tc>
        <w:tc>
          <w:tcPr>
            <w:tcW w:w="8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Ground rent</w:t>
            </w:r>
          </w:p>
        </w:tc>
        <w:tc>
          <w:tcPr>
            <w:tcW w:w="9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86"/>
              </w:rPr>
              <w:t>Accretion on</w:t>
            </w:r>
          </w:p>
        </w:tc>
        <w:tc>
          <w:tcPr>
            <w:tcW w:w="94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87"/>
              </w:rPr>
              <w:t>Total income</w:t>
            </w:r>
          </w:p>
        </w:tc>
        <w:tc>
          <w:tcPr>
            <w:tcW w:w="0" w:type="dxa"/>
            <w:vAlign w:val="bottom"/>
          </w:tcPr>
          <w:p>
            <w:pPr>
              <w:spacing w:after="0"/>
              <w:rPr>
                <w:sz w:val="1"/>
                <w:szCs w:val="1"/>
                <w:color w:val="auto"/>
              </w:rPr>
            </w:pPr>
          </w:p>
        </w:tc>
      </w:tr>
      <w:tr>
        <w:trPr>
          <w:trHeight w:val="142"/>
        </w:trPr>
        <w:tc>
          <w:tcPr>
            <w:tcW w:w="20" w:type="dxa"/>
            <w:vAlign w:val="bottom"/>
            <w:vMerge w:val="restart"/>
            <w:shd w:val="clear" w:color="auto" w:fill="CCEEFF"/>
          </w:tcPr>
          <w:p>
            <w:pPr>
              <w:spacing w:after="0"/>
              <w:rPr>
                <w:sz w:val="12"/>
                <w:szCs w:val="12"/>
                <w:color w:val="auto"/>
              </w:rPr>
            </w:pPr>
          </w:p>
        </w:tc>
        <w:tc>
          <w:tcPr>
            <w:tcW w:w="23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88"/>
              </w:rPr>
              <w:t>Nine Months Ended September 30, 2023</w:t>
            </w:r>
          </w:p>
        </w:tc>
        <w:tc>
          <w:tcPr>
            <w:tcW w:w="560" w:type="dxa"/>
            <w:vAlign w:val="bottom"/>
            <w:gridSpan w:val="2"/>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840" w:type="dxa"/>
            <w:vAlign w:val="bottom"/>
            <w:gridSpan w:val="4"/>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90"/>
              </w:rPr>
              <w:t>rent and other income on real</w:t>
            </w: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40"/>
              <w:spacing w:after="0" w:line="142" w:lineRule="exact"/>
              <w:rPr>
                <w:sz w:val="20"/>
                <w:szCs w:val="20"/>
                <w:color w:val="auto"/>
              </w:rPr>
            </w:pPr>
            <w:r>
              <w:rPr>
                <w:rFonts w:ascii="Arial" w:cs="Arial" w:eastAsia="Arial" w:hAnsi="Arial"/>
                <w:sz w:val="14"/>
                <w:szCs w:val="14"/>
                <w:b w:val="1"/>
                <w:bCs w:val="1"/>
                <w:color w:val="auto"/>
                <w:w w:val="98"/>
              </w:rPr>
              <w:t>rent</w:t>
            </w:r>
          </w:p>
        </w:tc>
        <w:tc>
          <w:tcPr>
            <w:tcW w:w="8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financing</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60"/>
              <w:spacing w:after="0" w:line="142" w:lineRule="exact"/>
              <w:rPr>
                <w:sz w:val="20"/>
                <w:szCs w:val="20"/>
                <w:color w:val="auto"/>
              </w:rPr>
            </w:pPr>
            <w:r>
              <w:rPr>
                <w:rFonts w:ascii="Arial" w:cs="Arial" w:eastAsia="Arial" w:hAnsi="Arial"/>
                <w:sz w:val="14"/>
                <w:szCs w:val="14"/>
                <w:b w:val="1"/>
                <w:bCs w:val="1"/>
                <w:color w:val="auto"/>
                <w:w w:val="93"/>
              </w:rPr>
              <w:t>from real</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vMerge w:val="continue"/>
            <w:shd w:val="clear" w:color="auto" w:fill="CCEEFF"/>
          </w:tcPr>
          <w:p>
            <w:pPr>
              <w:spacing w:after="0"/>
              <w:rPr>
                <w:sz w:val="15"/>
                <w:szCs w:val="15"/>
                <w:color w:val="auto"/>
              </w:rPr>
            </w:pPr>
          </w:p>
        </w:tc>
        <w:tc>
          <w:tcPr>
            <w:tcW w:w="2360" w:type="dxa"/>
            <w:vAlign w:val="bottom"/>
            <w:tcBorders>
              <w:bottom w:val="single" w:sz="8" w:color="auto"/>
            </w:tcBorders>
            <w:vMerge w:val="continue"/>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59"/>
              <w:spacing w:after="0" w:line="142" w:lineRule="exact"/>
              <w:rPr>
                <w:sz w:val="20"/>
                <w:szCs w:val="20"/>
                <w:color w:val="auto"/>
              </w:rPr>
            </w:pPr>
            <w:r>
              <w:rPr>
                <w:rFonts w:ascii="Arial" w:cs="Arial" w:eastAsia="Arial" w:hAnsi="Arial"/>
                <w:sz w:val="14"/>
                <w:szCs w:val="14"/>
                <w:b w:val="1"/>
                <w:bCs w:val="1"/>
                <w:color w:val="auto"/>
                <w:w w:val="90"/>
              </w:rPr>
              <w:t>rent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rent</w:t>
            </w:r>
          </w:p>
        </w:tc>
        <w:tc>
          <w:tcPr>
            <w:tcW w:w="920" w:type="dxa"/>
            <w:vAlign w:val="bottom"/>
            <w:tcBorders>
              <w:bottom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9"/>
              </w:rPr>
              <w:t>rental revenue</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ind w:right="40"/>
              <w:spacing w:after="0" w:line="142" w:lineRule="exact"/>
              <w:rPr>
                <w:sz w:val="20"/>
                <w:szCs w:val="20"/>
                <w:color w:val="auto"/>
              </w:rPr>
            </w:pPr>
            <w:r>
              <w:rPr>
                <w:rFonts w:ascii="Arial" w:cs="Arial" w:eastAsia="Arial" w:hAnsi="Arial"/>
                <w:sz w:val="14"/>
                <w:szCs w:val="14"/>
                <w:b w:val="1"/>
                <w:bCs w:val="1"/>
                <w:color w:val="auto"/>
                <w:w w:val="83"/>
              </w:rPr>
              <w:t>estate loans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adjustments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19"/>
              <w:spacing w:after="0" w:line="142" w:lineRule="exact"/>
              <w:rPr>
                <w:sz w:val="20"/>
                <w:szCs w:val="20"/>
                <w:color w:val="auto"/>
              </w:rPr>
            </w:pPr>
            <w:r>
              <w:rPr>
                <w:rFonts w:ascii="Arial" w:cs="Arial" w:eastAsia="Arial" w:hAnsi="Arial"/>
                <w:sz w:val="14"/>
                <w:szCs w:val="14"/>
                <w:b w:val="1"/>
                <w:bCs w:val="1"/>
                <w:color w:val="auto"/>
                <w:w w:val="88"/>
              </w:rPr>
              <w:t>in revenue</w:t>
            </w: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60"/>
              <w:spacing w:after="0" w:line="142" w:lineRule="exact"/>
              <w:rPr>
                <w:sz w:val="20"/>
                <w:szCs w:val="20"/>
                <w:color w:val="auto"/>
              </w:rPr>
            </w:pPr>
            <w:r>
              <w:rPr>
                <w:rFonts w:ascii="Arial" w:cs="Arial" w:eastAsia="Arial" w:hAnsi="Arial"/>
                <w:sz w:val="14"/>
                <w:szCs w:val="14"/>
                <w:b w:val="1"/>
                <w:bCs w:val="1"/>
                <w:color w:val="auto"/>
                <w:w w:val="79"/>
              </w:rPr>
              <w:t>leases</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ind w:right="60"/>
              <w:spacing w:after="0" w:line="142" w:lineRule="exact"/>
              <w:rPr>
                <w:sz w:val="20"/>
                <w:szCs w:val="20"/>
                <w:color w:val="auto"/>
              </w:rPr>
            </w:pPr>
            <w:r>
              <w:rPr>
                <w:rFonts w:ascii="Arial" w:cs="Arial" w:eastAsia="Arial" w:hAnsi="Arial"/>
                <w:sz w:val="14"/>
                <w:szCs w:val="14"/>
                <w:b w:val="1"/>
                <w:bCs w:val="1"/>
                <w:color w:val="auto"/>
                <w:w w:val="78"/>
              </w:rPr>
              <w:t>estate</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Amended PENN Master Lease</w:t>
            </w:r>
          </w:p>
        </w:tc>
        <w:tc>
          <w:tcPr>
            <w:tcW w:w="200" w:type="dxa"/>
            <w:vAlign w:val="bottom"/>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156,146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32,276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23,041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211,463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(9,820)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1,735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203,378</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PENN 2023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174,127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173,929</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19,476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193,405</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Amended Pinnacle Master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179,255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53,442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21,492</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254,189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5,574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6,086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265,849</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PENN Morgantown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Caesars Master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47,472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17,796</w:t>
            </w:r>
          </w:p>
        </w:tc>
        <w:tc>
          <w:tcPr>
            <w:tcW w:w="140" w:type="dxa"/>
            <w:vAlign w:val="bottom"/>
          </w:tcPr>
          <w:p>
            <w:pPr>
              <w:spacing w:after="0"/>
              <w:rPr>
                <w:sz w:val="18"/>
                <w:szCs w:val="18"/>
                <w:color w:val="auto"/>
              </w:rPr>
            </w:pPr>
          </w:p>
        </w:tc>
        <w:tc>
          <w:tcPr>
            <w:tcW w:w="780" w:type="dxa"/>
            <w:vAlign w:val="bottom"/>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65,268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7,182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1,118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73,568</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Horseshoe St. Louis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17,533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17,533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18,948</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Boyd Master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59,680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8,839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7,697</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76,216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1,722</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1,297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79,235</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Boyd Belterra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5,401</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Bally's Master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76,546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76,546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8,337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84,883</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Maryland Live!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56,250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10,036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72,593</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Pennsylvania Live! Master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37,500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37,500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931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6,611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45,042</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Casino Queen Master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17,531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b w:val="1"/>
                <w:bCs w:val="1"/>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17,531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17,973</w:t>
            </w:r>
          </w:p>
        </w:tc>
        <w:tc>
          <w:tcPr>
            <w:tcW w:w="0" w:type="dxa"/>
            <w:vAlign w:val="bottom"/>
          </w:tcPr>
          <w:p>
            <w:pPr>
              <w:spacing w:after="0"/>
              <w:rPr>
                <w:sz w:val="1"/>
                <w:szCs w:val="1"/>
                <w:color w:val="auto"/>
              </w:rPr>
            </w:pPr>
          </w:p>
        </w:tc>
      </w:tr>
      <w:tr>
        <w:trPr>
          <w:trHeight w:val="218"/>
        </w:trPr>
        <w:tc>
          <w:tcPr>
            <w:tcW w:w="2940" w:type="dxa"/>
            <w:vAlign w:val="bottom"/>
            <w:gridSpan w:val="4"/>
          </w:tcPr>
          <w:p>
            <w:pPr>
              <w:ind w:left="20"/>
              <w:spacing w:after="0"/>
              <w:rPr>
                <w:sz w:val="20"/>
                <w:szCs w:val="20"/>
                <w:color w:val="auto"/>
              </w:rPr>
            </w:pPr>
            <w:r>
              <w:rPr>
                <w:rFonts w:ascii="Arial" w:cs="Arial" w:eastAsia="Arial" w:hAnsi="Arial"/>
                <w:sz w:val="17"/>
                <w:szCs w:val="17"/>
                <w:color w:val="auto"/>
              </w:rPr>
              <w:t>Tropicana Las Vegas Lease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7,878</w:t>
            </w:r>
          </w:p>
        </w:tc>
        <w:tc>
          <w:tcPr>
            <w:tcW w:w="140" w:type="dxa"/>
            <w:vAlign w:val="bottom"/>
          </w:tcPr>
          <w:p>
            <w:pPr>
              <w:spacing w:after="0"/>
              <w:rPr>
                <w:sz w:val="18"/>
                <w:szCs w:val="18"/>
                <w:color w:val="auto"/>
              </w:rPr>
            </w:pPr>
          </w:p>
        </w:tc>
        <w:tc>
          <w:tcPr>
            <w:tcW w:w="780" w:type="dxa"/>
            <w:vAlign w:val="bottom"/>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center"/>
              <w:ind w:left="420"/>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7,878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7,878</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Rockford Lease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Rockford Loan</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419"/>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420"/>
              <w:spacing w:after="0"/>
              <w:rPr>
                <w:sz w:val="20"/>
                <w:szCs w:val="20"/>
                <w:color w:val="auto"/>
              </w:rPr>
            </w:pPr>
            <w:r>
              <w:rPr>
                <w:rFonts w:ascii="Arial" w:cs="Arial" w:eastAsia="Arial" w:hAnsi="Arial"/>
                <w:sz w:val="15"/>
                <w:szCs w:val="15"/>
                <w:color w:val="auto"/>
                <w:w w:val="83"/>
              </w:rPr>
              <w:t>22</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20"/>
        </w:trPr>
        <w:tc>
          <w:tcPr>
            <w:tcW w:w="29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center"/>
              <w:ind w:left="420"/>
              <w:spacing w:after="0"/>
              <w:rPr>
                <w:sz w:val="20"/>
                <w:szCs w:val="20"/>
                <w:color w:val="auto"/>
              </w:rPr>
            </w:pPr>
            <w:r>
              <w:rPr>
                <w:rFonts w:ascii="Arial" w:cs="Arial" w:eastAsia="Arial" w:hAnsi="Arial"/>
                <w:sz w:val="15"/>
                <w:szCs w:val="15"/>
                <w:color w:val="auto"/>
                <w:w w:val="83"/>
              </w:rPr>
              <w:t>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1,002,301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25,811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16,806</w:t>
            </w:r>
          </w:p>
        </w:tc>
        <w:tc>
          <w:tcPr>
            <w:tcW w:w="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1,071,363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0" w:name="page51"/>
    <w:bookmarkEnd w:id="50"/>
    <w:p>
      <w:pPr>
        <w:jc w:val="both"/>
        <w:ind w:firstLine="619"/>
        <w:spacing w:after="0" w:line="349" w:lineRule="auto"/>
        <w:rPr>
          <w:sz w:val="20"/>
          <w:szCs w:val="20"/>
          <w:color w:val="auto"/>
        </w:rPr>
      </w:pPr>
      <w:r>
        <w:rPr>
          <w:rFonts w:ascii="Arial" w:cs="Arial" w:eastAsia="Arial" w:hAnsi="Arial"/>
          <w:sz w:val="15"/>
          <w:szCs w:val="15"/>
          <w:color w:val="auto"/>
        </w:rPr>
        <w:t>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Operating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Operating expenses for the three and nine months ended September 30, 2023 and 2022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780" w:type="dxa"/>
            <w:vAlign w:val="bottom"/>
            <w:gridSpan w:val="5"/>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9"/>
              </w:rPr>
              <w:t>Three Months Ended September 30,</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60" w:type="dxa"/>
            <w:vAlign w:val="bottom"/>
            <w:shd w:val="clear" w:color="auto" w:fill="CCEEFF"/>
          </w:tcPr>
          <w:p>
            <w:pPr>
              <w:jc w:val="center"/>
              <w:ind w:left="18"/>
              <w:spacing w:after="0"/>
              <w:rPr>
                <w:sz w:val="20"/>
                <w:szCs w:val="20"/>
                <w:color w:val="auto"/>
              </w:rPr>
            </w:pPr>
            <w:r>
              <w:rPr>
                <w:rFonts w:ascii="Arial" w:cs="Arial" w:eastAsia="Arial" w:hAnsi="Arial"/>
                <w:sz w:val="14"/>
                <w:szCs w:val="14"/>
                <w:b w:val="1"/>
                <w:bCs w:val="1"/>
                <w:color w:val="auto"/>
                <w:w w:val="84"/>
              </w:rPr>
              <w:t>Percentage</w:t>
            </w:r>
          </w:p>
        </w:tc>
      </w:tr>
      <w:tr>
        <w:trPr>
          <w:trHeight w:val="186"/>
        </w:trPr>
        <w:tc>
          <w:tcPr>
            <w:tcW w:w="5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Variance</w:t>
            </w:r>
          </w:p>
        </w:tc>
        <w:tc>
          <w:tcPr>
            <w:tcW w:w="1660" w:type="dxa"/>
            <w:vAlign w:val="bottom"/>
            <w:tcBorders>
              <w:bottom w:val="single" w:sz="8" w:color="CCEEFF"/>
            </w:tcBorders>
          </w:tcPr>
          <w:p>
            <w:pPr>
              <w:jc w:val="center"/>
              <w:ind w:left="18"/>
              <w:spacing w:after="0"/>
              <w:rPr>
                <w:sz w:val="20"/>
                <w:szCs w:val="20"/>
                <w:color w:val="auto"/>
              </w:rPr>
            </w:pPr>
            <w:r>
              <w:rPr>
                <w:rFonts w:ascii="Arial" w:cs="Arial" w:eastAsia="Arial" w:hAnsi="Arial"/>
                <w:sz w:val="14"/>
                <w:szCs w:val="14"/>
                <w:b w:val="1"/>
                <w:bCs w:val="1"/>
                <w:color w:val="auto"/>
                <w:w w:val="89"/>
              </w:rPr>
              <w:t>Variance</w:t>
            </w: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Land rights and ground lease expense</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12,060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1,540</w:t>
            </w:r>
          </w:p>
        </w:tc>
        <w:tc>
          <w:tcPr>
            <w:tcW w:w="1660" w:type="dxa"/>
            <w:vAlign w:val="bottom"/>
          </w:tcPr>
          <w:p>
            <w:pPr>
              <w:jc w:val="right"/>
              <w:spacing w:after="0"/>
              <w:rPr>
                <w:sz w:val="20"/>
                <w:szCs w:val="20"/>
                <w:color w:val="auto"/>
              </w:rPr>
            </w:pPr>
            <w:r>
              <w:rPr>
                <w:rFonts w:ascii="Arial" w:cs="Arial" w:eastAsia="Arial" w:hAnsi="Arial"/>
                <w:sz w:val="17"/>
                <w:szCs w:val="17"/>
                <w:color w:val="auto"/>
              </w:rPr>
              <w:t>12.8 %</w:t>
            </w: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 from dispositions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67,408</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59,887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5,959</w:t>
            </w:r>
          </w:p>
        </w:tc>
        <w:tc>
          <w:tcPr>
            <w:tcW w:w="166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transfer tax recovery</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Provision for credit losses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(8,589.5)%</w:t>
            </w:r>
          </w:p>
        </w:tc>
      </w:tr>
      <w:tr>
        <w:trPr>
          <w:trHeight w:val="23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461.5 %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r>
        <w:trPr>
          <w:trHeight w:val="320"/>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93"/>
        </w:trPr>
        <w:tc>
          <w:tcPr>
            <w:tcW w:w="5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780" w:type="dxa"/>
            <w:vAlign w:val="bottom"/>
            <w:gridSpan w:val="5"/>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9"/>
              </w:rPr>
              <w:t>Nine Months Ended September 30,</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60" w:type="dxa"/>
            <w:vAlign w:val="bottom"/>
            <w:shd w:val="clear" w:color="auto" w:fill="CCEEFF"/>
          </w:tcPr>
          <w:p>
            <w:pPr>
              <w:jc w:val="center"/>
              <w:ind w:left="18"/>
              <w:spacing w:after="0"/>
              <w:rPr>
                <w:sz w:val="20"/>
                <w:szCs w:val="20"/>
                <w:color w:val="auto"/>
              </w:rPr>
            </w:pPr>
            <w:r>
              <w:rPr>
                <w:rFonts w:ascii="Arial" w:cs="Arial" w:eastAsia="Arial" w:hAnsi="Arial"/>
                <w:sz w:val="14"/>
                <w:szCs w:val="14"/>
                <w:b w:val="1"/>
                <w:bCs w:val="1"/>
                <w:color w:val="auto"/>
                <w:w w:val="84"/>
              </w:rPr>
              <w:t>Percentage</w:t>
            </w:r>
          </w:p>
        </w:tc>
      </w:tr>
      <w:tr>
        <w:trPr>
          <w:trHeight w:val="186"/>
        </w:trPr>
        <w:tc>
          <w:tcPr>
            <w:tcW w:w="50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Variance</w:t>
            </w:r>
          </w:p>
        </w:tc>
        <w:tc>
          <w:tcPr>
            <w:tcW w:w="1660" w:type="dxa"/>
            <w:vAlign w:val="bottom"/>
            <w:tcBorders>
              <w:bottom w:val="single" w:sz="8" w:color="CCEEFF"/>
            </w:tcBorders>
          </w:tcPr>
          <w:p>
            <w:pPr>
              <w:jc w:val="center"/>
              <w:ind w:left="18"/>
              <w:spacing w:after="0"/>
              <w:rPr>
                <w:sz w:val="20"/>
                <w:szCs w:val="20"/>
                <w:color w:val="auto"/>
              </w:rPr>
            </w:pPr>
            <w:r>
              <w:rPr>
                <w:rFonts w:ascii="Arial" w:cs="Arial" w:eastAsia="Arial" w:hAnsi="Arial"/>
                <w:sz w:val="14"/>
                <w:szCs w:val="14"/>
                <w:b w:val="1"/>
                <w:bCs w:val="1"/>
                <w:color w:val="auto"/>
                <w:w w:val="89"/>
              </w:rPr>
              <w:t>Variance</w:t>
            </w: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Land rights and ground lease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42,689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2,685</w:t>
            </w:r>
          </w:p>
        </w:tc>
        <w:tc>
          <w:tcPr>
            <w:tcW w:w="166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 from dispositions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67,459</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197,131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18,151</w:t>
            </w:r>
          </w:p>
        </w:tc>
        <w:tc>
          <w:tcPr>
            <w:tcW w:w="1660" w:type="dxa"/>
            <w:vAlign w:val="bottom"/>
          </w:tcPr>
          <w:p>
            <w:pPr>
              <w:jc w:val="right"/>
              <w:spacing w:after="0"/>
              <w:rPr>
                <w:sz w:val="20"/>
                <w:szCs w:val="20"/>
                <w:color w:val="auto"/>
              </w:rPr>
            </w:pPr>
            <w:r>
              <w:rPr>
                <w:rFonts w:ascii="Arial" w:cs="Arial" w:eastAsia="Arial" w:hAnsi="Arial"/>
                <w:sz w:val="17"/>
                <w:szCs w:val="17"/>
                <w:color w:val="auto"/>
              </w:rPr>
              <w:t>10.1 %</w:t>
            </w:r>
          </w:p>
        </w:tc>
      </w:tr>
      <w:tr>
        <w:trPr>
          <w:trHeight w:val="22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transfer tax recovery and impairment charge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(5,485)</w:t>
            </w:r>
          </w:p>
        </w:tc>
        <w:tc>
          <w:tcPr>
            <w:tcW w:w="166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(166.3)</w:t>
            </w:r>
          </w:p>
        </w:tc>
      </w:tr>
      <w:tr>
        <w:trPr>
          <w:trHeight w:val="21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credit losses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(4,847)</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(16.8)%</w:t>
            </w:r>
          </w:p>
        </w:tc>
      </w:tr>
      <w:tr>
        <w:trPr>
          <w:trHeight w:val="23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297,935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77,097</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Land rights and ground lease expense</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Land rights and ground lease expense includes the amortization of land rights and rent expense related to the Company's long-term ground leases. Land rights and ground lease expense increased by $0.7 million and decreased by $0.9 million for the three and nine months ended September 30, 2023, as compared to the corresponding period in the prior year. The increase for the three month period ended September 30, 2023 was the result of new ground leases acquired in connection with the January 3, 2023 acquisition of the real property assets of Bally's Biloxi. The decrease for the nine months ended September 30, 2023 was the result of a $2.7 million accelerated write-off due to a partial donation of leased land which occurred during the nine month period ended September 30, 2022. Partially offsetting this decrease was the full quarter impact of a ground lease in the Pennsylvania Live! Master Lease that became effective on March 1, 2022 as well as new ground leases acquired in connection with the January 3, 2023 acquisition of the real property assets of Bally's Biloxi.</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 and Administrative Expense</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General and administrative expenses include items such as compensation costs (including stock based compensation), professional services and costs associated with development activities. General and administrative expenses increased by $1.5 million and $2.7 million for the three and nine months ended September 30, 2023 as compared to the corresponding periods in the prior year. The reason for the increases was primarily due to higher stock based compensation expense for the three and nine months ended September 30, 2023 of $0.8 million and $1.7 million, respectively. Results for the nine months ended September 30, 2023 also included higher transaction related costs as compared to the corresponding period in the prior year.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Gains from dispositions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three and nine months ended September 30, 2022, included a pre-tax gain of $67.4 million on the sale of the Tropicana Las Vegas building to Bally's.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1" w:name="page52"/>
    <w:bookmarkEnd w:id="51"/>
    <w:p>
      <w:pPr>
        <w:ind w:left="320"/>
        <w:spacing w:after="0"/>
        <w:rPr>
          <w:sz w:val="20"/>
          <w:szCs w:val="20"/>
          <w:color w:val="auto"/>
        </w:rPr>
      </w:pPr>
      <w:r>
        <w:rPr>
          <w:rFonts w:ascii="Arial" w:cs="Arial" w:eastAsia="Arial" w:hAnsi="Arial"/>
          <w:sz w:val="17"/>
          <w:szCs w:val="17"/>
          <w:b w:val="1"/>
          <w:bCs w:val="1"/>
          <w:color w:val="auto"/>
        </w:rPr>
        <w:t>Property transfer tax recovery and impairment charge</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During the three and nine months ended September 30, 2023, the Company recorded a property transfer tax recovery of $2.2 million related to a successful appeal initiated by our tenant. During the nine months ended September 30, 2022, the Company entered into an agreement to sell excess land and incurred an impairment charge of $3.3 million as the proceeds that were received were less than the carrying value of the asset.</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Depreciation</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Depreciation expense increased by $6.0 million and $18.2 million for the three and nine months ended September 30, 2023 as compared to the corresponding periods in the prior year due to the Company's additions to the Bally's Master Lease as well as higher depreciation expense due to the opening of Casino Queen Baton Rouge in August 2023 and shortening the useful life assumptions at our properties at the Company's Joliet and Aurora properties as mentioned previously.</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Provision for credit losses</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recorded a provision for credit losses of $1.6 million for the three months ended September 30, 2023 compared to an immaterial amount for the corresponding period in the prior year. As described in Note 3, the Company follows ASC 326 “Credit Losses”, which requires that the Company measure and record current expected credit losses, the scope of which includes our Investments in leases, - financing receivables, net.</w:t>
      </w:r>
    </w:p>
    <w:p>
      <w:pPr>
        <w:spacing w:after="0" w:line="18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primary reason for the increased provision during the three months ended September 30, 2023, was the result of the origination of the Rockford Loan and Rockford Lease during the third quarter of 2023, partially offset by reversals of reserves associated with the Maryland Live! Lease and the Pennsylvania Live! Master Lease. The benefit recorded on these two leases was the result of an improvement in the long term projections of the Commercial Real Estate Price Index as of September 30, 2023, compared to June 30, 2023 which lowered their expected losses.</w:t>
      </w:r>
    </w:p>
    <w:p>
      <w:pPr>
        <w:spacing w:after="0" w:line="204"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During the nine months ended September 30, 2023, the Company recorded a provision of $24.0 million compared to $28.9 million for the corresponding period in the prior year. The nine months ended September 30, 2023 included the aforementioned provisions recorded in the three month period ended September 30, 2023, as well as increased reserves on the Maryland Live! Lease and the Pennsylvania Live! Master Lease due to declines in the Commercial Price Index since December 31, 2023. See Note 3 for additional information. The nine months ended September 30, 2022 included the initial reserves established for the Pennsylvania Live! Master Lease which was partially offset by reductions in reserves for the Maryland Live! Lease due to improved property performance.</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reason for the higher allowance for credit losses as a percentage of the outstanding investment in leases for the Rockford Lease and the Pennsylvania Live! Master Lease compared to the Maryland Live! Lease is primarily due to the significantly higher rent coverage ratio on the Maryland Live! Lease compared to the Pennsylvania Live! Master Lease and the expected coverage ratio on the Rockford Lease. Future changes in economic probability factors, changes in the estimated value of our real estate property leased to Cordish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Other income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(expenses) for the three and nine months ended September 30, 2023 and 2022 were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5"/>
              </w:rPr>
              <w:t>Three Months Ended 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5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9"/>
        </w:trPr>
        <w:tc>
          <w:tcPr>
            <w:tcW w:w="5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center"/>
              <w:ind w:left="460"/>
              <w:spacing w:after="0"/>
              <w:rPr>
                <w:sz w:val="20"/>
                <w:szCs w:val="20"/>
                <w:color w:val="auto"/>
              </w:rPr>
            </w:pPr>
            <w:r>
              <w:rPr>
                <w:rFonts w:ascii="Arial" w:cs="Arial" w:eastAsia="Arial" w:hAnsi="Arial"/>
                <w:sz w:val="17"/>
                <w:szCs w:val="17"/>
                <w:color w:val="auto"/>
                <w:w w:val="94"/>
              </w:rPr>
              <w:t>(79,788)</w:t>
            </w:r>
          </w:p>
        </w:tc>
        <w:tc>
          <w:tcPr>
            <w:tcW w:w="40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(76,574)</w:t>
            </w:r>
          </w:p>
        </w:tc>
        <w:tc>
          <w:tcPr>
            <w:tcW w:w="34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(3,214)</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income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1,273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785</w:t>
            </w:r>
          </w:p>
        </w:tc>
        <w:tc>
          <w:tcPr>
            <w:tcW w:w="166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7"/>
                <w:szCs w:val="17"/>
                <w:color w:val="auto"/>
              </w:rPr>
              <w:t>160.9 %</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expenses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shd w:val="clear" w:color="auto" w:fill="CCEEFF"/>
          </w:tcPr>
          <w:p>
            <w:pPr>
              <w:jc w:val="center"/>
              <w:ind w:left="460"/>
              <w:spacing w:after="0"/>
              <w:rPr>
                <w:sz w:val="20"/>
                <w:szCs w:val="20"/>
                <w:color w:val="auto"/>
              </w:rPr>
            </w:pPr>
            <w:r>
              <w:rPr>
                <w:rFonts w:ascii="Arial" w:cs="Arial" w:eastAsia="Arial" w:hAnsi="Arial"/>
                <w:sz w:val="17"/>
                <w:szCs w:val="17"/>
                <w:color w:val="auto"/>
                <w:w w:val="94"/>
              </w:rPr>
              <w:t>(78,515)</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(76,086)</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(2,429)</w:t>
            </w:r>
          </w:p>
        </w:tc>
        <w:tc>
          <w:tcPr>
            <w:tcW w:w="1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3"/>
              </w:rPr>
              <w:t>Nine Months Ended 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
                <w:szCs w:val="2"/>
                <w:color w:val="auto"/>
              </w:rPr>
            </w:pPr>
          </w:p>
        </w:tc>
        <w:tc>
          <w:tcPr>
            <w:tcW w:w="14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Variance</w:t>
            </w: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(240,519)</w:t>
            </w: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(232,753)</w:t>
            </w:r>
          </w:p>
        </w:tc>
        <w:tc>
          <w:tcPr>
            <w:tcW w:w="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(7,766)</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500"/>
              <w:spacing w:after="0"/>
              <w:rPr>
                <w:sz w:val="20"/>
                <w:szCs w:val="20"/>
                <w:color w:val="auto"/>
              </w:rPr>
            </w:pPr>
            <w:r>
              <w:rPr>
                <w:rFonts w:ascii="Arial" w:cs="Arial" w:eastAsia="Arial" w:hAnsi="Arial"/>
                <w:sz w:val="17"/>
                <w:szCs w:val="17"/>
                <w:color w:val="auto"/>
                <w:w w:val="93"/>
              </w:rPr>
              <w:t>6,801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6,189</w:t>
            </w:r>
          </w:p>
        </w:tc>
        <w:tc>
          <w:tcPr>
            <w:tcW w:w="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1,011.3 %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on debt extinguishment</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1,633</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other expenses</w:t>
            </w:r>
          </w:p>
        </w:tc>
        <w:tc>
          <w:tcPr>
            <w:tcW w:w="320" w:type="dxa"/>
            <w:vAlign w:val="bottom"/>
            <w:gridSpan w:val="2"/>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(234,274)</w:t>
            </w:r>
          </w:p>
        </w:tc>
        <w:tc>
          <w:tcPr>
            <w:tcW w:w="80" w:type="dxa"/>
            <w:vAlign w:val="bottom"/>
          </w:tcPr>
          <w:p>
            <w:pPr>
              <w:spacing w:after="0"/>
              <w:rPr>
                <w:sz w:val="18"/>
                <w:szCs w:val="18"/>
                <w:color w:val="auto"/>
              </w:rPr>
            </w:pPr>
          </w:p>
        </w:tc>
        <w:tc>
          <w:tcPr>
            <w:tcW w:w="400" w:type="dxa"/>
            <w:vAlign w:val="bottom"/>
            <w:gridSpan w:val="3"/>
          </w:tcPr>
          <w:p>
            <w:pPr>
              <w:jc w:val="right"/>
              <w:ind w:right="1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(234,330)</w:t>
            </w:r>
          </w:p>
        </w:tc>
        <w:tc>
          <w:tcPr>
            <w:tcW w:w="80" w:type="dxa"/>
            <w:vAlign w:val="bottom"/>
          </w:tcPr>
          <w:p>
            <w:pPr>
              <w:spacing w:after="0"/>
              <w:rPr>
                <w:sz w:val="18"/>
                <w:szCs w:val="18"/>
                <w:color w:val="auto"/>
              </w:rPr>
            </w:pPr>
          </w:p>
        </w:tc>
        <w:tc>
          <w:tcPr>
            <w:tcW w:w="340" w:type="dxa"/>
            <w:vAlign w:val="bottom"/>
            <w:gridSpan w:val="3"/>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expense increased by $3.2 million and $7.8 million for the three and nine months ended September 30, 2023, as compared to the corresponding periods in the prior year. The increases were due to increased borrowings that partially funded our recent acquisitions.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Interest income</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increased by $0.8 million and $6.2 million for the three and nine months ended September 30, 2023 as compared to the corresponding periods in the prior year due to higher market interest rates earned on cash deposits.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Losses on debt extinguishmen</w:t>
      </w:r>
      <w:r>
        <w:rPr>
          <w:rFonts w:ascii="Arial" w:cs="Arial" w:eastAsia="Arial" w:hAnsi="Arial"/>
          <w:sz w:val="17"/>
          <w:szCs w:val="17"/>
          <w:color w:val="auto"/>
        </w:rPr>
        <w:t>t</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Company redeemed its $500 million, 5.375% Senior Notes that were scheduled to mature in November 2023 during the nine months ended September 30, 2023. In connection with this transaction, the Company wrote-off deferred issuance costs of $0.6 million. During the nine months ended September 30, 2022, the Company terminated its existing credit facility and entered into a new credit agreement which resulted in a debt extinguishment loss of $2.2 million.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Net income attributable to noncontrolling interest in the Operating Partnership</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partial consideration for the acquisition of certain real estate assets, the Company's operating partnership issued OP Units to affiliates of Cordish and Bally's. The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primary sources of liquidity and capital resources are cash flow from operations, borrowings from banks, and proceeds from the issuance of debt and equity securities.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3" w:name="page54"/>
    <w:bookmarkEnd w:id="53"/>
    <w:p>
      <w:pPr>
        <w:jc w:val="both"/>
        <w:ind w:firstLine="619"/>
        <w:spacing w:after="0" w:line="257" w:lineRule="auto"/>
        <w:rPr>
          <w:sz w:val="20"/>
          <w:szCs w:val="20"/>
          <w:color w:val="auto"/>
        </w:rPr>
      </w:pPr>
      <w:r>
        <w:rPr>
          <w:rFonts w:ascii="Arial" w:cs="Arial" w:eastAsia="Arial" w:hAnsi="Arial"/>
          <w:sz w:val="17"/>
          <w:szCs w:val="17"/>
          <w:color w:val="auto"/>
        </w:rPr>
        <w:t>Net cash provided by operating activities was $746.4 million and $699.5 million during the nine months ended September 30, 2023 and 2022, respectively. The increase in net cash provided by operating activities of $46.9 million for the nine months ended September 30, 2023, as compared to the corresponding period in the prior year, was primarily comprised of an increase in cash receipts from customers of $67.1 million along with decreases in cash paid to employees and cash paid for taxes of $0.6 million and $4.8 million, respectively, and an increase in interest income of $6.1 million. This was partially offset by increases in amounts paid for operating expenses of $4.7 million and cash paid for interest of $27.0 million. The increase in cash receipts collected from our customers for the nine months ended September 30, 2023, as compared to the corresponding period in the prior year, was due to increased rental income from the Company's recent acquisitions as well as escalations while the increase in interest expense was due to increased borrowings to partially fund our recent acquisitions.</w:t>
      </w:r>
    </w:p>
    <w:p>
      <w:pPr>
        <w:spacing w:after="0" w:line="208"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Investing activities used cash of $635.3 million and $347.0 million during the nine months ended September 30, 2023 and 2022, respectively. Net cash used in investing activities during the nine months ended September 30, 2023 consisted primarily of $455.6 million for the acquisition of the real estate assets which were added to the Bally's Master Lease, $100.2 million for the Rockford Lease which was accounted for as an Investment in leases, financing receivables, $40.0 million for fundings for the Rockford Loan and capital expenditures of $39.5 million. The net cash used in investing activities for the nine months ended September 30, 2022 consisted primarily of $479.2 million for the acquisition of the real estate assets contained within the Pennsylvania Live! Master Lease which was accounted for as an Investment in leases, financing receivables and capital expenditures of $16.5 million, partially offset by proceeds of $145.2 million from the sale of the Company's building at Tropicana Las Vegas and the sale of excess land for $3.5 million.</w:t>
      </w:r>
    </w:p>
    <w:p>
      <w:pPr>
        <w:spacing w:after="0" w:line="19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Financing activities used cash of $269.0 million and $1,018.1 million during the nine months ended September 30, 2023 and 2022, respectively. Net cash used in financing activities during the nine months ended September 30, 2023 was driven primarily by the repayment of long term debt of $575.1 million, dividend payments of $636.4 million, non-controlling interest distributions of $18.5 million, and taxes paid related to shares withheld for tax purposes on restricted stock award vestings of $13.4 million which were partially offset by proceeds from the issuance of long term debt of $685.0 million and proceeds from the issuance of common stock, net of costs, totaling $289.5 million. Cash used in financing activities during the nine months ended September 30, 2022 was driven primarily by the repayment of long term debt of $1,271.0 million, dividend payments of $586.9 million, noncontrolling interest distributions of $15.5 million and taxes paid related to shares withheld for tax purposes on restricted stock award vestings of $11.9 million, partially offset by proceeds from the issuance of long term debt, net of costs of $412.1 million and proceeds from the issuance of common stock, net of costs of $455.1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1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nine months ended September 30, 2023 and 2022, we spent approximately $39.5 million and $16.5 million, respectively, for capital expenditures. The majority of the capital expenditures were related to a land side development project at Hollywood Casino Baton Rouge.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Credit Facility on January 3, 2023 in connection with the acquisition of the real property assets of Bally's Biloxi and Bally's Tiverton.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and Fees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 and Prepayments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Covenants and Events of Default</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Credit Agreement and Amended Credit Agreement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May 13, 2022, GLP Capital entered into a credit agreement (the "Credit Agreement") providing for a $1.75 billion revolving credit facility (the "Initial Revolving Credit Facility") maturing in May 2026, plus two six-month extensions at GLP Capital's option. GLP Capital is the primary obligor under the Credit Agreement, which is guaranteed by GLPI.</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September 2, 2022, GLP Capital entered into an amendment to the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5" w:name="page56"/>
    <w:bookmarkEnd w:id="55"/>
    <w:p>
      <w:pPr>
        <w:jc w:val="both"/>
        <w:ind w:firstLine="619"/>
        <w:spacing w:after="0" w:line="258"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At September 30, 2023, $10.0 million was outstanding under the Amended Credit Agreement. Additionally, at September 30, 2023, the Company was contingently obligated under letters of credit issued pursuant to the Amended Credit Agreement with face amounts aggregating approximately $0.4 million, resulting in $1,739.6 million of available borrowing capacity under the Amended Credit Agreement as of September 30, 2023.</w:t>
      </w:r>
    </w:p>
    <w:p>
      <w:pPr>
        <w:spacing w:after="0" w:line="18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The weighted average interest rate under the Revolver at September 30, 2023 was 6.73%.</w:t>
      </w:r>
    </w:p>
    <w:p>
      <w:pPr>
        <w:spacing w:after="0" w:line="2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September 30, 2023, the Company was in compliance with all required financial covenants under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Senior Unsecured Notes</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At September 30, 2023, the Company had $5,675.0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9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9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of the Issuers' senior indebtedness, including the Amended Credit Facility, and senior in right of payment to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subordinated indebtedness, without giving effect to collateral arrangements.</w:t>
      </w:r>
    </w:p>
    <w:p>
      <w:pPr>
        <w:spacing w:after="0" w:line="11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January 13, 2023, the Company announced that it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w:t>
      </w:r>
    </w:p>
    <w:p>
      <w:pPr>
        <w:spacing w:after="0" w:line="104"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11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September 30, 2023, the Company was in compliance with all required financial covenants under its Senior Notes.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Requirements</w:t>
      </w:r>
    </w:p>
    <w:p>
      <w:pPr>
        <w:spacing w:after="0" w:line="243"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7" w:name="page58"/>
    <w:bookmarkEnd w:id="57"/>
    <w:p>
      <w:pPr>
        <w:jc w:val="both"/>
        <w:spacing w:after="0" w:line="266" w:lineRule="auto"/>
        <w:rPr>
          <w:sz w:val="20"/>
          <w:szCs w:val="20"/>
          <w:color w:val="auto"/>
        </w:rPr>
      </w:pPr>
      <w:r>
        <w:rPr>
          <w:rFonts w:ascii="Arial" w:cs="Arial" w:eastAsia="Arial" w:hAnsi="Arial"/>
          <w:sz w:val="17"/>
          <w:szCs w:val="17"/>
          <w:color w:val="auto"/>
        </w:rPr>
        <w:t>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Outlook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Based on our current level of operations and anticipated earnings, we believe that cash generated from operations and cash on hand, together with amounts available under our Revolver and potential sales of common shares, will be adequate to meet our anticipated debt service requirements, capital expenditures, working capital needs and dividend requirements.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 the market" offering program relating to our common stock, issuance of additional operating partnership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2022, for a discussion of the risk related to our capital structure.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face market risk exposure in the form of interest rate risk. These market risks arise from our debt obligations. We have no international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Our exposure to foreign currency fluctuations is not significant to our financial condition or results of operations.</w:t>
      </w:r>
    </w:p>
    <w:p>
      <w:pPr>
        <w:spacing w:after="0" w:line="20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GLPI’s primary market risk exposure is interest rate risk with respect to its indebtedness of $6,285.5 million at September 30, 2023. Furthermore, $5,675.0 million of our obligations at September 30, 2023 are the senior unsecured notes that have fixed interest rates with maturity dates ranging from approximately one year to eight and a 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8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table below provides information at September 30, 2023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September 30, 2023.</w:t>
      </w:r>
    </w:p>
    <w:p>
      <w:pPr>
        <w:spacing w:after="0" w:line="21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w w:val="87"/>
              </w:rPr>
              <w:t>10/01/23-</w:t>
            </w:r>
          </w:p>
        </w:tc>
        <w:tc>
          <w:tcPr>
            <w:tcW w:w="980" w:type="dxa"/>
            <w:vAlign w:val="bottom"/>
          </w:tcPr>
          <w:p>
            <w:pPr>
              <w:jc w:val="right"/>
              <w:ind w:right="211"/>
              <w:spacing w:after="0"/>
              <w:rPr>
                <w:sz w:val="20"/>
                <w:szCs w:val="20"/>
                <w:color w:val="auto"/>
              </w:rPr>
            </w:pPr>
            <w:r>
              <w:rPr>
                <w:rFonts w:ascii="Arial" w:cs="Arial" w:eastAsia="Arial" w:hAnsi="Arial"/>
                <w:sz w:val="14"/>
                <w:szCs w:val="14"/>
                <w:b w:val="1"/>
                <w:bCs w:val="1"/>
                <w:color w:val="auto"/>
              </w:rPr>
              <w:t>1/01/24-</w:t>
            </w:r>
          </w:p>
        </w:tc>
        <w:tc>
          <w:tcPr>
            <w:tcW w:w="1000" w:type="dxa"/>
            <w:vAlign w:val="bottom"/>
          </w:tcPr>
          <w:p>
            <w:pPr>
              <w:jc w:val="right"/>
              <w:ind w:right="211"/>
              <w:spacing w:after="0"/>
              <w:rPr>
                <w:sz w:val="20"/>
                <w:szCs w:val="20"/>
                <w:color w:val="auto"/>
              </w:rPr>
            </w:pPr>
            <w:r>
              <w:rPr>
                <w:rFonts w:ascii="Arial" w:cs="Arial" w:eastAsia="Arial" w:hAnsi="Arial"/>
                <w:sz w:val="14"/>
                <w:szCs w:val="14"/>
                <w:b w:val="1"/>
                <w:bCs w:val="1"/>
                <w:color w:val="auto"/>
              </w:rPr>
              <w:t>1/01/25-</w:t>
            </w: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1/01/26-</w:t>
            </w: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1/01/27-</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Thereafter</w:t>
            </w:r>
          </w:p>
        </w:tc>
        <w:tc>
          <w:tcPr>
            <w:tcW w:w="9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271"/>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78"/>
        </w:trPr>
        <w:tc>
          <w:tcPr>
            <w:tcW w:w="760" w:type="dxa"/>
            <w:vAlign w:val="bottom"/>
          </w:tcPr>
          <w:p>
            <w:pPr>
              <w:jc w:val="right"/>
              <w:ind w:right="171"/>
              <w:spacing w:after="0"/>
              <w:rPr>
                <w:sz w:val="20"/>
                <w:szCs w:val="20"/>
                <w:color w:val="auto"/>
              </w:rPr>
            </w:pPr>
            <w:r>
              <w:rPr>
                <w:rFonts w:ascii="Arial" w:cs="Arial" w:eastAsia="Arial" w:hAnsi="Arial"/>
                <w:sz w:val="14"/>
                <w:szCs w:val="14"/>
                <w:b w:val="1"/>
                <w:bCs w:val="1"/>
                <w:color w:val="auto"/>
                <w:w w:val="91"/>
              </w:rPr>
              <w:t>12/31/23</w:t>
            </w:r>
          </w:p>
        </w:tc>
        <w:tc>
          <w:tcPr>
            <w:tcW w:w="980" w:type="dxa"/>
            <w:vAlign w:val="bottom"/>
          </w:tcPr>
          <w:p>
            <w:pPr>
              <w:jc w:val="right"/>
              <w:ind w:right="191"/>
              <w:spacing w:after="0"/>
              <w:rPr>
                <w:sz w:val="20"/>
                <w:szCs w:val="20"/>
                <w:color w:val="auto"/>
              </w:rPr>
            </w:pPr>
            <w:r>
              <w:rPr>
                <w:rFonts w:ascii="Arial" w:cs="Arial" w:eastAsia="Arial" w:hAnsi="Arial"/>
                <w:sz w:val="14"/>
                <w:szCs w:val="14"/>
                <w:b w:val="1"/>
                <w:bCs w:val="1"/>
                <w:color w:val="auto"/>
              </w:rPr>
              <w:t>12/31/24</w:t>
            </w:r>
          </w:p>
        </w:tc>
        <w:tc>
          <w:tcPr>
            <w:tcW w:w="1000" w:type="dxa"/>
            <w:vAlign w:val="bottom"/>
          </w:tcPr>
          <w:p>
            <w:pPr>
              <w:jc w:val="right"/>
              <w:ind w:right="191"/>
              <w:spacing w:after="0"/>
              <w:rPr>
                <w:sz w:val="20"/>
                <w:szCs w:val="20"/>
                <w:color w:val="auto"/>
              </w:rPr>
            </w:pPr>
            <w:r>
              <w:rPr>
                <w:rFonts w:ascii="Arial" w:cs="Arial" w:eastAsia="Arial" w:hAnsi="Arial"/>
                <w:sz w:val="14"/>
                <w:szCs w:val="14"/>
                <w:b w:val="1"/>
                <w:bCs w:val="1"/>
                <w:color w:val="auto"/>
              </w:rPr>
              <w:t>12/31/25</w:t>
            </w:r>
          </w:p>
        </w:tc>
        <w:tc>
          <w:tcPr>
            <w:tcW w:w="1020" w:type="dxa"/>
            <w:vAlign w:val="bottom"/>
          </w:tcPr>
          <w:p>
            <w:pPr>
              <w:jc w:val="right"/>
              <w:ind w:right="191"/>
              <w:spacing w:after="0"/>
              <w:rPr>
                <w:sz w:val="20"/>
                <w:szCs w:val="20"/>
                <w:color w:val="auto"/>
              </w:rPr>
            </w:pPr>
            <w:r>
              <w:rPr>
                <w:rFonts w:ascii="Arial" w:cs="Arial" w:eastAsia="Arial" w:hAnsi="Arial"/>
                <w:sz w:val="14"/>
                <w:szCs w:val="14"/>
                <w:b w:val="1"/>
                <w:bCs w:val="1"/>
                <w:color w:val="auto"/>
              </w:rPr>
              <w:t>12/31/26</w:t>
            </w: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12/31/27</w:t>
            </w: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b w:val="1"/>
                <w:bCs w:val="1"/>
                <w:color w:val="auto"/>
              </w:rPr>
              <w:t>9/30/2023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7620</wp:posOffset>
            </wp:positionV>
            <wp:extent cx="5304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0479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4"/>
          <w:szCs w:val="14"/>
          <w:b w:val="1"/>
          <w:bCs w:val="1"/>
          <w:color w:val="auto"/>
        </w:rPr>
        <w:t>(in thousands)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0" w:type="dxa"/>
            <w:vAlign w:val="bottom"/>
            <w:tcBorders>
              <w:right w:val="single" w:sz="8" w:color="CCEEFF"/>
            </w:tcBorders>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4"/>
        </w:trPr>
        <w:tc>
          <w:tcPr>
            <w:tcW w:w="40" w:type="dxa"/>
            <w:vAlign w:val="bottom"/>
          </w:tcPr>
          <w:p>
            <w:pPr>
              <w:spacing w:after="0"/>
              <w:rPr>
                <w:sz w:val="15"/>
                <w:szCs w:val="15"/>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Fixed rate</w:t>
            </w: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400,000</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850,000</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975,000</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tcPr>
          <w:p>
            <w:pPr>
              <w:ind w:left="5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3,450,000</w:t>
            </w:r>
          </w:p>
        </w:tc>
        <w:tc>
          <w:tcPr>
            <w:tcW w:w="3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5,675,000</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5,137,660</w:t>
            </w:r>
          </w:p>
        </w:tc>
      </w:tr>
      <w:tr>
        <w:trPr>
          <w:trHeight w:val="203"/>
        </w:trPr>
        <w:tc>
          <w:tcPr>
            <w:tcW w:w="40" w:type="dxa"/>
            <w:vAlign w:val="bottom"/>
            <w:tcBorders>
              <w:right w:val="single" w:sz="8" w:color="CCEEFF"/>
            </w:tcBorders>
          </w:tcPr>
          <w:p>
            <w:pPr>
              <w:spacing w:after="0"/>
              <w:rPr>
                <w:sz w:val="17"/>
                <w:szCs w:val="17"/>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3.35%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5.25%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5.38%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4.36%</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rate</w:t>
            </w: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600,000</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610,000</w:t>
            </w:r>
          </w:p>
        </w:tc>
        <w:tc>
          <w:tcPr>
            <w:tcW w:w="4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610,000</w:t>
            </w:r>
          </w:p>
        </w:tc>
      </w:tr>
      <w:tr>
        <w:trPr>
          <w:trHeight w:val="233"/>
        </w:trPr>
        <w:tc>
          <w:tcPr>
            <w:tcW w:w="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17"/>
                <w:szCs w:val="17"/>
                <w:color w:val="auto"/>
                <w:vertAlign w:val="superscript"/>
              </w:rPr>
              <w:t>(1)</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5.36%</w:t>
            </w:r>
          </w:p>
        </w:tc>
        <w:tc>
          <w:tcPr>
            <w:tcW w:w="24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color w:val="auto"/>
              </w:rPr>
              <w:t>5.50%</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4"/>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314" w:lineRule="exact"/>
        <w:rPr>
          <w:sz w:val="20"/>
          <w:szCs w:val="20"/>
          <w:color w:val="auto"/>
        </w:rPr>
      </w:pPr>
    </w:p>
    <w:p>
      <w:pPr>
        <w:ind w:right="300" w:firstLine="3"/>
        <w:spacing w:after="0" w:line="232" w:lineRule="auto"/>
        <w:tabs>
          <w:tab w:leader="none" w:pos="529"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Controls and Procedures</w:t>
      </w:r>
    </w:p>
    <w:p>
      <w:pPr>
        <w:spacing w:after="0" w:line="22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2023,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2023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Information in response to this Item is incorporated by reference to the information set forth in "Note 8: Commitments and Contingencies" in the Notes to the condensed consolidated financial statements in Part I of this Quarterly Report on Form 10-Q.</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did not repurchase any shares of common stock or sell any unregistered securities during the three months ended September 30, 2023.</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c) Insider Trading Arrangements and Policies</w:t>
      </w:r>
    </w:p>
    <w:p>
      <w:pPr>
        <w:spacing w:after="0" w:line="243" w:lineRule="exact"/>
        <w:rPr>
          <w:sz w:val="20"/>
          <w:szCs w:val="20"/>
          <w:color w:val="auto"/>
        </w:rPr>
      </w:pPr>
    </w:p>
    <w:p>
      <w:pPr>
        <w:ind w:firstLine="619"/>
        <w:spacing w:after="0" w:line="256" w:lineRule="auto"/>
        <w:rPr>
          <w:sz w:val="20"/>
          <w:szCs w:val="20"/>
          <w:color w:val="auto"/>
        </w:rPr>
      </w:pPr>
      <w:r>
        <w:rPr>
          <w:rFonts w:ascii="Arial" w:cs="Arial" w:eastAsia="Arial" w:hAnsi="Arial"/>
          <w:sz w:val="17"/>
          <w:szCs w:val="17"/>
          <w:color w:val="auto"/>
        </w:rPr>
        <w:t>On September 15, 2023, Matthew Demchyk, the Company's Chief Investment Officer, entered into a pre-arranged written stock sale plan in accordance with Rule 10b5-1 (the “Demchyk Rule 10b5-1 Plan”) under the Exchange Act for the sale of shares of the Company’s common stock. The Demchyk Rule 10b5-1 Plan was entered into during an open trading window in accordance with the Company’s policies regarding transactions in the Company’s securities and is intended to satisfy the affirmative defense of Rule 10b5-1(c) under the Exchange Act. The Demchyk Rule 10b5-1 Plan provides for the potential sale of shares of the Company’s common stock, including upon the vesting and settlement of restricted stock awards, between January 4, 2024 and June 28, 2024. The aggregate number of shares of common stock that will be available for sale under the Demchyk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witholding on vested shares is 57,800.</w:t>
      </w:r>
    </w:p>
    <w:p>
      <w:pPr>
        <w:spacing w:after="0" w:line="212"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The Demchyk Rule 10b5-1 Plan includes a representation from Mr. Demchyk to the broker administering the plan that he was not in possession of any material nonpublic information regarding the Company or the securities subject to the Demchyk Rule 10b5-1 Plan at the time it was entered into. A similar representation was made to the Company in connection with the adoption of the Demchyk Rule 10b5-1 Plan under the Company’s policies regarding transactions in the Company’s securities. Those representations were made as of the date of adoption of the Demchyk Rule 10b5-1 Plan, and speak only as of such date. In making those representations, there is no assurance with respect to any material nonpublic information of which Mr. Demchyk was unaware, or with respect to any material nonpublic information acquired by Mr. Demchyk or the Company after the date of the representation.</w:t>
      </w:r>
    </w:p>
    <w:p>
      <w:pPr>
        <w:spacing w:after="0" w:line="196"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On September 12, 2023, Brandon Moore, the Company's Chief Operating Officer, General Counsel and Secretary, entered into a pre-arranged written stock sale plan in accordance with Rule 10b5-1 (the “Moore Rule 10b5-1 Plan”) under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1" w:name="page62"/>
    <w:bookmarkEnd w:id="61"/>
    <w:p>
      <w:pPr>
        <w:spacing w:after="0" w:line="276" w:lineRule="auto"/>
        <w:rPr>
          <w:sz w:val="20"/>
          <w:szCs w:val="20"/>
          <w:color w:val="auto"/>
        </w:rPr>
      </w:pPr>
      <w:r>
        <w:rPr>
          <w:rFonts w:ascii="Arial" w:cs="Arial" w:eastAsia="Arial" w:hAnsi="Arial"/>
          <w:sz w:val="16"/>
          <w:szCs w:val="16"/>
          <w:color w:val="auto"/>
        </w:rPr>
        <w:t>Exchange Act for the sale of shares of the Company’s common stock. The Moore Rule 10b5-1 Plan was entered into during an open trading window in accordance with the Company’s policies regarding transactions in the Company’s securities and is intended to satisfy the affirmative defense of Rule 10b5-1(c) under the Exchange Act. The Moore Rule 10b5-1 Plan provides for the potential sale of shares of the Company’s common stock, including upon the vesting and settlement of restricted stock awards, between December 11, 2023 and March 28, 2024. The aggregate number of shares of common stock that will be available for sale under the Moore Rule 10b5-1 Plan is not yet determinable because certain awards are subject to Company performance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74,834.</w:t>
      </w:r>
    </w:p>
    <w:p>
      <w:pPr>
        <w:spacing w:after="0" w:line="195"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The Moore Rule 10b5-1 Plan includes a representation from Mr. Moore to the broker administering the plan that he was not in possession of any material nonpublic information regarding the Company or the securities subject to the Moore Rule 10b5-1 Plan at the time it was entered into. A similar representation was made to the Company in connection with the adoption of the Moore Rule 10b5-1 Plan under the Company’s policies regarding transactions in the Company’s securities. Those representations were made as of the date of adoption of the Moore Rule 10b5-1 Plan, and speak only as of such date. In making those representations, there is no assurance with respect to any material nonpublic information of which Mr. Moore was unaware, or with respect to any material nonpublic information acquired by Mr. Moore or the Company after the date of the representation.</w:t>
      </w:r>
    </w:p>
    <w:p>
      <w:pPr>
        <w:spacing w:after="0" w:line="196" w:lineRule="exact"/>
        <w:rPr>
          <w:sz w:val="20"/>
          <w:szCs w:val="20"/>
          <w:color w:val="auto"/>
        </w:rPr>
      </w:pPr>
    </w:p>
    <w:p>
      <w:pPr>
        <w:ind w:right="60" w:firstLine="619"/>
        <w:spacing w:after="0" w:line="256" w:lineRule="auto"/>
        <w:rPr>
          <w:sz w:val="20"/>
          <w:szCs w:val="20"/>
          <w:color w:val="auto"/>
        </w:rPr>
      </w:pPr>
      <w:r>
        <w:rPr>
          <w:rFonts w:ascii="Arial" w:cs="Arial" w:eastAsia="Arial" w:hAnsi="Arial"/>
          <w:sz w:val="17"/>
          <w:szCs w:val="17"/>
          <w:color w:val="auto"/>
        </w:rPr>
        <w:t>On August 7, 2023, Desiree Burke, the Company's Chief Financial Officer and Treasurer, entered into a pre-arranged written stock sale plan in accordance with Rule 10b5-1 (the “Burke Rule 10b5-1 Plan”) under the Exchange Act for the sale of shares of the Company’s common stock. The Burke Rule 10b5-1 Plan was entered into during an open trading window in accordance with the Company’s policies regarding transactions in the Company’s securities and is intended to satisfy the affirmative defense of Rule 10b5-1(c) under the Exchange Act. The Burke Rule 10b5-1 Plan provides for the potential sale of shares of the Company’s common stock, including upon the vesting and settlement of restricted stock awards, between January 4, 2024 and December 31, 2024. The aggregate number of shares of common stock that will be available for sale under the Burke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maximum number of shares of common stock available for sale prior to tax withholding on vested shares is 80,666.</w:t>
      </w:r>
    </w:p>
    <w:p>
      <w:pPr>
        <w:spacing w:after="0" w:line="212" w:lineRule="exact"/>
        <w:rPr>
          <w:sz w:val="20"/>
          <w:szCs w:val="20"/>
          <w:color w:val="auto"/>
        </w:rPr>
      </w:pPr>
    </w:p>
    <w:p>
      <w:pPr>
        <w:ind w:right="40" w:firstLine="619"/>
        <w:spacing w:after="0" w:line="277" w:lineRule="auto"/>
        <w:rPr>
          <w:sz w:val="20"/>
          <w:szCs w:val="20"/>
          <w:color w:val="auto"/>
        </w:rPr>
      </w:pPr>
      <w:r>
        <w:rPr>
          <w:rFonts w:ascii="Arial" w:cs="Arial" w:eastAsia="Arial" w:hAnsi="Arial"/>
          <w:sz w:val="16"/>
          <w:szCs w:val="16"/>
          <w:color w:val="auto"/>
        </w:rPr>
        <w:t>The Burke Rule 10b5-1 Plan includes a representation from Ms. Burke to the broker administering the plan that she was not in possession of any material nonpublic information regarding the Company or the securities subject to the Burke Rule 10b5-1 Plan at the time it was entered into. A similar representation was made to the Company in connection with the adoption of the Burke Rule 10b5-1 Plan under the Company’s policies regarding transactions in the Company’s securities. Those representations were made as of the date of adoption of the Burke Rule 10b5-1 Plan, and speak only as of such date. In making those representations, there is no assurance with respect to any material nonpublic information of which Ms. Burke was unaware, or with respect to any material nonpublic information acquired by Ms. Burke or the Company after the date of the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240" w:type="dxa"/>
            <w:vAlign w:val="bottom"/>
            <w:gridSpan w:val="5"/>
          </w:tcPr>
          <w:p>
            <w:pPr>
              <w:ind w:left="720"/>
              <w:spacing w:after="0"/>
              <w:rPr>
                <w:sz w:val="20"/>
                <w:szCs w:val="20"/>
                <w:color w:val="auto"/>
              </w:rPr>
            </w:pPr>
            <w:r>
              <w:rPr>
                <w:rFonts w:ascii="Arial" w:cs="Arial" w:eastAsia="Arial" w:hAnsi="Arial"/>
                <w:sz w:val="14"/>
                <w:szCs w:val="14"/>
                <w:b w:val="1"/>
                <w:bCs w:val="1"/>
                <w:color w:val="auto"/>
              </w:rPr>
              <w:t>Description of Exhibit</w:t>
            </w:r>
          </w:p>
        </w:tc>
      </w:tr>
      <w:tr>
        <w:trPr>
          <w:trHeight w:val="24"/>
        </w:trPr>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73"/>
        </w:trPr>
        <w:tc>
          <w:tcPr>
            <w:tcW w:w="1180" w:type="dxa"/>
            <w:vAlign w:val="bottom"/>
          </w:tcPr>
          <w:p>
            <w:pPr>
              <w:jc w:val="center"/>
              <w:spacing w:after="0" w:line="173" w:lineRule="exact"/>
              <w:rPr>
                <w:sz w:val="20"/>
                <w:szCs w:val="20"/>
                <w:color w:val="auto"/>
              </w:rPr>
            </w:pPr>
            <w:r>
              <w:rPr>
                <w:rFonts w:ascii="Arial" w:cs="Arial" w:eastAsia="Arial" w:hAnsi="Arial"/>
                <w:sz w:val="17"/>
                <w:szCs w:val="17"/>
                <w:color w:val="auto"/>
                <w:w w:val="94"/>
              </w:rPr>
              <w:t>22.1 *</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w w:val="91"/>
              </w:rPr>
              <w:t>List of Subsidiary Issuers of Guaranteed Securities</w:t>
            </w:r>
          </w:p>
        </w:tc>
        <w:tc>
          <w:tcPr>
            <w:tcW w:w="6240" w:type="dxa"/>
            <w:vAlign w:val="bottom"/>
            <w:gridSpan w:val="5"/>
          </w:tcPr>
          <w:p>
            <w:pPr>
              <w:spacing w:after="0"/>
              <w:rPr>
                <w:sz w:val="15"/>
                <w:szCs w:val="15"/>
                <w:color w:val="auto"/>
              </w:rPr>
            </w:pPr>
          </w:p>
        </w:tc>
      </w:tr>
      <w:tr>
        <w:trPr>
          <w:trHeight w:val="199"/>
        </w:trPr>
        <w:tc>
          <w:tcPr>
            <w:tcW w:w="1180" w:type="dxa"/>
            <w:vAlign w:val="bottom"/>
          </w:tcPr>
          <w:p>
            <w:pPr>
              <w:jc w:val="center"/>
              <w:spacing w:after="0"/>
              <w:rPr>
                <w:sz w:val="20"/>
                <w:szCs w:val="20"/>
                <w:color w:val="auto"/>
              </w:rPr>
            </w:pPr>
            <w:r>
              <w:rPr>
                <w:rFonts w:ascii="Arial" w:cs="Arial" w:eastAsia="Arial" w:hAnsi="Arial"/>
                <w:sz w:val="17"/>
                <w:szCs w:val="17"/>
                <w:color w:val="auto"/>
                <w:w w:val="95"/>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2"/>
              </w:rPr>
              <w:t>Principal Executive Officer Certification pursuant to Rule 13a-14(a) or 15d-14(a) of the Securities Exchange Act of 1934.</w:t>
            </w:r>
          </w:p>
        </w:tc>
        <w:tc>
          <w:tcPr>
            <w:tcW w:w="1360" w:type="dxa"/>
            <w:vAlign w:val="bottom"/>
            <w:gridSpan w:val="3"/>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Arial" w:cs="Arial" w:eastAsia="Arial" w:hAnsi="Arial"/>
                <w:sz w:val="17"/>
                <w:szCs w:val="17"/>
                <w:color w:val="auto"/>
                <w:w w:val="95"/>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2"/>
              </w:rPr>
              <w:t>Principal Financial Officer Certification pursuant to Rule 13a-14(a) or 15d-14(a) of the Securities Exchange Act of 1934.</w:t>
            </w:r>
          </w:p>
        </w:tc>
        <w:tc>
          <w:tcPr>
            <w:tcW w:w="1400" w:type="dxa"/>
            <w:vAlign w:val="bottom"/>
            <w:gridSpan w:val="4"/>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Arial" w:cs="Arial" w:eastAsia="Arial" w:hAnsi="Arial"/>
                <w:sz w:val="17"/>
                <w:szCs w:val="17"/>
                <w:color w:val="auto"/>
                <w:w w:val="99"/>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0000FF"/>
                <w:w w:val="92"/>
              </w:rPr>
              <w:t>Principal Executive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1"/>
              </w:rPr>
              <w:t>of 2002.</w:t>
            </w:r>
          </w:p>
        </w:tc>
        <w:tc>
          <w:tcPr>
            <w:tcW w:w="9060" w:type="dxa"/>
            <w:vAlign w:val="bottom"/>
            <w:tcBorders>
              <w:top w:val="single" w:sz="8" w:color="0000FF"/>
            </w:tcBorders>
            <w:gridSpan w:val="5"/>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Arial" w:cs="Arial" w:eastAsia="Arial" w:hAnsi="Arial"/>
                <w:sz w:val="17"/>
                <w:szCs w:val="17"/>
                <w:color w:val="auto"/>
                <w:w w:val="99"/>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7"/>
          </w:tcPr>
          <w:p>
            <w:pPr>
              <w:spacing w:after="0"/>
              <w:rPr>
                <w:sz w:val="20"/>
                <w:szCs w:val="20"/>
                <w:color w:val="auto"/>
              </w:rPr>
            </w:pPr>
            <w:r>
              <w:rPr>
                <w:rFonts w:ascii="Arial" w:cs="Arial" w:eastAsia="Arial" w:hAnsi="Arial"/>
                <w:sz w:val="17"/>
                <w:szCs w:val="17"/>
                <w:color w:val="0000FF"/>
                <w:w w:val="93"/>
              </w:rPr>
              <w:t>Principal Financial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1"/>
              </w:rPr>
              <w:t>of 2022.</w:t>
            </w:r>
          </w:p>
        </w:tc>
        <w:tc>
          <w:tcPr>
            <w:tcW w:w="9000" w:type="dxa"/>
            <w:vAlign w:val="bottom"/>
            <w:tcBorders>
              <w:top w:val="single" w:sz="8" w:color="0000FF"/>
            </w:tcBorders>
            <w:gridSpan w:val="4"/>
          </w:tcPr>
          <w:p>
            <w:pPr>
              <w:spacing w:after="0"/>
              <w:rPr>
                <w:sz w:val="12"/>
                <w:szCs w:val="12"/>
                <w:color w:val="auto"/>
              </w:rPr>
            </w:pPr>
          </w:p>
        </w:tc>
        <w:tc>
          <w:tcPr>
            <w:tcW w:w="160" w:type="dxa"/>
            <w:vAlign w:val="bottom"/>
            <w:gridSpan w:val="2"/>
          </w:tcPr>
          <w:p>
            <w:pPr>
              <w:spacing w:after="0"/>
              <w:rPr>
                <w:sz w:val="12"/>
                <w:szCs w:val="12"/>
                <w:color w:val="auto"/>
              </w:rPr>
            </w:pPr>
          </w:p>
        </w:tc>
      </w:tr>
    </w:tbl>
    <w:p>
      <w:pPr>
        <w:spacing w:after="0" w:line="39" w:lineRule="exact"/>
        <w:rPr>
          <w:sz w:val="20"/>
          <w:szCs w:val="20"/>
          <w:color w:val="auto"/>
        </w:rPr>
      </w:pPr>
    </w:p>
    <w:p>
      <w:pPr>
        <w:ind w:left="1400" w:right="380" w:hanging="939"/>
        <w:spacing w:after="0" w:line="224" w:lineRule="auto"/>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September 30, 2023,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p>
      <w:pPr>
        <w:spacing w:after="0" w:line="5" w:lineRule="exact"/>
        <w:rPr>
          <w:sz w:val="20"/>
          <w:szCs w:val="20"/>
          <w:color w:val="auto"/>
        </w:rPr>
      </w:pPr>
    </w:p>
    <w:p>
      <w:pPr>
        <w:ind w:left="1400" w:right="220" w:hanging="939"/>
        <w:spacing w:after="0" w:line="236" w:lineRule="auto"/>
        <w:tabs>
          <w:tab w:leader="none" w:pos="14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cover page from the Company's Quarterly Report on Form 10-Q for the quarter ended September 30, 2023, formatted in Inline XBRL and contained in Exhibit 101.</w:t>
      </w:r>
    </w:p>
    <w:p>
      <w:pPr>
        <w:spacing w:after="0" w:line="200" w:lineRule="exact"/>
        <w:rPr>
          <w:rFonts w:ascii="Arial" w:cs="Arial" w:eastAsia="Arial" w:hAnsi="Arial"/>
          <w:sz w:val="17"/>
          <w:szCs w:val="17"/>
          <w:color w:val="auto"/>
        </w:rPr>
      </w:pPr>
    </w:p>
    <w:p>
      <w:pPr>
        <w:spacing w:after="0" w:line="3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  </w:t>
      </w:r>
      <w:r>
        <w:rPr>
          <w:rFonts w:ascii="Arial" w:cs="Arial" w:eastAsia="Arial" w:hAnsi="Arial"/>
          <w:sz w:val="17"/>
          <w:szCs w:val="17"/>
          <w:color w:val="auto"/>
        </w:rPr>
        <w:t>Filed herewith</w:t>
      </w:r>
    </w:p>
    <w:p>
      <w:pPr>
        <w:spacing w:after="0" w:line="21" w:lineRule="exact"/>
        <w:rPr>
          <w:rFonts w:ascii="Arial" w:cs="Arial" w:eastAsia="Arial" w:hAnsi="Arial"/>
          <w:sz w:val="17"/>
          <w:szCs w:val="17"/>
          <w:color w:val="auto"/>
        </w:rPr>
      </w:pPr>
    </w:p>
    <w:p>
      <w:pPr>
        <w:ind w:left="340" w:hanging="337"/>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-482600</wp:posOffset>
            </wp:positionV>
            <wp:extent cx="171069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069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56" w:right="439" w:bottom="1440" w:gutter="0" w:footer="0" w:header="0"/>
        </w:sectPr>
      </w:pPr>
    </w:p>
    <w:bookmarkStart w:id="63" w:name="page64"/>
    <w:bookmarkEnd w:id="63"/>
    <w:p>
      <w:pPr>
        <w:jc w:val="center"/>
        <w:ind w:right="-819"/>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220" w:type="dxa"/>
            <w:vAlign w:val="bottom"/>
          </w:tcPr>
          <w:p>
            <w:pPr>
              <w:spacing w:after="0"/>
              <w:rPr>
                <w:sz w:val="18"/>
                <w:szCs w:val="18"/>
                <w:color w:val="auto"/>
              </w:rPr>
            </w:pPr>
          </w:p>
        </w:tc>
        <w:tc>
          <w:tcPr>
            <w:tcW w:w="5380" w:type="dxa"/>
            <w:vAlign w:val="bottom"/>
            <w:gridSpan w:val="3"/>
          </w:tcPr>
          <w:p>
            <w:pPr>
              <w:ind w:left="2040"/>
              <w:spacing w:after="0"/>
              <w:rPr>
                <w:sz w:val="20"/>
                <w:szCs w:val="20"/>
                <w:color w:val="auto"/>
              </w:rPr>
            </w:pPr>
            <w:r>
              <w:rPr>
                <w:rFonts w:ascii="Arial" w:cs="Arial" w:eastAsia="Arial" w:hAnsi="Arial"/>
                <w:sz w:val="17"/>
                <w:szCs w:val="17"/>
                <w:color w:val="auto"/>
                <w:w w:val="96"/>
              </w:rPr>
              <w:t>GAMING AND LEISURE PROPERTIES, INC.</w:t>
            </w:r>
          </w:p>
        </w:tc>
      </w:tr>
      <w:tr>
        <w:trPr>
          <w:trHeight w:val="401"/>
        </w:trPr>
        <w:tc>
          <w:tcPr>
            <w:tcW w:w="3220" w:type="dxa"/>
            <w:vAlign w:val="bottom"/>
          </w:tcPr>
          <w:p>
            <w:pPr>
              <w:spacing w:after="0"/>
              <w:rPr>
                <w:sz w:val="20"/>
                <w:szCs w:val="20"/>
                <w:color w:val="auto"/>
              </w:rPr>
            </w:pPr>
            <w:r>
              <w:rPr>
                <w:rFonts w:ascii="Arial" w:cs="Arial" w:eastAsia="Arial" w:hAnsi="Arial"/>
                <w:sz w:val="17"/>
                <w:szCs w:val="17"/>
                <w:color w:val="auto"/>
              </w:rPr>
              <w:t>October 26, 2023</w:t>
            </w:r>
          </w:p>
        </w:tc>
        <w:tc>
          <w:tcPr>
            <w:tcW w:w="2720" w:type="dxa"/>
            <w:vAlign w:val="bottom"/>
          </w:tcPr>
          <w:p>
            <w:pPr>
              <w:ind w:left="2040"/>
              <w:spacing w:after="0"/>
              <w:rPr>
                <w:sz w:val="20"/>
                <w:szCs w:val="20"/>
                <w:color w:val="auto"/>
              </w:rPr>
            </w:pPr>
            <w:r>
              <w:rPr>
                <w:rFonts w:ascii="Arial" w:cs="Arial" w:eastAsia="Arial" w:hAnsi="Arial"/>
                <w:sz w:val="17"/>
                <w:szCs w:val="17"/>
                <w:color w:val="auto"/>
              </w:rPr>
              <w:t>By:</w:t>
            </w:r>
          </w:p>
        </w:tc>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DESIREE A. BURKE</w:t>
            </w:r>
          </w:p>
        </w:tc>
        <w:tc>
          <w:tcPr>
            <w:tcW w:w="920" w:type="dxa"/>
            <w:vAlign w:val="bottom"/>
          </w:tcPr>
          <w:p>
            <w:pPr>
              <w:spacing w:after="0"/>
              <w:rPr>
                <w:sz w:val="24"/>
                <w:szCs w:val="24"/>
                <w:color w:val="auto"/>
              </w:rPr>
            </w:pPr>
          </w:p>
        </w:tc>
      </w:tr>
      <w:tr>
        <w:trPr>
          <w:trHeight w:val="236"/>
        </w:trPr>
        <w:tc>
          <w:tcPr>
            <w:tcW w:w="3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Desiree A. Burke</w:t>
            </w:r>
          </w:p>
        </w:tc>
      </w:tr>
      <w:tr>
        <w:trPr>
          <w:trHeight w:val="219"/>
        </w:trPr>
        <w:tc>
          <w:tcPr>
            <w:tcW w:w="3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7"/>
                <w:szCs w:val="17"/>
                <w:i w:val="1"/>
                <w:iCs w:val="1"/>
                <w:color w:val="auto"/>
                <w:w w:val="94"/>
              </w:rPr>
              <w:t>Chief Financial Officer and Treasurer</w:t>
            </w:r>
          </w:p>
        </w:tc>
      </w:tr>
      <w:tr>
        <w:trPr>
          <w:trHeight w:val="219"/>
        </w:trPr>
        <w:tc>
          <w:tcPr>
            <w:tcW w:w="3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440"/>
          </w:cols>
          <w:pgMar w:left="320" w:top="856" w:right="1139" w:bottom="1440" w:gutter="0" w:footer="0" w:header="0"/>
        </w:sectPr>
      </w:pPr>
    </w:p>
    <w:bookmarkStart w:id="64" w:name="page65"/>
    <w:bookmarkEnd w:id="64"/>
    <w:p>
      <w:pPr>
        <w:jc w:val="right"/>
        <w:spacing w:after="0"/>
        <w:rPr>
          <w:sz w:val="20"/>
          <w:szCs w:val="20"/>
          <w:color w:val="auto"/>
        </w:rPr>
      </w:pPr>
      <w:r>
        <w:rPr>
          <w:rFonts w:ascii="Arial" w:cs="Arial" w:eastAsia="Arial" w:hAnsi="Arial"/>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Subsidiary Issuers of Guaranteed Securities</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color w:val="auto"/>
        </w:rPr>
        <w:t>The following subsidiaries of Gaming and Leisure Properties, Inc. (the “Company”) were, as of September 30, 2023, issuers of the (i) $400 million 3.35% senior unsecured notes due September 2024, (ii) $850 million 5.25% senior unsecured notes due June 2025, (iii) $975 million 5.375% senior unsecured notes due April 2026, (iv) $500 million 5.75% senior unsecured notes due June 2028, (v) $750 million 5.30% senior unsecured notes due January 2029, (vi) $700 million 4.00% senior unsecured notes due January 2030, (vii) $700 million 4.000% senior unsecured notes due January 2031, and (viii) $800 million 3.25% senior unsecured notes due January 2032, each guaranteed by the Company:</w:t>
      </w:r>
    </w:p>
    <w:tbl>
      <w:tblPr>
        <w:tblLayout w:type="fixed"/>
        <w:tblInd w:w="10" w:type="dxa"/>
        <w:tblCellMar>
          <w:top w:w="0" w:type="dxa"/>
          <w:left w:w="0" w:type="dxa"/>
          <w:bottom w:w="0" w:type="dxa"/>
          <w:right w:w="0" w:type="dxa"/>
        </w:tblCellMar>
      </w:tblPr>
      <w:tr>
        <w:trPr>
          <w:trHeight w:val="251"/>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Jurisdiction of Incorporation or Formation</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Pennsylvania</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Delaware</w:t>
            </w:r>
          </w:p>
        </w:tc>
      </w:tr>
    </w:tbl>
    <w:p>
      <w:pPr>
        <w:sectPr>
          <w:pgSz w:w="11900" w:h="16838" w:orient="portrait"/>
          <w:cols w:equalWidth="0" w:num="1">
            <w:col w:w="11240"/>
          </w:cols>
          <w:pgMar w:left="320" w:top="136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CERTIFICATION PURSUANT TO RULE 13a-14(a) OR 15d-14(a) OF THE SECURITIES EXCHANGE ACT OF 1934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Peter M. Carlino, certify that:</w:t>
      </w:r>
    </w:p>
    <w:p>
      <w:pPr>
        <w:spacing w:after="0" w:line="217" w:lineRule="exact"/>
        <w:rPr>
          <w:sz w:val="20"/>
          <w:szCs w:val="20"/>
          <w:color w:val="auto"/>
        </w:rPr>
      </w:pPr>
    </w:p>
    <w:p>
      <w:pPr>
        <w:ind w:left="660" w:hanging="657"/>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Gaming and Leisure Properties, Inc.;</w:t>
      </w:r>
    </w:p>
    <w:p>
      <w:pPr>
        <w:spacing w:after="0" w:line="217" w:lineRule="exact"/>
        <w:rPr>
          <w:rFonts w:ascii="Arial" w:cs="Arial" w:eastAsia="Arial" w:hAnsi="Arial"/>
          <w:sz w:val="17"/>
          <w:szCs w:val="17"/>
          <w:color w:val="auto"/>
        </w:rPr>
      </w:pPr>
    </w:p>
    <w:p>
      <w:pPr>
        <w:ind w:right="600" w:firstLine="3"/>
        <w:spacing w:after="0" w:line="349" w:lineRule="auto"/>
        <w:tabs>
          <w:tab w:leader="none" w:pos="649"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560" w:firstLine="3"/>
        <w:spacing w:after="0" w:line="279" w:lineRule="auto"/>
        <w:tabs>
          <w:tab w:leader="none" w:pos="6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280" w:firstLine="3"/>
        <w:spacing w:after="0" w:line="279" w:lineRule="auto"/>
        <w:tabs>
          <w:tab w:leader="none" w:pos="6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7"/>
          <w:szCs w:val="17"/>
          <w:color w:val="auto"/>
        </w:rPr>
      </w:pPr>
    </w:p>
    <w:p>
      <w:pPr>
        <w:ind w:right="160" w:firstLine="622"/>
        <w:spacing w:after="0" w:line="266" w:lineRule="auto"/>
        <w:tabs>
          <w:tab w:leader="none" w:pos="1265"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firstLine="622"/>
        <w:spacing w:after="0" w:line="266" w:lineRule="auto"/>
        <w:tabs>
          <w:tab w:leader="none" w:pos="991"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720" w:firstLine="622"/>
        <w:spacing w:after="0" w:line="312" w:lineRule="auto"/>
        <w:tabs>
          <w:tab w:leader="none" w:pos="12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right="240" w:firstLine="622"/>
        <w:spacing w:after="0" w:line="266" w:lineRule="auto"/>
        <w:tabs>
          <w:tab w:leader="none" w:pos="125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220" w:firstLine="3"/>
        <w:spacing w:after="0" w:line="279" w:lineRule="auto"/>
        <w:tabs>
          <w:tab w:leader="none" w:pos="6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right="120" w:firstLine="622"/>
        <w:spacing w:after="0" w:line="279" w:lineRule="auto"/>
        <w:tabs>
          <w:tab w:leader="none" w:pos="1265"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80" w:firstLine="622"/>
        <w:spacing w:after="0" w:line="279" w:lineRule="auto"/>
        <w:tabs>
          <w:tab w:leader="none" w:pos="1274"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6000" w:type="dxa"/>
            <w:vAlign w:val="bottom"/>
          </w:tcPr>
          <w:p>
            <w:pPr>
              <w:ind w:left="140"/>
              <w:spacing w:after="0"/>
              <w:rPr>
                <w:sz w:val="20"/>
                <w:szCs w:val="20"/>
                <w:color w:val="auto"/>
              </w:rPr>
            </w:pPr>
            <w:r>
              <w:rPr>
                <w:rFonts w:ascii="Arial" w:cs="Arial" w:eastAsia="Arial" w:hAnsi="Arial"/>
                <w:sz w:val="17"/>
                <w:szCs w:val="17"/>
                <w:color w:val="auto"/>
              </w:rPr>
              <w:t>October 26, 2023</w:t>
            </w:r>
          </w:p>
        </w:tc>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 Peter M. Carlino</w:t>
            </w:r>
          </w:p>
        </w:tc>
        <w:tc>
          <w:tcPr>
            <w:tcW w:w="2300" w:type="dxa"/>
            <w:vAlign w:val="bottom"/>
          </w:tcPr>
          <w:p>
            <w:pPr>
              <w:spacing w:after="0"/>
              <w:rPr>
                <w:sz w:val="16"/>
                <w:szCs w:val="16"/>
                <w:color w:val="auto"/>
              </w:rPr>
            </w:pPr>
          </w:p>
        </w:tc>
      </w:tr>
      <w:tr>
        <w:trPr>
          <w:trHeight w:val="236"/>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Name: Peter M. Carlino</w:t>
            </w:r>
          </w:p>
        </w:tc>
      </w:tr>
      <w:tr>
        <w:trPr>
          <w:trHeight w:val="219"/>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7"/>
                <w:szCs w:val="17"/>
                <w:i w:val="1"/>
                <w:iCs w:val="1"/>
                <w:color w:val="auto"/>
                <w:w w:val="93"/>
              </w:rPr>
              <w:t>Chief Executive Officer (Principal Executive Officer)</w:t>
            </w:r>
          </w:p>
        </w:tc>
      </w:tr>
    </w:tbl>
    <w:p>
      <w:pPr>
        <w:sectPr>
          <w:pgSz w:w="11900" w:h="16838" w:orient="portrait"/>
          <w:cols w:equalWidth="0" w:num="1">
            <w:col w:w="11240"/>
          </w:cols>
          <w:pgMar w:left="320" w:top="85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CERTIFICATION PURSUANT TO RULE 13a-14(a) OR 15d-14(a) OF THE SECURITIES EXCHANGE ACT OF 1934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Gaming and Leisure Properties, Inc.;</w:t>
      </w:r>
    </w:p>
    <w:p>
      <w:pPr>
        <w:spacing w:after="0" w:line="217" w:lineRule="exact"/>
        <w:rPr>
          <w:rFonts w:ascii="Arial" w:cs="Arial" w:eastAsia="Arial" w:hAnsi="Arial"/>
          <w:sz w:val="17"/>
          <w:szCs w:val="17"/>
          <w:color w:val="auto"/>
        </w:rPr>
      </w:pPr>
    </w:p>
    <w:p>
      <w:pPr>
        <w:ind w:right="600" w:firstLine="3"/>
        <w:spacing w:after="0" w:line="349" w:lineRule="auto"/>
        <w:tabs>
          <w:tab w:leader="none" w:pos="6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560" w:firstLine="3"/>
        <w:spacing w:after="0" w:line="279" w:lineRule="auto"/>
        <w:tabs>
          <w:tab w:leader="none" w:pos="6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280" w:firstLine="3"/>
        <w:spacing w:after="0" w:line="279" w:lineRule="auto"/>
        <w:tabs>
          <w:tab w:leader="none" w:pos="6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7"/>
          <w:szCs w:val="17"/>
          <w:color w:val="auto"/>
        </w:rPr>
      </w:pPr>
    </w:p>
    <w:p>
      <w:pPr>
        <w:ind w:right="160" w:firstLine="622"/>
        <w:spacing w:after="0" w:line="266" w:lineRule="auto"/>
        <w:tabs>
          <w:tab w:leader="none" w:pos="126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firstLine="622"/>
        <w:spacing w:after="0" w:line="266" w:lineRule="auto"/>
        <w:tabs>
          <w:tab w:leader="none" w:pos="99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720" w:firstLine="622"/>
        <w:spacing w:after="0" w:line="312" w:lineRule="auto"/>
        <w:tabs>
          <w:tab w:leader="none" w:pos="125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right="240" w:firstLine="622"/>
        <w:spacing w:after="0" w:line="266" w:lineRule="auto"/>
        <w:tabs>
          <w:tab w:leader="none" w:pos="1253"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220" w:firstLine="3"/>
        <w:spacing w:after="0" w:line="279" w:lineRule="auto"/>
        <w:tabs>
          <w:tab w:leader="none" w:pos="6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right="120" w:firstLine="622"/>
        <w:spacing w:after="0" w:line="279" w:lineRule="auto"/>
        <w:tabs>
          <w:tab w:leader="none" w:pos="126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80" w:firstLine="622"/>
        <w:spacing w:after="0" w:line="279" w:lineRule="auto"/>
        <w:tabs>
          <w:tab w:leader="none" w:pos="127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6000" w:type="dxa"/>
            <w:vAlign w:val="bottom"/>
          </w:tcPr>
          <w:p>
            <w:pPr>
              <w:ind w:left="140"/>
              <w:spacing w:after="0"/>
              <w:rPr>
                <w:sz w:val="20"/>
                <w:szCs w:val="20"/>
                <w:color w:val="auto"/>
              </w:rPr>
            </w:pPr>
            <w:r>
              <w:rPr>
                <w:rFonts w:ascii="Arial" w:cs="Arial" w:eastAsia="Arial" w:hAnsi="Arial"/>
                <w:sz w:val="17"/>
                <w:szCs w:val="17"/>
                <w:color w:val="auto"/>
              </w:rPr>
              <w:t>October 26, 2023</w:t>
            </w:r>
          </w:p>
        </w:tc>
        <w:tc>
          <w:tcPr>
            <w:tcW w:w="4080" w:type="dxa"/>
            <w:vAlign w:val="bottom"/>
            <w:gridSpan w:val="2"/>
          </w:tcPr>
          <w:p>
            <w:pPr>
              <w:spacing w:after="0"/>
              <w:rPr>
                <w:sz w:val="20"/>
                <w:szCs w:val="20"/>
                <w:color w:val="auto"/>
              </w:rPr>
            </w:pPr>
            <w:r>
              <w:rPr>
                <w:rFonts w:ascii="Arial" w:cs="Arial" w:eastAsia="Arial" w:hAnsi="Arial"/>
                <w:sz w:val="17"/>
                <w:szCs w:val="17"/>
                <w:color w:val="auto"/>
              </w:rPr>
              <w:t>/s/ Desiree A. Burke</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Name: Desiree A. Burke</w:t>
            </w:r>
          </w:p>
        </w:tc>
      </w:tr>
      <w:tr>
        <w:trPr>
          <w:trHeight w:val="170"/>
        </w:trPr>
        <w:tc>
          <w:tcPr>
            <w:tcW w:w="5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080" w:type="dxa"/>
            <w:vAlign w:val="bottom"/>
            <w:gridSpan w:val="2"/>
          </w:tcPr>
          <w:p>
            <w:pPr>
              <w:spacing w:after="0" w:line="170" w:lineRule="exact"/>
              <w:rPr>
                <w:sz w:val="20"/>
                <w:szCs w:val="20"/>
                <w:color w:val="auto"/>
              </w:rPr>
            </w:pPr>
            <w:r>
              <w:rPr>
                <w:rFonts w:ascii="Arial" w:cs="Arial" w:eastAsia="Arial" w:hAnsi="Arial"/>
                <w:sz w:val="17"/>
                <w:szCs w:val="17"/>
                <w:i w:val="1"/>
                <w:iCs w:val="1"/>
                <w:color w:val="auto"/>
                <w:w w:val="95"/>
              </w:rPr>
              <w:t>Chief Financial Officer and Treasurer (Principal Financial</w:t>
            </w:r>
          </w:p>
        </w:tc>
      </w:tr>
      <w:tr>
        <w:trPr>
          <w:trHeight w:val="217"/>
        </w:trPr>
        <w:tc>
          <w:tcPr>
            <w:tcW w:w="5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7"/>
                <w:szCs w:val="17"/>
                <w:i w:val="1"/>
                <w:iCs w:val="1"/>
                <w:color w:val="auto"/>
              </w:rPr>
              <w:t>Officer)</w:t>
            </w:r>
          </w:p>
        </w:tc>
      </w:tr>
    </w:tbl>
    <w:p>
      <w:pPr>
        <w:sectPr>
          <w:pgSz w:w="11900" w:h="16838" w:orient="portrait"/>
          <w:cols w:equalWidth="0" w:num="1">
            <w:col w:w="11240"/>
          </w:cols>
          <w:pgMar w:left="320" w:top="85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6"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In connection with the quarterly report of Gaming and Leisure Properties, Inc. (the “Company”) on Form 10-Q for the quarter ended September 30, 2023,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58" w:lineRule="exact"/>
        <w:rPr>
          <w:sz w:val="20"/>
          <w:szCs w:val="20"/>
          <w:color w:val="auto"/>
        </w:rPr>
      </w:pPr>
    </w:p>
    <w:p>
      <w:pPr>
        <w:ind w:left="1280" w:hanging="658"/>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1280" w:hanging="658"/>
        <w:spacing w:after="0"/>
        <w:tabs>
          <w:tab w:leader="none" w:pos="1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Peter M. Carlino</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Peter M. Carlino</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Executive Officer and Principal Executive Officer</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Date: October 26, 2023</w:t>
      </w:r>
    </w:p>
    <w:p>
      <w:pPr>
        <w:sectPr>
          <w:pgSz w:w="11900" w:h="16838" w:orient="portrait"/>
          <w:cols w:equalWidth="0" w:num="1">
            <w:col w:w="11240"/>
          </w:cols>
          <w:pgMar w:left="320" w:top="85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6"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In connection with the quarterly report of Gaming and Leisure Properties, Inc. (the “Company”) on Form 10-Q for the quarter ended September 30, 2023,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58" w:lineRule="exact"/>
        <w:rPr>
          <w:sz w:val="20"/>
          <w:szCs w:val="20"/>
          <w:color w:val="auto"/>
        </w:rPr>
      </w:pPr>
    </w:p>
    <w:p>
      <w:pPr>
        <w:ind w:left="1280" w:hanging="658"/>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1280" w:hanging="658"/>
        <w:spacing w:after="0"/>
        <w:tabs>
          <w:tab w:leader="none" w:pos="12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Desiree A. Burke</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Desiree A. Burke</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Financial Officer and Principal Financial Officer</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Date: October 26, 2023</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amp;"/>
      <w:numFmt w:val="bullet"/>
      <w:start w:val="1"/>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2"/>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820"/>
    </w:lvl>
  </w:abstractNum>
  <w:abstractNum w:abstractNumId="12">
    <w:nsid w:val="436C6125"/>
    <w:multiLevelType w:val="hybridMultilevel"/>
    <w:lvl w:ilvl="0">
      <w:lvlJc w:val="left"/>
      <w:lvlText w:val="%1."/>
      <w:numFmt w:val="decimal"/>
      <w:start w:val="9"/>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amp;"/>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01"/>
    </w:lvl>
  </w:abstractNum>
  <w:abstractNum w:abstractNumId="22">
    <w:nsid w:val="4353D0CD"/>
    <w:multiLevelType w:val="hybridMultilevel"/>
    <w:lvl w:ilvl="0">
      <w:lvlJc w:val="left"/>
      <w:lvlText w:val="*"/>
      <w:numFmt w:val="bullet"/>
      <w:start w:val="1"/>
    </w:lvl>
    <w:lvl w:ilvl="1">
      <w:lvlJc w:val="left"/>
      <w:lvlText w:val="%2"/>
      <w:numFmt w:val="decimal"/>
      <w:start w:val="104"/>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2023-10-26T15:59:17Z</dcterms:created>
  <dcterms:modified xsi:type="dcterms:W3CDTF">2023-10-26T15:59:17Z</dcterms:modified>
</cp:coreProperties>
</file>