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299085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258445</wp:posOffset>
            </wp:positionV>
            <wp:extent cx="68059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9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36" w:lineRule="exact"/>
        <w:rPr>
          <w:sz w:val="24"/>
          <w:szCs w:val="24"/>
          <w:color w:val="auto"/>
        </w:rPr>
      </w:pPr>
    </w:p>
    <w:p>
      <w:pPr>
        <w:ind w:left="400" w:hanging="38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3" w:lineRule="exact"/>
        <w:rPr>
          <w:sz w:val="24"/>
          <w:szCs w:val="24"/>
          <w:color w:val="auto"/>
        </w:rPr>
      </w:pPr>
    </w:p>
    <w:p>
      <w:pPr>
        <w:ind w:left="400" w:hanging="380"/>
        <w:spacing w:after="0"/>
        <w:tabs>
          <w:tab w:leader="none" w:pos="4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7" w:lineRule="exact"/>
        <w:rPr>
          <w:sz w:val="24"/>
          <w:szCs w:val="24"/>
          <w:color w:val="auto"/>
        </w:rPr>
      </w:pPr>
    </w:p>
    <w:p>
      <w:pPr>
        <w:ind w:left="4040"/>
        <w:spacing w:after="0"/>
        <w:tabs>
          <w:tab w:leader="none" w:pos="666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Commission File Number: 001-36124</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Gaming and Leisure Properties, Inc.</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40"/>
          </w:cols>
          <w:pgMar w:left="320" w:top="231" w:right="339" w:bottom="1440" w:gutter="0" w:footer="0" w:header="0"/>
        </w:sectPr>
      </w:pPr>
    </w:p>
    <w:p>
      <w:pPr>
        <w:spacing w:after="0" w:line="40"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41"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37"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46-2116489</w:t>
      </w:r>
    </w:p>
    <w:p>
      <w:pPr>
        <w:spacing w:after="0" w:line="41"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color w:val="auto"/>
        </w:rPr>
        <w:t>(I.R.S. Employer</w:t>
      </w:r>
    </w:p>
    <w:p>
      <w:pPr>
        <w:spacing w:after="0" w:line="37"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5" w:lineRule="exact"/>
        <w:rPr>
          <w:sz w:val="24"/>
          <w:szCs w:val="24"/>
          <w:color w:val="auto"/>
        </w:rPr>
      </w:pPr>
    </w:p>
    <w:p>
      <w:pPr>
        <w:sectPr>
          <w:pgSz w:w="11900" w:h="16838" w:orient="portrait"/>
          <w:cols w:equalWidth="0" w:num="2">
            <w:col w:w="7020" w:space="720"/>
            <w:col w:w="3500"/>
          </w:cols>
          <w:pgMar w:left="320" w:top="231" w:right="33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845 Berkshire Blvd.,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Wyomissing, PA 19610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ectPr>
          <w:pgSz w:w="11900" w:h="16838" w:orient="portrait"/>
          <w:cols w:equalWidth="0" w:num="1">
            <w:col w:w="11240"/>
          </w:cols>
          <w:pgMar w:left="320" w:top="231" w:right="339" w:bottom="1440" w:gutter="0" w:footer="0" w:header="0"/>
          <w:type w:val="continuous"/>
        </w:sectPr>
      </w:pP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610-401-2900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07"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197"/>
        </w:trPr>
        <w:tc>
          <w:tcPr>
            <w:tcW w:w="3560" w:type="dxa"/>
            <w:vAlign w:val="bottom"/>
            <w:tcBorders>
              <w:top w:val="single" w:sz="8" w:color="auto"/>
              <w:left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Borders>
              <w:right w:val="single" w:sz="8" w:color="auto"/>
            </w:tcBorders>
          </w:tcPr>
          <w:p>
            <w:pPr>
              <w:spacing w:after="0"/>
              <w:rPr>
                <w:sz w:val="17"/>
                <w:szCs w:val="17"/>
                <w:color w:val="auto"/>
              </w:rPr>
            </w:pP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400" w:type="dxa"/>
            <w:vAlign w:val="bottom"/>
            <w:tcBorders>
              <w:right w:val="single" w:sz="8" w:color="auto"/>
            </w:tcBorders>
          </w:tcPr>
          <w:p>
            <w:pPr>
              <w:spacing w:after="0"/>
              <w:rPr>
                <w:sz w:val="17"/>
                <w:szCs w:val="17"/>
                <w:color w:val="auto"/>
              </w:rPr>
            </w:pPr>
          </w:p>
        </w:tc>
        <w:tc>
          <w:tcPr>
            <w:tcW w:w="4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2"/>
        </w:trPr>
        <w:tc>
          <w:tcPr>
            <w:tcW w:w="3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200" w:type="dxa"/>
            <w:vAlign w:val="bottom"/>
            <w:tcBorders>
              <w:bottom w:val="single" w:sz="8" w:color="auto"/>
              <w:right w:val="single" w:sz="8" w:color="auto"/>
            </w:tcBorders>
          </w:tcPr>
          <w:p>
            <w:pPr>
              <w:spacing w:after="0" w:line="20" w:lineRule="exact"/>
              <w:rPr>
                <w:sz w:val="1"/>
                <w:szCs w:val="1"/>
                <w:color w:val="auto"/>
              </w:rPr>
            </w:pPr>
          </w:p>
        </w:tc>
      </w:tr>
      <w:tr>
        <w:trPr>
          <w:trHeight w:val="177"/>
        </w:trPr>
        <w:tc>
          <w:tcPr>
            <w:tcW w:w="3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40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GLPI</w:t>
            </w:r>
          </w:p>
        </w:tc>
        <w:tc>
          <w:tcPr>
            <w:tcW w:w="400" w:type="dxa"/>
            <w:vAlign w:val="bottom"/>
            <w:tcBorders>
              <w:right w:val="single" w:sz="8" w:color="auto"/>
            </w:tcBorders>
          </w:tcPr>
          <w:p>
            <w:pPr>
              <w:spacing w:after="0"/>
              <w:rPr>
                <w:sz w:val="15"/>
                <w:szCs w:val="15"/>
                <w:color w:val="auto"/>
              </w:rPr>
            </w:pPr>
          </w:p>
        </w:tc>
        <w:tc>
          <w:tcPr>
            <w:tcW w:w="4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Nasdaq</w:t>
            </w:r>
          </w:p>
        </w:tc>
      </w:tr>
      <w:tr>
        <w:trPr>
          <w:trHeight w:val="22"/>
        </w:trPr>
        <w:tc>
          <w:tcPr>
            <w:tcW w:w="3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200" w:type="dxa"/>
            <w:vAlign w:val="bottom"/>
            <w:tcBorders>
              <w:bottom w:val="single" w:sz="8" w:color="auto"/>
              <w:right w:val="single" w:sz="8" w:color="auto"/>
            </w:tcBorders>
          </w:tcPr>
          <w:p>
            <w:pPr>
              <w:spacing w:after="0" w:line="20" w:lineRule="exact"/>
              <w:rPr>
                <w:sz w:val="1"/>
                <w:szCs w:val="1"/>
                <w:color w:val="auto"/>
              </w:rPr>
            </w:pPr>
          </w:p>
        </w:tc>
      </w:tr>
    </w:tbl>
    <w:p>
      <w:pPr>
        <w:spacing w:after="0" w:line="159" w:lineRule="exact"/>
        <w:rPr>
          <w:sz w:val="24"/>
          <w:szCs w:val="24"/>
          <w:color w:val="auto"/>
        </w:rPr>
      </w:pPr>
    </w:p>
    <w:p>
      <w:pPr>
        <w:jc w:val="both"/>
        <w:ind w:right="300" w:firstLine="309"/>
        <w:spacing w:after="0" w:line="21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56" w:lineRule="exact"/>
        <w:rPr>
          <w:sz w:val="24"/>
          <w:szCs w:val="24"/>
          <w:color w:val="auto"/>
        </w:rPr>
      </w:pPr>
    </w:p>
    <w:p>
      <w:pPr>
        <w:ind w:right="20" w:firstLine="309"/>
        <w:spacing w:after="0" w:line="22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55" w:lineRule="exact"/>
        <w:rPr>
          <w:sz w:val="24"/>
          <w:szCs w:val="24"/>
          <w:color w:val="auto"/>
        </w:rPr>
      </w:pPr>
    </w:p>
    <w:p>
      <w:pPr>
        <w:ind w:right="300" w:firstLine="309"/>
        <w:spacing w:after="0" w:line="27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1120" w:type="dxa"/>
        <w:tblCellMar>
          <w:top w:w="0" w:type="dxa"/>
          <w:left w:w="0" w:type="dxa"/>
          <w:bottom w:w="0" w:type="dxa"/>
          <w:right w:w="0" w:type="dxa"/>
        </w:tblCellMar>
      </w:tblPr>
      <w:tr>
        <w:trPr>
          <w:trHeight w:val="232"/>
        </w:trPr>
        <w:tc>
          <w:tcPr>
            <w:tcW w:w="2080" w:type="dxa"/>
            <w:vAlign w:val="bottom"/>
          </w:tcPr>
          <w:p>
            <w:pPr>
              <w:jc w:val="center"/>
              <w:ind w:right="454"/>
              <w:spacing w:after="0"/>
              <w:rPr>
                <w:sz w:val="20"/>
                <w:szCs w:val="20"/>
                <w:color w:val="auto"/>
              </w:rPr>
            </w:pPr>
            <w:r>
              <w:rPr>
                <w:rFonts w:ascii="Times New Roman" w:cs="Times New Roman" w:eastAsia="Times New Roman" w:hAnsi="Times New Roman"/>
                <w:sz w:val="17"/>
                <w:szCs w:val="17"/>
                <w:color w:val="auto"/>
              </w:rPr>
              <w:t>Large accelerated filer</w:t>
            </w:r>
          </w:p>
        </w:tc>
        <w:tc>
          <w:tcPr>
            <w:tcW w:w="136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3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Accelerated filer</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32"/>
        </w:trPr>
        <w:tc>
          <w:tcPr>
            <w:tcW w:w="208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Non-accelerated filer</w:t>
            </w:r>
          </w:p>
        </w:tc>
        <w:tc>
          <w:tcPr>
            <w:tcW w:w="136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3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9"/>
        </w:trPr>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Emerging growth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8" w:lineRule="exact"/>
        <w:rPr>
          <w:sz w:val="24"/>
          <w:szCs w:val="24"/>
          <w:color w:val="auto"/>
        </w:rPr>
      </w:pPr>
    </w:p>
    <w:p>
      <w:pPr>
        <w:ind w:right="200" w:firstLine="309"/>
        <w:spacing w:after="0" w:line="22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p>
    <w:p>
      <w:pPr>
        <w:ind w:left="32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5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57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8"/>
              </w:rPr>
              <w:t>October 23, 2026</w:t>
            </w:r>
          </w:p>
        </w:tc>
      </w:tr>
      <w:tr>
        <w:trPr>
          <w:trHeight w:val="22"/>
        </w:trPr>
        <w:tc>
          <w:tcPr>
            <w:tcW w:w="5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7"/>
        </w:trPr>
        <w:tc>
          <w:tcPr>
            <w:tcW w:w="5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w w:val="97"/>
              </w:rPr>
              <w:t>Common Stock, par value $.01 per share</w:t>
            </w:r>
          </w:p>
        </w:tc>
        <w:tc>
          <w:tcPr>
            <w:tcW w:w="5140" w:type="dxa"/>
            <w:vAlign w:val="bottom"/>
          </w:tcPr>
          <w:p>
            <w:pPr>
              <w:jc w:val="right"/>
              <w:ind w:right="2151"/>
              <w:spacing w:after="0"/>
              <w:rPr>
                <w:sz w:val="20"/>
                <w:szCs w:val="20"/>
                <w:color w:val="auto"/>
              </w:rPr>
            </w:pPr>
            <w:r>
              <w:rPr>
                <w:rFonts w:ascii="Times New Roman" w:cs="Times New Roman" w:eastAsia="Times New Roman" w:hAnsi="Times New Roman"/>
                <w:sz w:val="14"/>
                <w:szCs w:val="14"/>
                <w:color w:val="auto"/>
              </w:rPr>
              <w:t>290,923,261</w:t>
            </w:r>
          </w:p>
        </w:tc>
        <w:tc>
          <w:tcPr>
            <w:tcW w:w="600" w:type="dxa"/>
            <w:vAlign w:val="bottom"/>
          </w:tcPr>
          <w:p>
            <w:pPr>
              <w:spacing w:after="0"/>
              <w:rPr>
                <w:sz w:val="15"/>
                <w:szCs w:val="15"/>
                <w:color w:val="auto"/>
              </w:rPr>
            </w:pPr>
          </w:p>
        </w:tc>
      </w:tr>
      <w:tr>
        <w:trPr>
          <w:trHeight w:val="763"/>
        </w:trPr>
        <w:tc>
          <w:tcPr>
            <w:tcW w:w="5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40" w:type="dxa"/>
            <w:vAlign w:val="bottom"/>
            <w:gridSpan w:val="16"/>
          </w:tcPr>
          <w:p>
            <w:pPr>
              <w:jc w:val="center"/>
              <w:ind w:right="2500"/>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gridSpan w:val="10"/>
          </w:tcPr>
          <w:p>
            <w:pPr>
              <w:jc w:val="center"/>
              <w:ind w:right="37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w w:val="93"/>
              </w:rPr>
              <w:t>PART I.</w:t>
            </w:r>
          </w:p>
        </w:tc>
        <w:tc>
          <w:tcPr>
            <w:tcW w:w="1220" w:type="dxa"/>
            <w:vAlign w:val="bottom"/>
            <w:gridSpan w:val="5"/>
          </w:tcPr>
          <w:p>
            <w:pPr>
              <w:spacing w:after="0"/>
              <w:rPr>
                <w:sz w:val="24"/>
                <w:szCs w:val="24"/>
                <w:color w:val="auto"/>
              </w:rPr>
            </w:pPr>
          </w:p>
        </w:tc>
        <w:tc>
          <w:tcPr>
            <w:tcW w:w="89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FINANCIAL INFORMATION</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1.</w:t>
            </w:r>
          </w:p>
        </w:tc>
        <w:tc>
          <w:tcPr>
            <w:tcW w:w="1180" w:type="dxa"/>
            <w:vAlign w:val="bottom"/>
            <w:gridSpan w:val="4"/>
          </w:tcPr>
          <w:p>
            <w:pPr>
              <w:spacing w:after="0"/>
              <w:rPr>
                <w:sz w:val="24"/>
                <w:szCs w:val="24"/>
                <w:color w:val="auto"/>
              </w:rPr>
            </w:pPr>
          </w:p>
        </w:tc>
        <w:tc>
          <w:tcPr>
            <w:tcW w:w="2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8"/>
              </w:rPr>
              <w:t>FINANCIAL STATEMENTS</w:t>
            </w:r>
          </w:p>
        </w:tc>
        <w:tc>
          <w:tcPr>
            <w:tcW w:w="6880" w:type="dxa"/>
            <w:vAlign w:val="bottom"/>
            <w:gridSpan w:val="13"/>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9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Condensed Consolidated Balance Sheets - September 30, 2026 and December 31, 2025</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9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Condensed Consolidated Statements of Income and Comprehensive Income - Three and Nine Months Ended September 30,</w:t>
            </w:r>
          </w:p>
        </w:tc>
        <w:tc>
          <w:tcPr>
            <w:tcW w:w="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380" w:type="dxa"/>
            <w:vAlign w:val="bottom"/>
            <w:tcBorders>
              <w:top w:val="single" w:sz="8" w:color="0000FF"/>
            </w:tcBorders>
            <w:gridSpan w:val="18"/>
          </w:tcPr>
          <w:p>
            <w:pPr>
              <w:spacing w:after="0" w:line="135" w:lineRule="exact"/>
              <w:rPr>
                <w:sz w:val="20"/>
                <w:szCs w:val="20"/>
                <w:color w:val="auto"/>
              </w:rPr>
            </w:pPr>
            <w:r>
              <w:rPr>
                <w:rFonts w:ascii="Times New Roman" w:cs="Times New Roman" w:eastAsia="Times New Roman" w:hAnsi="Times New Roman"/>
                <w:sz w:val="15"/>
                <w:szCs w:val="15"/>
                <w:color w:val="0000FF"/>
              </w:rPr>
              <w:t>2026 and 2025</w:t>
            </w:r>
          </w:p>
        </w:tc>
        <w:tc>
          <w:tcPr>
            <w:tcW w:w="400" w:type="dxa"/>
            <w:vAlign w:val="bottom"/>
          </w:tcPr>
          <w:p>
            <w:pPr>
              <w:spacing w:after="0"/>
              <w:rPr>
                <w:sz w:val="12"/>
                <w:szCs w:val="12"/>
                <w:color w:val="auto"/>
              </w:rPr>
            </w:pPr>
          </w:p>
        </w:tc>
        <w:tc>
          <w:tcPr>
            <w:tcW w:w="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9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in Equity - Three and Nine Months Ended September 30, 2026 and 202</w:t>
            </w:r>
            <w:r>
              <w:rPr>
                <w:rFonts w:ascii="Times New Roman" w:cs="Times New Roman" w:eastAsia="Times New Roman" w:hAnsi="Times New Roman"/>
                <w:sz w:val="17"/>
                <w:szCs w:val="17"/>
                <w:color w:val="000000"/>
              </w:rPr>
              <w:t>5</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5</w:t>
            </w: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 Nine Months Ended September 30, 2026 and 202</w:t>
            </w:r>
            <w:r>
              <w:rPr>
                <w:rFonts w:ascii="Times New Roman" w:cs="Times New Roman" w:eastAsia="Times New Roman" w:hAnsi="Times New Roman"/>
                <w:sz w:val="17"/>
                <w:szCs w:val="17"/>
                <w:color w:val="000000"/>
              </w:rPr>
              <w:t>5</w:t>
            </w:r>
          </w:p>
        </w:tc>
        <w:tc>
          <w:tcPr>
            <w:tcW w:w="6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Notes to the Condensed Consolidated Financial Statements</w:t>
            </w:r>
          </w:p>
        </w:tc>
        <w:tc>
          <w:tcPr>
            <w:tcW w:w="186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2.</w:t>
            </w:r>
          </w:p>
        </w:tc>
        <w:tc>
          <w:tcPr>
            <w:tcW w:w="1180" w:type="dxa"/>
            <w:vAlign w:val="bottom"/>
            <w:gridSpan w:val="4"/>
          </w:tcPr>
          <w:p>
            <w:pPr>
              <w:spacing w:after="0"/>
              <w:rPr>
                <w:sz w:val="24"/>
                <w:szCs w:val="24"/>
                <w:color w:val="auto"/>
              </w:rPr>
            </w:pPr>
          </w:p>
        </w:tc>
        <w:tc>
          <w:tcPr>
            <w:tcW w:w="85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420" w:type="dxa"/>
            <w:vAlign w:val="bottom"/>
            <w:gridSpan w:val="2"/>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36</w:t>
            </w:r>
          </w:p>
        </w:tc>
        <w:tc>
          <w:tcPr>
            <w:tcW w:w="0" w:type="dxa"/>
            <w:vAlign w:val="bottom"/>
          </w:tcPr>
          <w:p>
            <w:pPr>
              <w:spacing w:after="0"/>
              <w:rPr>
                <w:sz w:val="1"/>
                <w:szCs w:val="1"/>
                <w:color w:val="auto"/>
              </w:rPr>
            </w:pPr>
          </w:p>
        </w:tc>
      </w:tr>
      <w:tr>
        <w:trPr>
          <w:trHeight w:val="27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ITEM 3.</w:t>
            </w:r>
          </w:p>
        </w:tc>
        <w:tc>
          <w:tcPr>
            <w:tcW w:w="1180" w:type="dxa"/>
            <w:vAlign w:val="bottom"/>
            <w:gridSpan w:val="4"/>
          </w:tcPr>
          <w:p>
            <w:pPr>
              <w:spacing w:after="0"/>
              <w:rPr>
                <w:sz w:val="24"/>
                <w:szCs w:val="24"/>
                <w:color w:val="auto"/>
              </w:rPr>
            </w:pPr>
          </w:p>
        </w:tc>
        <w:tc>
          <w:tcPr>
            <w:tcW w:w="89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60</w:t>
            </w:r>
          </w:p>
        </w:tc>
        <w:tc>
          <w:tcPr>
            <w:tcW w:w="0" w:type="dxa"/>
            <w:vAlign w:val="bottom"/>
          </w:tcPr>
          <w:p>
            <w:pPr>
              <w:spacing w:after="0"/>
              <w:rPr>
                <w:sz w:val="1"/>
                <w:szCs w:val="1"/>
                <w:color w:val="auto"/>
              </w:rPr>
            </w:pPr>
          </w:p>
        </w:tc>
      </w:tr>
      <w:tr>
        <w:trPr>
          <w:trHeight w:val="277"/>
        </w:trPr>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4.</w:t>
            </w:r>
          </w:p>
        </w:tc>
        <w:tc>
          <w:tcPr>
            <w:tcW w:w="1180" w:type="dxa"/>
            <w:vAlign w:val="bottom"/>
            <w:gridSpan w:val="4"/>
          </w:tcPr>
          <w:p>
            <w:pPr>
              <w:spacing w:after="0"/>
              <w:rPr>
                <w:sz w:val="24"/>
                <w:szCs w:val="24"/>
                <w:color w:val="auto"/>
              </w:rPr>
            </w:pPr>
          </w:p>
        </w:tc>
        <w:tc>
          <w:tcPr>
            <w:tcW w:w="586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3080" w:type="dxa"/>
            <w:vAlign w:val="bottom"/>
            <w:gridSpan w:val="6"/>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3140" w:type="dxa"/>
            <w:vAlign w:val="bottom"/>
            <w:gridSpan w:val="7"/>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4"/>
              </w:rPr>
              <w:t>PART II.</w:t>
            </w:r>
          </w:p>
        </w:tc>
        <w:tc>
          <w:tcPr>
            <w:tcW w:w="1160" w:type="dxa"/>
            <w:vAlign w:val="bottom"/>
            <w:gridSpan w:val="3"/>
          </w:tcPr>
          <w:p>
            <w:pPr>
              <w:spacing w:after="0"/>
              <w:rPr>
                <w:sz w:val="24"/>
                <w:szCs w:val="24"/>
                <w:color w:val="auto"/>
              </w:rPr>
            </w:pPr>
          </w:p>
        </w:tc>
        <w:tc>
          <w:tcPr>
            <w:tcW w:w="1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7140" w:type="dxa"/>
            <w:vAlign w:val="bottom"/>
            <w:gridSpan w:val="14"/>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62</w:t>
            </w:r>
          </w:p>
        </w:tc>
        <w:tc>
          <w:tcPr>
            <w:tcW w:w="0" w:type="dxa"/>
            <w:vAlign w:val="bottom"/>
          </w:tcPr>
          <w:p>
            <w:pPr>
              <w:spacing w:after="0"/>
              <w:rPr>
                <w:sz w:val="1"/>
                <w:szCs w:val="1"/>
                <w:color w:val="auto"/>
              </w:rPr>
            </w:pPr>
          </w:p>
        </w:tc>
      </w:tr>
      <w:tr>
        <w:trPr>
          <w:trHeight w:val="27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ITEM 1.</w:t>
            </w:r>
          </w:p>
        </w:tc>
        <w:tc>
          <w:tcPr>
            <w:tcW w:w="1180" w:type="dxa"/>
            <w:vAlign w:val="bottom"/>
            <w:gridSpan w:val="4"/>
          </w:tcPr>
          <w:p>
            <w:pPr>
              <w:spacing w:after="0"/>
              <w:rPr>
                <w:sz w:val="24"/>
                <w:szCs w:val="24"/>
                <w:color w:val="auto"/>
              </w:rPr>
            </w:pPr>
          </w:p>
        </w:tc>
        <w:tc>
          <w:tcPr>
            <w:tcW w:w="89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62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3140" w:type="dxa"/>
            <w:vAlign w:val="bottom"/>
            <w:gridSpan w:val="7"/>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ITEM 1A.</w:t>
            </w:r>
          </w:p>
        </w:tc>
        <w:tc>
          <w:tcPr>
            <w:tcW w:w="1060" w:type="dxa"/>
            <w:vAlign w:val="bottom"/>
            <w:gridSpan w:val="2"/>
          </w:tcPr>
          <w:p>
            <w:pPr>
              <w:spacing w:after="0"/>
              <w:rPr>
                <w:sz w:val="24"/>
                <w:szCs w:val="24"/>
                <w:color w:val="auto"/>
              </w:rPr>
            </w:pPr>
          </w:p>
        </w:tc>
        <w:tc>
          <w:tcPr>
            <w:tcW w:w="12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7740" w:type="dxa"/>
            <w:vAlign w:val="bottom"/>
            <w:gridSpan w:val="16"/>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62</w:t>
            </w:r>
          </w:p>
        </w:tc>
        <w:tc>
          <w:tcPr>
            <w:tcW w:w="0" w:type="dxa"/>
            <w:vAlign w:val="bottom"/>
          </w:tcPr>
          <w:p>
            <w:pPr>
              <w:spacing w:after="0"/>
              <w:rPr>
                <w:sz w:val="1"/>
                <w:szCs w:val="1"/>
                <w:color w:val="auto"/>
              </w:rPr>
            </w:pPr>
          </w:p>
        </w:tc>
      </w:tr>
      <w:tr>
        <w:trPr>
          <w:trHeight w:val="277"/>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2.</w:t>
            </w:r>
          </w:p>
        </w:tc>
        <w:tc>
          <w:tcPr>
            <w:tcW w:w="1180" w:type="dxa"/>
            <w:vAlign w:val="bottom"/>
            <w:gridSpan w:val="4"/>
          </w:tcPr>
          <w:p>
            <w:pPr>
              <w:spacing w:after="0"/>
              <w:rPr>
                <w:sz w:val="24"/>
                <w:szCs w:val="24"/>
                <w:color w:val="auto"/>
              </w:rPr>
            </w:pPr>
          </w:p>
        </w:tc>
        <w:tc>
          <w:tcPr>
            <w:tcW w:w="58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3140" w:type="dxa"/>
            <w:vAlign w:val="bottom"/>
            <w:gridSpan w:val="7"/>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63</w:t>
            </w:r>
          </w:p>
        </w:tc>
        <w:tc>
          <w:tcPr>
            <w:tcW w:w="0" w:type="dxa"/>
            <w:vAlign w:val="bottom"/>
          </w:tcPr>
          <w:p>
            <w:pPr>
              <w:spacing w:after="0"/>
              <w:rPr>
                <w:sz w:val="1"/>
                <w:szCs w:val="1"/>
                <w:color w:val="auto"/>
              </w:rPr>
            </w:pPr>
          </w:p>
        </w:tc>
      </w:tr>
      <w:tr>
        <w:trPr>
          <w:trHeight w:val="277"/>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3.</w:t>
            </w:r>
          </w:p>
        </w:tc>
        <w:tc>
          <w:tcPr>
            <w:tcW w:w="1180" w:type="dxa"/>
            <w:vAlign w:val="bottom"/>
            <w:gridSpan w:val="4"/>
          </w:tcPr>
          <w:p>
            <w:pPr>
              <w:spacing w:after="0"/>
              <w:rPr>
                <w:sz w:val="24"/>
                <w:szCs w:val="24"/>
                <w:color w:val="auto"/>
              </w:rPr>
            </w:pPr>
          </w:p>
        </w:tc>
        <w:tc>
          <w:tcPr>
            <w:tcW w:w="30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w w:val="99"/>
              </w:rPr>
              <w:t>DEFAULTS UPON SENIOR SECURITIES</w:t>
            </w:r>
          </w:p>
        </w:tc>
        <w:tc>
          <w:tcPr>
            <w:tcW w:w="5900" w:type="dxa"/>
            <w:vAlign w:val="bottom"/>
            <w:gridSpan w:val="9"/>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63</w:t>
            </w:r>
          </w:p>
        </w:tc>
        <w:tc>
          <w:tcPr>
            <w:tcW w:w="0" w:type="dxa"/>
            <w:vAlign w:val="bottom"/>
          </w:tcPr>
          <w:p>
            <w:pPr>
              <w:spacing w:after="0"/>
              <w:rPr>
                <w:sz w:val="1"/>
                <w:szCs w:val="1"/>
                <w:color w:val="auto"/>
              </w:rPr>
            </w:pPr>
          </w:p>
        </w:tc>
      </w:tr>
      <w:tr>
        <w:trPr>
          <w:trHeight w:val="27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ITEM 4.</w:t>
            </w:r>
          </w:p>
        </w:tc>
        <w:tc>
          <w:tcPr>
            <w:tcW w:w="1180" w:type="dxa"/>
            <w:vAlign w:val="bottom"/>
            <w:gridSpan w:val="4"/>
          </w:tcPr>
          <w:p>
            <w:pPr>
              <w:spacing w:after="0"/>
              <w:rPr>
                <w:sz w:val="24"/>
                <w:szCs w:val="24"/>
                <w:color w:val="auto"/>
              </w:rPr>
            </w:pPr>
          </w:p>
        </w:tc>
        <w:tc>
          <w:tcPr>
            <w:tcW w:w="89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63</w:t>
            </w:r>
          </w:p>
        </w:tc>
        <w:tc>
          <w:tcPr>
            <w:tcW w:w="0" w:type="dxa"/>
            <w:vAlign w:val="bottom"/>
          </w:tcPr>
          <w:p>
            <w:pPr>
              <w:spacing w:after="0"/>
              <w:rPr>
                <w:sz w:val="1"/>
                <w:szCs w:val="1"/>
                <w:color w:val="auto"/>
              </w:rPr>
            </w:pPr>
          </w:p>
        </w:tc>
      </w:tr>
      <w:tr>
        <w:trPr>
          <w:trHeight w:val="277"/>
        </w:trPr>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5.</w:t>
            </w:r>
          </w:p>
        </w:tc>
        <w:tc>
          <w:tcPr>
            <w:tcW w:w="1180" w:type="dxa"/>
            <w:vAlign w:val="bottom"/>
            <w:gridSpan w:val="4"/>
          </w:tcPr>
          <w:p>
            <w:pPr>
              <w:spacing w:after="0"/>
              <w:rPr>
                <w:sz w:val="24"/>
                <w:szCs w:val="24"/>
                <w:color w:val="auto"/>
              </w:rPr>
            </w:pPr>
          </w:p>
        </w:tc>
        <w:tc>
          <w:tcPr>
            <w:tcW w:w="18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520" w:type="dxa"/>
            <w:vAlign w:val="bottom"/>
            <w:tcBorders>
              <w:top w:val="single" w:sz="8" w:color="0000FF"/>
            </w:tcBorders>
            <w:gridSpan w:val="3"/>
          </w:tcPr>
          <w:p>
            <w:pPr>
              <w:spacing w:after="0"/>
              <w:rPr>
                <w:sz w:val="24"/>
                <w:szCs w:val="24"/>
                <w:color w:val="auto"/>
              </w:rPr>
            </w:pPr>
          </w:p>
        </w:tc>
        <w:tc>
          <w:tcPr>
            <w:tcW w:w="6620" w:type="dxa"/>
            <w:vAlign w:val="bottom"/>
            <w:gridSpan w:val="11"/>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63</w:t>
            </w:r>
          </w:p>
        </w:tc>
        <w:tc>
          <w:tcPr>
            <w:tcW w:w="0" w:type="dxa"/>
            <w:vAlign w:val="bottom"/>
          </w:tcPr>
          <w:p>
            <w:pPr>
              <w:spacing w:after="0"/>
              <w:rPr>
                <w:sz w:val="1"/>
                <w:szCs w:val="1"/>
                <w:color w:val="auto"/>
              </w:rPr>
            </w:pPr>
          </w:p>
        </w:tc>
      </w:tr>
      <w:tr>
        <w:trPr>
          <w:trHeight w:val="27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ITEM 6.</w:t>
            </w:r>
          </w:p>
        </w:tc>
        <w:tc>
          <w:tcPr>
            <w:tcW w:w="1180" w:type="dxa"/>
            <w:vAlign w:val="bottom"/>
            <w:gridSpan w:val="4"/>
          </w:tcPr>
          <w:p>
            <w:pPr>
              <w:spacing w:after="0"/>
              <w:rPr>
                <w:sz w:val="24"/>
                <w:szCs w:val="24"/>
                <w:color w:val="auto"/>
              </w:rPr>
            </w:pPr>
          </w:p>
        </w:tc>
        <w:tc>
          <w:tcPr>
            <w:tcW w:w="89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EXHIBITS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64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7"/>
              </w:rPr>
              <w:t>SIGNATURE</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0"/>
          </w:cols>
          <w:pgMar w:left="320" w:top="127" w:right="6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2"/>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Real estate investments, net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9,666,895</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8,474,261</w:t>
            </w:r>
          </w:p>
        </w:tc>
      </w:tr>
      <w:tr>
        <w:trPr>
          <w:trHeight w:val="232"/>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 in leases, financing receivables, net</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2,550,915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2,557,504</w:t>
            </w:r>
          </w:p>
        </w:tc>
      </w:tr>
      <w:tr>
        <w:trPr>
          <w:trHeight w:val="232"/>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in leases, sales-type, net</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245,121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248,421</w:t>
            </w:r>
          </w:p>
        </w:tc>
      </w:tr>
      <w:tr>
        <w:trPr>
          <w:trHeight w:val="232"/>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Real estate loans, net</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315,634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247,999</w:t>
            </w:r>
          </w:p>
        </w:tc>
      </w:tr>
      <w:tr>
        <w:trPr>
          <w:trHeight w:val="232"/>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Right-of-use assets and land rights, net</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1,057,047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1,072,163</w:t>
            </w:r>
          </w:p>
        </w:tc>
      </w:tr>
      <w:tr>
        <w:trPr>
          <w:trHeight w:val="232"/>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165,752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224,314</w:t>
            </w:r>
          </w:p>
        </w:tc>
      </w:tr>
      <w:tr>
        <w:trPr>
          <w:trHeight w:val="232"/>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94,832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84,947</w:t>
            </w: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14,096,196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12,909,609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3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2"/>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9,353</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6,641</w:t>
            </w:r>
          </w:p>
        </w:tc>
      </w:tr>
      <w:tr>
        <w:trPr>
          <w:trHeight w:val="232"/>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interest</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106,253</w:t>
            </w:r>
          </w:p>
        </w:tc>
      </w:tr>
      <w:tr>
        <w:trPr>
          <w:trHeight w:val="232"/>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salaries and wages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10,209</w:t>
            </w:r>
          </w:p>
        </w:tc>
      </w:tr>
      <w:tr>
        <w:trPr>
          <w:trHeight w:val="232"/>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240,149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242,481</w:t>
            </w:r>
          </w:p>
        </w:tc>
      </w:tr>
      <w:tr>
        <w:trPr>
          <w:trHeight w:val="232"/>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Financing lease liabilities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61,219</w:t>
            </w:r>
          </w:p>
        </w:tc>
      </w:tr>
      <w:tr>
        <w:trPr>
          <w:trHeight w:val="232"/>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Long-term debt, net of unamortized debt issuance costs, bond premiums and original issuance discounts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8,080,546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7,203,731</w:t>
            </w:r>
          </w:p>
        </w:tc>
      </w:tr>
      <w:tr>
        <w:trPr>
          <w:trHeight w:val="232"/>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Deferred rental revenue</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211,870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205,786</w:t>
            </w:r>
          </w:p>
        </w:tc>
      </w:tr>
      <w:tr>
        <w:trPr>
          <w:trHeight w:val="232"/>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liabilities</w:t>
            </w: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57,524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65,029</w:t>
            </w:r>
          </w:p>
        </w:tc>
      </w:tr>
      <w:tr>
        <w:trPr>
          <w:trHeight w:val="225"/>
        </w:trPr>
        <w:tc>
          <w:tcPr>
            <w:tcW w:w="8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8,742,261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7,901,349</w:t>
            </w:r>
          </w:p>
        </w:tc>
      </w:tr>
      <w:tr>
        <w:trPr>
          <w:trHeight w:val="186"/>
        </w:trPr>
        <w:tc>
          <w:tcPr>
            <w:tcW w:w="8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2"/>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9)</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6"/>
        </w:trPr>
        <w:tc>
          <w:tcPr>
            <w:tcW w:w="8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2"/>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80"/>
        </w:trPr>
        <w:tc>
          <w:tcPr>
            <w:tcW w:w="824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Preferred stock ($.01 par value, 50,000,000 shares authorized, no shares issued or outstanding at September 30, 2026</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2"/>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and December 31, 2025)</w:t>
            </w: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80"/>
        </w:trPr>
        <w:tc>
          <w:tcPr>
            <w:tcW w:w="824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Common stock ($.01 par value, 500,000,000 shares authorized, 290,923,261 and 283,037,310 shares issued and</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2"/>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outstanding at September 30, 2026 and December 31, 2025, respectively)</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2,830</w:t>
            </w:r>
          </w:p>
        </w:tc>
      </w:tr>
      <w:tr>
        <w:trPr>
          <w:trHeight w:val="232"/>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6,972,671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6,613,488</w:t>
            </w:r>
          </w:p>
        </w:tc>
      </w:tr>
      <w:tr>
        <w:trPr>
          <w:trHeight w:val="232"/>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Accumulated deficit</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(2,021,301)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(1,990,770)</w:t>
            </w:r>
          </w:p>
        </w:tc>
      </w:tr>
      <w:tr>
        <w:trPr>
          <w:trHeight w:val="232"/>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w:t>
            </w:r>
          </w:p>
        </w:tc>
      </w:tr>
      <w:tr>
        <w:trPr>
          <w:trHeight w:val="225"/>
        </w:trPr>
        <w:tc>
          <w:tcPr>
            <w:tcW w:w="82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equity attributable to Gaming and Leisure Properties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4,955,114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4,626,452</w:t>
            </w:r>
          </w:p>
        </w:tc>
      </w:tr>
      <w:tr>
        <w:trPr>
          <w:trHeight w:val="180"/>
        </w:trPr>
        <w:tc>
          <w:tcPr>
            <w:tcW w:w="8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Noncontrolling interests in GLPI's Operating Partnership (8,473,163 units and 8,224,939 units outstanding at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30, 2026 and December 31, 2025, respectively)</w:t>
            </w: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398,821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381,808</w:t>
            </w:r>
          </w:p>
        </w:tc>
      </w:tr>
      <w:tr>
        <w:trPr>
          <w:trHeight w:val="225"/>
        </w:trPr>
        <w:tc>
          <w:tcPr>
            <w:tcW w:w="8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equity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5,353,935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5,008,260</w:t>
            </w: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14,096,196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12,909,609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Income and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2540" w:type="dxa"/>
            <w:vAlign w:val="bottom"/>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
        </w:trPr>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7"/>
        </w:trPr>
        <w:tc>
          <w:tcPr>
            <w:tcW w:w="5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2"/>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Rental income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370,956</w:t>
            </w:r>
          </w:p>
        </w:tc>
        <w:tc>
          <w:tcPr>
            <w:tcW w:w="12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341,755</w:t>
            </w:r>
          </w:p>
        </w:tc>
        <w:tc>
          <w:tcPr>
            <w:tcW w:w="10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1,093,682</w:t>
            </w:r>
          </w:p>
        </w:tc>
        <w:tc>
          <w:tcPr>
            <w:tcW w:w="10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1,021,534</w:t>
            </w:r>
          </w:p>
        </w:tc>
      </w:tr>
      <w:tr>
        <w:trPr>
          <w:trHeight w:val="232"/>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from investment in leases, financing receivables</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52,999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48,066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158,555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143,756</w:t>
            </w:r>
          </w:p>
        </w:tc>
      </w:tr>
      <w:tr>
        <w:trPr>
          <w:trHeight w:val="232"/>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from sales-type lease</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11,289</w:t>
            </w:r>
          </w:p>
        </w:tc>
      </w:tr>
      <w:tr>
        <w:trPr>
          <w:trHeight w:val="232"/>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income from real estate loans</w:t>
            </w: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7,652</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22,199</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11,142</w:t>
            </w:r>
          </w:p>
        </w:tc>
      </w:tr>
      <w:tr>
        <w:trPr>
          <w:trHeight w:val="225"/>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income from real estate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435,449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397,610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1,285,953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1,187,721</w:t>
            </w:r>
          </w:p>
        </w:tc>
      </w:tr>
      <w:tr>
        <w:trPr>
          <w:trHeight w:val="206"/>
        </w:trPr>
        <w:tc>
          <w:tcPr>
            <w:tcW w:w="5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2"/>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2"/>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Land rights and ground lease expense</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41,831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41,282</w:t>
            </w:r>
          </w:p>
        </w:tc>
      </w:tr>
      <w:tr>
        <w:trPr>
          <w:trHeight w:val="232"/>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12,871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51,172</w:t>
            </w:r>
          </w:p>
        </w:tc>
      </w:tr>
      <w:tr>
        <w:trPr>
          <w:trHeight w:val="232"/>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Gains from dispositions of property</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32"/>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69,295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200,915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201,720</w:t>
            </w:r>
          </w:p>
        </w:tc>
      </w:tr>
      <w:tr>
        <w:trPr>
          <w:trHeight w:val="232"/>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Provision (benefit) for credit losses, net</w:t>
            </w: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36,224</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(37,363)</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29,067</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55,611</w:t>
            </w:r>
          </w:p>
        </w:tc>
      </w:tr>
      <w:tr>
        <w:trPr>
          <w:trHeight w:val="225"/>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125,506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310,269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349,660</w:t>
            </w: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309,943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337,163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975,684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838,061</w:t>
            </w:r>
          </w:p>
        </w:tc>
      </w:tr>
      <w:tr>
        <w:trPr>
          <w:trHeight w:val="186"/>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(expenses)</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2"/>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(98,884)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(295,445)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(281,265)</w:t>
            </w:r>
          </w:p>
        </w:tc>
      </w:tr>
      <w:tr>
        <w:trPr>
          <w:trHeight w:val="232"/>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23,656</w:t>
            </w:r>
          </w:p>
        </w:tc>
      </w:tr>
      <w:tr>
        <w:trPr>
          <w:trHeight w:val="232"/>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Losses on debt extinguishment and other financing costs</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(3,783)</w:t>
            </w:r>
          </w:p>
        </w:tc>
      </w:tr>
      <w:tr>
        <w:trPr>
          <w:trHeight w:val="225"/>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(95,580)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(285,814)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(261,392)</w:t>
            </w:r>
          </w:p>
        </w:tc>
      </w:tr>
      <w:tr>
        <w:trPr>
          <w:trHeight w:val="225"/>
        </w:trPr>
        <w:tc>
          <w:tcPr>
            <w:tcW w:w="5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214,363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249,041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689,870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576,669</w:t>
            </w:r>
          </w:p>
        </w:tc>
      </w:tr>
      <w:tr>
        <w:trPr>
          <w:trHeight w:val="232"/>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1,669</w:t>
            </w: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248,481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688,175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575,000</w:t>
            </w:r>
          </w:p>
        </w:tc>
      </w:tr>
      <w:tr>
        <w:trPr>
          <w:trHeight w:val="232"/>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 attributable to noncontrolling interest in the Operating Partnership</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(6,193)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(20,294)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(17,186)</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common shareholders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207,636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241,191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667,881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557,814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common share:</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2"/>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earnings attributable to common shareholders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12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0.85</w:t>
            </w:r>
          </w:p>
        </w:tc>
        <w:tc>
          <w:tcPr>
            <w:tcW w:w="10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3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earnings attributable to common shareholders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45"/>
        </w:trPr>
        <w:tc>
          <w:tcPr>
            <w:tcW w:w="5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income</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2"/>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213,829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248,481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688,175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575,000</w:t>
            </w:r>
          </w:p>
        </w:tc>
      </w:tr>
      <w:tr>
        <w:trPr>
          <w:trHeight w:val="23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cash flow hedges</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w:t>
            </w:r>
          </w:p>
        </w:tc>
      </w:tr>
      <w:tr>
        <w:trPr>
          <w:trHeight w:val="232"/>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Reclassification of derivative gain to interest expense</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248,575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575,958</w:t>
            </w:r>
          </w:p>
        </w:tc>
      </w:tr>
      <w:tr>
        <w:trPr>
          <w:trHeight w:val="180"/>
        </w:trPr>
        <w:tc>
          <w:tcPr>
            <w:tcW w:w="55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Comprehensive income attributable to noncontrolling interest in the Operating</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2"/>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Partnership</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(6,192)</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(20,291)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(17,216)</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attributable to common shareholders</w:t>
            </w: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207,613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241,282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667,812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558,742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Equity</w:t>
      </w:r>
    </w:p>
    <w:p>
      <w:pPr>
        <w:spacing w:after="0" w:line="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20" w:type="dxa"/>
            <w:vAlign w:val="bottom"/>
          </w:tcPr>
          <w:p>
            <w:pPr>
              <w:spacing w:after="0"/>
              <w:rPr>
                <w:sz w:val="13"/>
                <w:szCs w:val="13"/>
                <w:color w:val="auto"/>
              </w:rPr>
            </w:pPr>
          </w:p>
        </w:tc>
        <w:tc>
          <w:tcPr>
            <w:tcW w:w="102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720" w:type="dxa"/>
            <w:vAlign w:val="bottom"/>
          </w:tcPr>
          <w:p>
            <w:pPr>
              <w:spacing w:after="0"/>
              <w:rPr>
                <w:sz w:val="12"/>
                <w:szCs w:val="12"/>
                <w:color w:val="auto"/>
              </w:rPr>
            </w:pPr>
          </w:p>
        </w:tc>
        <w:tc>
          <w:tcPr>
            <w:tcW w:w="2180" w:type="dxa"/>
            <w:vAlign w:val="bottom"/>
            <w:gridSpan w:val="4"/>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7"/>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720" w:type="dxa"/>
            <w:vAlign w:val="bottom"/>
          </w:tcPr>
          <w:p>
            <w:pPr>
              <w:spacing w:after="0"/>
              <w:rPr>
                <w:sz w:val="8"/>
                <w:szCs w:val="8"/>
                <w:color w:val="auto"/>
              </w:rPr>
            </w:pPr>
          </w:p>
        </w:tc>
        <w:tc>
          <w:tcPr>
            <w:tcW w:w="218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restart"/>
          </w:tcPr>
          <w:p>
            <w:pPr>
              <w:jc w:val="right"/>
              <w:ind w:right="276"/>
              <w:spacing w:after="0" w:line="116"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8"/>
                <w:szCs w:val="8"/>
                <w:color w:val="auto"/>
              </w:rPr>
            </w:pPr>
          </w:p>
        </w:tc>
        <w:tc>
          <w:tcPr>
            <w:tcW w:w="1020" w:type="dxa"/>
            <w:vAlign w:val="bottom"/>
            <w:vMerge w:val="restart"/>
          </w:tcPr>
          <w:p>
            <w:pPr>
              <w:jc w:val="right"/>
              <w:ind w:right="116"/>
              <w:spacing w:after="0" w:line="11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8"/>
                <w:szCs w:val="8"/>
                <w:color w:val="auto"/>
              </w:rPr>
            </w:pPr>
          </w:p>
        </w:tc>
        <w:tc>
          <w:tcPr>
            <w:tcW w:w="1040" w:type="dxa"/>
            <w:vAlign w:val="bottom"/>
            <w:vMerge w:val="restart"/>
          </w:tcPr>
          <w:p>
            <w:pPr>
              <w:jc w:val="center"/>
              <w:ind w:right="17"/>
              <w:spacing w:after="0" w:line="11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140" w:type="dxa"/>
            <w:vAlign w:val="bottom"/>
            <w:gridSpan w:val="2"/>
            <w:vMerge w:val="restart"/>
          </w:tcPr>
          <w:p>
            <w:pPr>
              <w:ind w:left="40"/>
              <w:spacing w:after="0" w:line="116" w:lineRule="exact"/>
              <w:rPr>
                <w:sz w:val="20"/>
                <w:szCs w:val="20"/>
                <w:color w:val="auto"/>
              </w:rPr>
            </w:pPr>
            <w:r>
              <w:rPr>
                <w:rFonts w:ascii="Times New Roman" w:cs="Times New Roman" w:eastAsia="Times New Roman" w:hAnsi="Times New Roman"/>
                <w:sz w:val="13"/>
                <w:szCs w:val="13"/>
                <w:b w:val="1"/>
                <w:bCs w:val="1"/>
                <w:color w:val="auto"/>
              </w:rPr>
              <w:t>Interest Operating</w:t>
            </w:r>
          </w:p>
        </w:tc>
        <w:tc>
          <w:tcPr>
            <w:tcW w:w="300" w:type="dxa"/>
            <w:vAlign w:val="bottom"/>
          </w:tcPr>
          <w:p>
            <w:pPr>
              <w:spacing w:after="0"/>
              <w:rPr>
                <w:sz w:val="8"/>
                <w:szCs w:val="8"/>
                <w:color w:val="auto"/>
              </w:rPr>
            </w:pPr>
          </w:p>
        </w:tc>
        <w:tc>
          <w:tcPr>
            <w:tcW w:w="1040" w:type="dxa"/>
            <w:vAlign w:val="bottom"/>
            <w:vMerge w:val="restart"/>
          </w:tcPr>
          <w:p>
            <w:pPr>
              <w:jc w:val="right"/>
              <w:ind w:right="436"/>
              <w:spacing w:after="0" w:line="116"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2"/>
        </w:trPr>
        <w:tc>
          <w:tcPr>
            <w:tcW w:w="2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2720" w:type="dxa"/>
            <w:vAlign w:val="bottom"/>
          </w:tcPr>
          <w:p>
            <w:pPr>
              <w:spacing w:after="0"/>
              <w:rPr>
                <w:sz w:val="16"/>
                <w:szCs w:val="16"/>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9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0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0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4"/>
              </w:rPr>
              <w:t>Income</w:t>
            </w:r>
          </w:p>
        </w:tc>
        <w:tc>
          <w:tcPr>
            <w:tcW w:w="120" w:type="dxa"/>
            <w:vAlign w:val="bottom"/>
          </w:tcPr>
          <w:p>
            <w:pPr>
              <w:spacing w:after="0"/>
              <w:rPr>
                <w:sz w:val="16"/>
                <w:szCs w:val="16"/>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300" w:type="dxa"/>
            <w:vAlign w:val="bottom"/>
          </w:tcPr>
          <w:p>
            <w:pPr>
              <w:spacing w:after="0"/>
              <w:rPr>
                <w:sz w:val="16"/>
                <w:szCs w:val="16"/>
                <w:color w:val="auto"/>
              </w:rPr>
            </w:pPr>
          </w:p>
        </w:tc>
        <w:tc>
          <w:tcPr>
            <w:tcW w:w="10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December 31, 2025</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283,037,310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6,613,488</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(1,990,770)</w:t>
            </w: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381,808</w:t>
            </w: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5,008,260</w:t>
            </w:r>
          </w:p>
        </w:tc>
        <w:tc>
          <w:tcPr>
            <w:tcW w:w="0" w:type="dxa"/>
            <w:vAlign w:val="bottom"/>
          </w:tcPr>
          <w:p>
            <w:pPr>
              <w:spacing w:after="0"/>
              <w:rPr>
                <w:sz w:val="1"/>
                <w:szCs w:val="1"/>
                <w:color w:val="auto"/>
              </w:rPr>
            </w:pPr>
          </w:p>
        </w:tc>
      </w:tr>
      <w:tr>
        <w:trPr>
          <w:trHeight w:val="180"/>
        </w:trPr>
        <w:tc>
          <w:tcPr>
            <w:tcW w:w="2720" w:type="dxa"/>
            <w:vAlign w:val="bottom"/>
          </w:tcPr>
          <w:p>
            <w:pPr>
              <w:ind w:left="160"/>
              <w:spacing w:after="0" w:line="181" w:lineRule="exact"/>
              <w:rPr>
                <w:sz w:val="20"/>
                <w:szCs w:val="20"/>
                <w:color w:val="auto"/>
              </w:rPr>
            </w:pPr>
            <w:r>
              <w:rPr>
                <w:rFonts w:ascii="Times New Roman" w:cs="Times New Roman" w:eastAsia="Times New Roman" w:hAnsi="Times New Roman"/>
                <w:sz w:val="17"/>
                <w:szCs w:val="17"/>
                <w:color w:val="auto"/>
              </w:rPr>
              <w:t>Issuance of common stock, net of</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costs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7"/>
                <w:szCs w:val="17"/>
                <w:color w:val="auto"/>
              </w:rPr>
              <w:t>Restricted stock and LTIP unit</w:t>
            </w: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activity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184,531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(2,209)</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4,049</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0" w:type="dxa"/>
            <w:vAlign w:val="bottom"/>
          </w:tcPr>
          <w:p>
            <w:pPr>
              <w:spacing w:after="0"/>
              <w:rPr>
                <w:sz w:val="1"/>
                <w:szCs w:val="1"/>
                <w:color w:val="auto"/>
              </w:rPr>
            </w:pPr>
          </w:p>
        </w:tc>
      </w:tr>
      <w:tr>
        <w:trPr>
          <w:trHeight w:val="180"/>
        </w:trPr>
        <w:tc>
          <w:tcPr>
            <w:tcW w:w="2720" w:type="dxa"/>
            <w:vAlign w:val="bottom"/>
          </w:tcPr>
          <w:p>
            <w:pPr>
              <w:ind w:left="160"/>
              <w:spacing w:after="0" w:line="181" w:lineRule="exact"/>
              <w:rPr>
                <w:sz w:val="20"/>
                <w:szCs w:val="20"/>
                <w:color w:val="auto"/>
              </w:rPr>
            </w:pPr>
            <w:r>
              <w:rPr>
                <w:rFonts w:ascii="Times New Roman" w:cs="Times New Roman" w:eastAsia="Times New Roman" w:hAnsi="Times New Roman"/>
                <w:sz w:val="17"/>
                <w:szCs w:val="17"/>
                <w:color w:val="auto"/>
              </w:rPr>
              <w:t>Dividends paid ($0.78 per common</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share)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(221,068)</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(221,068)</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7"/>
                <w:szCs w:val="17"/>
                <w:color w:val="auto"/>
              </w:rPr>
              <w:t>Issuance of operating partnership</w:t>
            </w: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15,393</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15,393</w:t>
            </w:r>
          </w:p>
        </w:tc>
        <w:tc>
          <w:tcPr>
            <w:tcW w:w="0" w:type="dxa"/>
            <w:vAlign w:val="bottom"/>
          </w:tcPr>
          <w:p>
            <w:pPr>
              <w:spacing w:after="0"/>
              <w:rPr>
                <w:sz w:val="1"/>
                <w:szCs w:val="1"/>
                <w:color w:val="auto"/>
              </w:rPr>
            </w:pPr>
          </w:p>
        </w:tc>
      </w:tr>
      <w:tr>
        <w:trPr>
          <w:trHeight w:val="180"/>
        </w:trPr>
        <w:tc>
          <w:tcPr>
            <w:tcW w:w="27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Reclassification of derivative gain on</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cash flow hedges to interest expense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7"/>
                <w:szCs w:val="17"/>
                <w:color w:val="auto"/>
              </w:rPr>
              <w:t>Distributions to noncontrolling</w:t>
            </w: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(6,856)</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(6,856)</w:t>
            </w:r>
          </w:p>
        </w:tc>
        <w:tc>
          <w:tcPr>
            <w:tcW w:w="0" w:type="dxa"/>
            <w:vAlign w:val="bottom"/>
          </w:tcPr>
          <w:p>
            <w:pPr>
              <w:spacing w:after="0"/>
              <w:rPr>
                <w:sz w:val="1"/>
                <w:szCs w:val="1"/>
                <w:color w:val="auto"/>
              </w:rPr>
            </w:pPr>
          </w:p>
        </w:tc>
      </w:tr>
      <w:tr>
        <w:trPr>
          <w:trHeight w:val="232"/>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231,829</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7,573</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239,402</w:t>
            </w:r>
          </w:p>
        </w:tc>
        <w:tc>
          <w:tcPr>
            <w:tcW w:w="0" w:type="dxa"/>
            <w:vAlign w:val="bottom"/>
          </w:tcPr>
          <w:p>
            <w:pPr>
              <w:spacing w:after="0"/>
              <w:rPr>
                <w:sz w:val="1"/>
                <w:szCs w:val="1"/>
                <w:color w:val="auto"/>
              </w:rPr>
            </w:pPr>
          </w:p>
        </w:tc>
      </w:tr>
      <w:tr>
        <w:trPr>
          <w:trHeight w:val="250"/>
        </w:trPr>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March 31, 2026</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283,221,841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6,611,159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(1,980,009)</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401,966</w:t>
            </w: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5,036,829</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ind w:left="160"/>
              <w:spacing w:after="0" w:line="167" w:lineRule="exact"/>
              <w:rPr>
                <w:sz w:val="20"/>
                <w:szCs w:val="20"/>
                <w:color w:val="auto"/>
              </w:rPr>
            </w:pPr>
            <w:r>
              <w:rPr>
                <w:rFonts w:ascii="Times New Roman" w:cs="Times New Roman" w:eastAsia="Times New Roman" w:hAnsi="Times New Roman"/>
                <w:sz w:val="17"/>
                <w:szCs w:val="17"/>
                <w:color w:val="auto"/>
              </w:rPr>
              <w:t>Issuance of common stock, net of</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72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costs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7,589,487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350,795</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350,871</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7"/>
                <w:szCs w:val="17"/>
                <w:color w:val="auto"/>
              </w:rPr>
              <w:t>Restricted stock and LTIP unit</w:t>
            </w: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activity</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3,025</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1,619</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4,644</w:t>
            </w:r>
          </w:p>
        </w:tc>
        <w:tc>
          <w:tcPr>
            <w:tcW w:w="0" w:type="dxa"/>
            <w:vAlign w:val="bottom"/>
          </w:tcPr>
          <w:p>
            <w:pPr>
              <w:spacing w:after="0"/>
              <w:rPr>
                <w:sz w:val="1"/>
                <w:szCs w:val="1"/>
                <w:color w:val="auto"/>
              </w:rPr>
            </w:pPr>
          </w:p>
        </w:tc>
      </w:tr>
      <w:tr>
        <w:trPr>
          <w:trHeight w:val="180"/>
        </w:trPr>
        <w:tc>
          <w:tcPr>
            <w:tcW w:w="2720" w:type="dxa"/>
            <w:vAlign w:val="bottom"/>
          </w:tcPr>
          <w:p>
            <w:pPr>
              <w:ind w:left="160"/>
              <w:spacing w:after="0" w:line="181" w:lineRule="exact"/>
              <w:rPr>
                <w:sz w:val="20"/>
                <w:szCs w:val="20"/>
                <w:color w:val="auto"/>
              </w:rPr>
            </w:pPr>
            <w:r>
              <w:rPr>
                <w:rFonts w:ascii="Times New Roman" w:cs="Times New Roman" w:eastAsia="Times New Roman" w:hAnsi="Times New Roman"/>
                <w:sz w:val="17"/>
                <w:szCs w:val="17"/>
                <w:color w:val="auto"/>
              </w:rPr>
              <w:t>Dividends paid ($0.82 per common</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share)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(238,629)</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(238,629)</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Reclassification of derivative gain on</w:t>
            </w: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 hedges to interest expense</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180"/>
        </w:trPr>
        <w:tc>
          <w:tcPr>
            <w:tcW w:w="27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Redemption of noncontrolling</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interests to common shares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4,792</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(4,793)</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7"/>
                <w:szCs w:val="17"/>
                <w:color w:val="auto"/>
              </w:rPr>
              <w:t>Distributions to noncontrolling</w:t>
            </w: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(7,208)</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(7,208)</w:t>
            </w:r>
          </w:p>
        </w:tc>
        <w:tc>
          <w:tcPr>
            <w:tcW w:w="0" w:type="dxa"/>
            <w:vAlign w:val="bottom"/>
          </w:tcPr>
          <w:p>
            <w:pPr>
              <w:spacing w:after="0"/>
              <w:rPr>
                <w:sz w:val="1"/>
                <w:szCs w:val="1"/>
                <w:color w:val="auto"/>
              </w:rPr>
            </w:pPr>
          </w:p>
        </w:tc>
      </w:tr>
      <w:tr>
        <w:trPr>
          <w:trHeight w:val="232"/>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228,416</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6,528</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234,944</w:t>
            </w:r>
          </w:p>
        </w:tc>
        <w:tc>
          <w:tcPr>
            <w:tcW w:w="0" w:type="dxa"/>
            <w:vAlign w:val="bottom"/>
          </w:tcPr>
          <w:p>
            <w:pPr>
              <w:spacing w:after="0"/>
              <w:rPr>
                <w:sz w:val="1"/>
                <w:szCs w:val="1"/>
                <w:color w:val="auto"/>
              </w:rPr>
            </w:pPr>
          </w:p>
        </w:tc>
      </w:tr>
      <w:tr>
        <w:trPr>
          <w:trHeight w:val="250"/>
        </w:trPr>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June 30, 2026</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290,919,328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6,969,771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(1,990,222)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398,111</w:t>
            </w: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5,381,427</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ind w:left="160"/>
              <w:spacing w:after="0" w:line="167" w:lineRule="exact"/>
              <w:rPr>
                <w:sz w:val="20"/>
                <w:szCs w:val="20"/>
                <w:color w:val="auto"/>
              </w:rPr>
            </w:pPr>
            <w:r>
              <w:rPr>
                <w:rFonts w:ascii="Times New Roman" w:cs="Times New Roman" w:eastAsia="Times New Roman" w:hAnsi="Times New Roman"/>
                <w:sz w:val="17"/>
                <w:szCs w:val="17"/>
                <w:color w:val="auto"/>
              </w:rPr>
              <w:t>Issuance of common stock, net of</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72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costs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stock and LTIP unit activity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2,900</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4,537</w:t>
            </w:r>
          </w:p>
        </w:tc>
        <w:tc>
          <w:tcPr>
            <w:tcW w:w="0" w:type="dxa"/>
            <w:vAlign w:val="bottom"/>
          </w:tcPr>
          <w:p>
            <w:pPr>
              <w:spacing w:after="0"/>
              <w:rPr>
                <w:sz w:val="1"/>
                <w:szCs w:val="1"/>
                <w:color w:val="auto"/>
              </w:rPr>
            </w:pPr>
          </w:p>
        </w:tc>
      </w:tr>
      <w:tr>
        <w:trPr>
          <w:trHeight w:val="180"/>
        </w:trPr>
        <w:tc>
          <w:tcPr>
            <w:tcW w:w="2720" w:type="dxa"/>
            <w:vAlign w:val="bottom"/>
          </w:tcPr>
          <w:p>
            <w:pPr>
              <w:ind w:left="160"/>
              <w:spacing w:after="0" w:line="181" w:lineRule="exact"/>
              <w:rPr>
                <w:sz w:val="20"/>
                <w:szCs w:val="20"/>
                <w:color w:val="auto"/>
              </w:rPr>
            </w:pPr>
            <w:r>
              <w:rPr>
                <w:rFonts w:ascii="Times New Roman" w:cs="Times New Roman" w:eastAsia="Times New Roman" w:hAnsi="Times New Roman"/>
                <w:sz w:val="17"/>
                <w:szCs w:val="17"/>
                <w:color w:val="auto"/>
              </w:rPr>
              <w:t>Dividends paid ($0.82 per common</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share)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(238,715)</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(238,715)</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Reclassification of derivative gain on</w:t>
            </w: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 hedges to interest expense</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180"/>
        </w:trPr>
        <w:tc>
          <w:tcPr>
            <w:tcW w:w="2720" w:type="dxa"/>
            <w:vAlign w:val="bottom"/>
          </w:tcPr>
          <w:p>
            <w:pPr>
              <w:ind w:left="160"/>
              <w:spacing w:after="0" w:line="181" w:lineRule="exact"/>
              <w:rPr>
                <w:sz w:val="20"/>
                <w:szCs w:val="20"/>
                <w:color w:val="auto"/>
              </w:rPr>
            </w:pPr>
            <w:r>
              <w:rPr>
                <w:rFonts w:ascii="Times New Roman" w:cs="Times New Roman" w:eastAsia="Times New Roman" w:hAnsi="Times New Roman"/>
                <w:sz w:val="17"/>
                <w:szCs w:val="17"/>
                <w:color w:val="auto"/>
              </w:rPr>
              <w:t>Distributions to noncontrolling</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interest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(7,119)</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(7,119)</w:t>
            </w:r>
          </w:p>
        </w:tc>
        <w:tc>
          <w:tcPr>
            <w:tcW w:w="0" w:type="dxa"/>
            <w:vAlign w:val="bottom"/>
          </w:tcPr>
          <w:p>
            <w:pPr>
              <w:spacing w:after="0"/>
              <w:rPr>
                <w:sz w:val="1"/>
                <w:szCs w:val="1"/>
                <w:color w:val="auto"/>
              </w:rPr>
            </w:pPr>
          </w:p>
        </w:tc>
      </w:tr>
      <w:tr>
        <w:trPr>
          <w:trHeight w:val="232"/>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1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207,636</w:t>
            </w: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6,193</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213,829</w:t>
            </w:r>
          </w:p>
        </w:tc>
        <w:tc>
          <w:tcPr>
            <w:tcW w:w="0" w:type="dxa"/>
            <w:vAlign w:val="bottom"/>
          </w:tcPr>
          <w:p>
            <w:pPr>
              <w:spacing w:after="0"/>
              <w:rPr>
                <w:sz w:val="1"/>
                <w:szCs w:val="1"/>
                <w:color w:val="auto"/>
              </w:rPr>
            </w:pPr>
          </w:p>
        </w:tc>
      </w:tr>
      <w:tr>
        <w:trPr>
          <w:trHeight w:val="225"/>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Balance, September 30, 2026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290,923,261</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6,972,671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(2,021,301)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398,821</w:t>
            </w: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5,353,935</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127"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222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74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restart"/>
          </w:tcPr>
          <w:p>
            <w:pPr>
              <w:jc w:val="right"/>
              <w:ind w:right="196"/>
              <w:spacing w:after="0" w:line="14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5"/>
                <w:szCs w:val="5"/>
                <w:color w:val="auto"/>
              </w:rPr>
            </w:pPr>
          </w:p>
        </w:tc>
        <w:tc>
          <w:tcPr>
            <w:tcW w:w="10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980" w:type="dxa"/>
            <w:vAlign w:val="bottom"/>
            <w:vMerge w:val="restart"/>
          </w:tcPr>
          <w:p>
            <w:pPr>
              <w:jc w:val="center"/>
              <w:ind w:right="17"/>
              <w:spacing w:after="0" w:line="141"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5"/>
                <w:szCs w:val="5"/>
                <w:color w:val="auto"/>
              </w:rPr>
            </w:pPr>
          </w:p>
        </w:tc>
        <w:tc>
          <w:tcPr>
            <w:tcW w:w="1060" w:type="dxa"/>
            <w:vAlign w:val="bottom"/>
            <w:vMerge w:val="restart"/>
          </w:tcPr>
          <w:p>
            <w:pPr>
              <w:jc w:val="center"/>
              <w:ind w:right="16"/>
              <w:spacing w:after="0" w:line="141" w:lineRule="exact"/>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260" w:type="dxa"/>
            <w:vAlign w:val="bottom"/>
          </w:tcPr>
          <w:p>
            <w:pPr>
              <w:spacing w:after="0"/>
              <w:rPr>
                <w:sz w:val="5"/>
                <w:szCs w:val="5"/>
                <w:color w:val="auto"/>
              </w:rPr>
            </w:pPr>
          </w:p>
        </w:tc>
        <w:tc>
          <w:tcPr>
            <w:tcW w:w="92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7"/>
        </w:trPr>
        <w:tc>
          <w:tcPr>
            <w:tcW w:w="27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12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78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000" w:type="dxa"/>
            <w:vAlign w:val="bottom"/>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2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Interest Operating</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0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140" w:type="dxa"/>
            <w:vAlign w:val="bottom"/>
          </w:tcPr>
          <w:p>
            <w:pPr>
              <w:spacing w:after="0"/>
              <w:rPr>
                <w:sz w:val="16"/>
                <w:szCs w:val="16"/>
                <w:color w:val="auto"/>
              </w:rPr>
            </w:pPr>
          </w:p>
        </w:tc>
        <w:tc>
          <w:tcPr>
            <w:tcW w:w="10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7"/>
              </w:rPr>
              <w:t>Partnership</w:t>
            </w:r>
          </w:p>
        </w:tc>
        <w:tc>
          <w:tcPr>
            <w:tcW w:w="260" w:type="dxa"/>
            <w:vAlign w:val="bottom"/>
          </w:tcPr>
          <w:p>
            <w:pPr>
              <w:spacing w:after="0"/>
              <w:rPr>
                <w:sz w:val="16"/>
                <w:szCs w:val="16"/>
                <w:color w:val="auto"/>
              </w:rPr>
            </w:pPr>
          </w:p>
        </w:tc>
        <w:tc>
          <w:tcPr>
            <w:tcW w:w="9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2024</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274,422,549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w:t>
            </w: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6,209,827</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(1,944,009)</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376,962</w:t>
            </w: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4,645,524</w:t>
            </w:r>
          </w:p>
        </w:tc>
        <w:tc>
          <w:tcPr>
            <w:tcW w:w="0" w:type="dxa"/>
            <w:vAlign w:val="bottom"/>
          </w:tcPr>
          <w:p>
            <w:pPr>
              <w:spacing w:after="0"/>
              <w:rPr>
                <w:sz w:val="1"/>
                <w:szCs w:val="1"/>
                <w:color w:val="auto"/>
              </w:rPr>
            </w:pPr>
          </w:p>
        </w:tc>
      </w:tr>
      <w:tr>
        <w:trPr>
          <w:trHeight w:val="180"/>
        </w:trPr>
        <w:tc>
          <w:tcPr>
            <w:tcW w:w="2740" w:type="dxa"/>
            <w:vAlign w:val="bottom"/>
          </w:tcPr>
          <w:p>
            <w:pPr>
              <w:ind w:left="160"/>
              <w:spacing w:after="0" w:line="181" w:lineRule="exact"/>
              <w:rPr>
                <w:sz w:val="20"/>
                <w:szCs w:val="20"/>
                <w:color w:val="auto"/>
              </w:rPr>
            </w:pPr>
            <w:r>
              <w:rPr>
                <w:rFonts w:ascii="Times New Roman" w:cs="Times New Roman" w:eastAsia="Times New Roman" w:hAnsi="Times New Roman"/>
                <w:sz w:val="17"/>
                <w:szCs w:val="17"/>
                <w:color w:val="auto"/>
              </w:rPr>
              <w:t>Restricted stock and LTIP unit</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activity</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410,450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(9,478)</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3,526</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(5,948)</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7"/>
                <w:szCs w:val="17"/>
                <w:color w:val="auto"/>
              </w:rPr>
              <w:t>Dividends paid ($0.76 per common</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(209,061)</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(209,061)</w:t>
            </w:r>
          </w:p>
        </w:tc>
        <w:tc>
          <w:tcPr>
            <w:tcW w:w="0" w:type="dxa"/>
            <w:vAlign w:val="bottom"/>
          </w:tcPr>
          <w:p>
            <w:pPr>
              <w:spacing w:after="0"/>
              <w:rPr>
                <w:sz w:val="1"/>
                <w:szCs w:val="1"/>
                <w:color w:val="auto"/>
              </w:rPr>
            </w:pPr>
          </w:p>
        </w:tc>
      </w:tr>
      <w:tr>
        <w:trPr>
          <w:trHeight w:val="180"/>
        </w:trPr>
        <w:tc>
          <w:tcPr>
            <w:tcW w:w="2740" w:type="dxa"/>
            <w:vAlign w:val="bottom"/>
          </w:tcPr>
          <w:p>
            <w:pPr>
              <w:ind w:left="160"/>
              <w:spacing w:after="0" w:line="181" w:lineRule="exact"/>
              <w:rPr>
                <w:sz w:val="20"/>
                <w:szCs w:val="20"/>
                <w:color w:val="auto"/>
              </w:rPr>
            </w:pPr>
            <w:r>
              <w:rPr>
                <w:rFonts w:ascii="Times New Roman" w:cs="Times New Roman" w:eastAsia="Times New Roman" w:hAnsi="Times New Roman"/>
                <w:sz w:val="17"/>
                <w:szCs w:val="17"/>
                <w:color w:val="auto"/>
              </w:rPr>
              <w:t>Distributions to noncontrolling</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(6,341)</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(6,341)</w:t>
            </w: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income</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165,184</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5,170</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170,354</w:t>
            </w:r>
          </w:p>
        </w:tc>
        <w:tc>
          <w:tcPr>
            <w:tcW w:w="0" w:type="dxa"/>
            <w:vAlign w:val="bottom"/>
          </w:tcPr>
          <w:p>
            <w:pPr>
              <w:spacing w:after="0"/>
              <w:rPr>
                <w:sz w:val="1"/>
                <w:szCs w:val="1"/>
                <w:color w:val="auto"/>
              </w:rPr>
            </w:pPr>
          </w:p>
        </w:tc>
      </w:tr>
      <w:tr>
        <w:trPr>
          <w:trHeight w:val="225"/>
        </w:trPr>
        <w:tc>
          <w:tcPr>
            <w:tcW w:w="2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March 31, 2025</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274,832,999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2,748</w:t>
            </w: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6,200,349</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(1,987,886)</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379,317</w:t>
            </w: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4,594,528</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740" w:type="dxa"/>
            <w:vAlign w:val="bottom"/>
            <w:shd w:val="clear" w:color="auto" w:fill="CCEEFF"/>
          </w:tcPr>
          <w:p>
            <w:pPr>
              <w:ind w:left="160"/>
              <w:spacing w:after="0" w:line="146" w:lineRule="exact"/>
              <w:rPr>
                <w:sz w:val="20"/>
                <w:szCs w:val="20"/>
                <w:color w:val="auto"/>
              </w:rPr>
            </w:pPr>
            <w:r>
              <w:rPr>
                <w:rFonts w:ascii="Times New Roman" w:cs="Times New Roman" w:eastAsia="Times New Roman" w:hAnsi="Times New Roman"/>
                <w:sz w:val="16"/>
                <w:szCs w:val="16"/>
                <w:color w:val="auto"/>
              </w:rPr>
              <w:t>Issuance of common stock, net of</w:t>
            </w: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8,170,387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402,956</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403,038</w:t>
            </w:r>
          </w:p>
        </w:tc>
        <w:tc>
          <w:tcPr>
            <w:tcW w:w="0" w:type="dxa"/>
            <w:vAlign w:val="bottom"/>
          </w:tcPr>
          <w:p>
            <w:pPr>
              <w:spacing w:after="0"/>
              <w:rPr>
                <w:sz w:val="1"/>
                <w:szCs w:val="1"/>
                <w:color w:val="auto"/>
              </w:rPr>
            </w:pPr>
          </w:p>
        </w:tc>
      </w:tr>
      <w:tr>
        <w:trPr>
          <w:trHeight w:val="180"/>
        </w:trPr>
        <w:tc>
          <w:tcPr>
            <w:tcW w:w="2740" w:type="dxa"/>
            <w:vAlign w:val="bottom"/>
          </w:tcPr>
          <w:p>
            <w:pPr>
              <w:ind w:left="160"/>
              <w:spacing w:after="0" w:line="181" w:lineRule="exact"/>
              <w:rPr>
                <w:sz w:val="20"/>
                <w:szCs w:val="20"/>
                <w:color w:val="auto"/>
              </w:rPr>
            </w:pPr>
            <w:r>
              <w:rPr>
                <w:rFonts w:ascii="Times New Roman" w:cs="Times New Roman" w:eastAsia="Times New Roman" w:hAnsi="Times New Roman"/>
                <w:sz w:val="17"/>
                <w:szCs w:val="17"/>
                <w:color w:val="auto"/>
              </w:rPr>
              <w:t>Restricted stock and LTIP unit</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activity</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5,286</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6,156</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7"/>
                <w:szCs w:val="17"/>
                <w:color w:val="auto"/>
              </w:rPr>
              <w:t>Dividends paid ($0.78 per common</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(220,933)</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(220,933)</w:t>
            </w:r>
          </w:p>
        </w:tc>
        <w:tc>
          <w:tcPr>
            <w:tcW w:w="0" w:type="dxa"/>
            <w:vAlign w:val="bottom"/>
          </w:tcPr>
          <w:p>
            <w:pPr>
              <w:spacing w:after="0"/>
              <w:rPr>
                <w:sz w:val="1"/>
                <w:szCs w:val="1"/>
                <w:color w:val="auto"/>
              </w:rPr>
            </w:pPr>
          </w:p>
        </w:tc>
      </w:tr>
      <w:tr>
        <w:trPr>
          <w:trHeight w:val="232"/>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Gain on cash flow hedges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7"/>
                <w:szCs w:val="17"/>
                <w:color w:val="auto"/>
              </w:rPr>
              <w:t>Distributions to noncontrolling</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(6,508)</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(6,508)</w:t>
            </w:r>
          </w:p>
        </w:tc>
        <w:tc>
          <w:tcPr>
            <w:tcW w:w="0" w:type="dxa"/>
            <w:vAlign w:val="bottom"/>
          </w:tcPr>
          <w:p>
            <w:pPr>
              <w:spacing w:after="0"/>
              <w:rPr>
                <w:sz w:val="1"/>
                <w:szCs w:val="1"/>
                <w:color w:val="auto"/>
              </w:rPr>
            </w:pPr>
          </w:p>
        </w:tc>
      </w:tr>
      <w:tr>
        <w:trPr>
          <w:trHeight w:val="232"/>
        </w:trPr>
        <w:tc>
          <w:tcPr>
            <w:tcW w:w="2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income</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151,439</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4,726</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156,165</w:t>
            </w: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June 30, 2025</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283,007,539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2,830</w:t>
            </w: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6,608,591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(2,057,380)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378,432</w:t>
            </w: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4,933,310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160"/>
              <w:spacing w:after="0" w:line="167" w:lineRule="exact"/>
              <w:rPr>
                <w:sz w:val="20"/>
                <w:szCs w:val="20"/>
                <w:color w:val="auto"/>
              </w:rPr>
            </w:pPr>
            <w:r>
              <w:rPr>
                <w:rFonts w:ascii="Times New Roman" w:cs="Times New Roman" w:eastAsia="Times New Roman" w:hAnsi="Times New Roman"/>
                <w:sz w:val="17"/>
                <w:szCs w:val="17"/>
                <w:color w:val="auto"/>
              </w:rPr>
              <w:t>Issuance of common stock, net of</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74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7"/>
                <w:szCs w:val="17"/>
                <w:color w:val="auto"/>
              </w:rPr>
              <w:t>Restricted stock and LTIP unit</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activity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0" w:type="dxa"/>
            <w:vAlign w:val="bottom"/>
          </w:tcPr>
          <w:p>
            <w:pPr>
              <w:spacing w:after="0"/>
              <w:rPr>
                <w:sz w:val="1"/>
                <w:szCs w:val="1"/>
                <w:color w:val="auto"/>
              </w:rPr>
            </w:pPr>
          </w:p>
        </w:tc>
      </w:tr>
      <w:tr>
        <w:trPr>
          <w:trHeight w:val="180"/>
        </w:trPr>
        <w:tc>
          <w:tcPr>
            <w:tcW w:w="2740" w:type="dxa"/>
            <w:vAlign w:val="bottom"/>
          </w:tcPr>
          <w:p>
            <w:pPr>
              <w:ind w:left="160"/>
              <w:spacing w:after="0" w:line="181" w:lineRule="exact"/>
              <w:rPr>
                <w:sz w:val="20"/>
                <w:szCs w:val="20"/>
                <w:color w:val="auto"/>
              </w:rPr>
            </w:pPr>
            <w:r>
              <w:rPr>
                <w:rFonts w:ascii="Times New Roman" w:cs="Times New Roman" w:eastAsia="Times New Roman" w:hAnsi="Times New Roman"/>
                <w:sz w:val="17"/>
                <w:szCs w:val="17"/>
                <w:color w:val="auto"/>
              </w:rPr>
              <w:t>Dividends paid ($0.78 per common</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(220,940)</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(220,940)</w:t>
            </w: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Gain on cash flow hedges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180"/>
        </w:trPr>
        <w:tc>
          <w:tcPr>
            <w:tcW w:w="2740" w:type="dxa"/>
            <w:vAlign w:val="bottom"/>
          </w:tcPr>
          <w:p>
            <w:pPr>
              <w:ind w:left="160"/>
              <w:spacing w:after="0" w:line="181" w:lineRule="exact"/>
              <w:rPr>
                <w:sz w:val="20"/>
                <w:szCs w:val="20"/>
                <w:color w:val="auto"/>
              </w:rPr>
            </w:pPr>
            <w:r>
              <w:rPr>
                <w:rFonts w:ascii="Times New Roman" w:cs="Times New Roman" w:eastAsia="Times New Roman" w:hAnsi="Times New Roman"/>
                <w:sz w:val="17"/>
                <w:szCs w:val="17"/>
                <w:color w:val="auto"/>
              </w:rPr>
              <w:t>Reclassification of derivative gain</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74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on cash flow hedges to interest</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7"/>
                <w:szCs w:val="17"/>
                <w:color w:val="auto"/>
              </w:rPr>
              <w:t>Distributions to noncontrolling</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(6,492)</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(6,492)</w:t>
            </w:r>
          </w:p>
        </w:tc>
        <w:tc>
          <w:tcPr>
            <w:tcW w:w="0" w:type="dxa"/>
            <w:vAlign w:val="bottom"/>
          </w:tcPr>
          <w:p>
            <w:pPr>
              <w:spacing w:after="0"/>
              <w:rPr>
                <w:sz w:val="1"/>
                <w:szCs w:val="1"/>
                <w:color w:val="auto"/>
              </w:rPr>
            </w:pPr>
          </w:p>
        </w:tc>
      </w:tr>
      <w:tr>
        <w:trPr>
          <w:trHeight w:val="232"/>
        </w:trPr>
        <w:tc>
          <w:tcPr>
            <w:tcW w:w="27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Net income</w:t>
            </w:r>
          </w:p>
        </w:tc>
        <w:tc>
          <w:tcPr>
            <w:tcW w:w="12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241,191</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7,290</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248,481</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September 30, 2025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283,008,342</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2,830</w:t>
            </w: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6,609,678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(2,037,129)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379,545</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4,955,851</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320" w:top="127"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unaudited)</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4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8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5"/>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2"/>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688,175</w:t>
            </w:r>
          </w:p>
        </w:tc>
        <w:tc>
          <w:tcPr>
            <w:tcW w:w="10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575,000</w:t>
            </w:r>
          </w:p>
        </w:tc>
      </w:tr>
      <w:tr>
        <w:trPr>
          <w:trHeight w:val="232"/>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2"/>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213,725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214,530</w:t>
            </w:r>
          </w:p>
        </w:tc>
      </w:tr>
      <w:tr>
        <w:trPr>
          <w:trHeight w:val="232"/>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Amortization of items charged to interest expense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9,884</w:t>
            </w:r>
          </w:p>
        </w:tc>
      </w:tr>
      <w:tr>
        <w:trPr>
          <w:trHeight w:val="232"/>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Amortization of gain on cash flow hedges and loan discounts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32"/>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Accretion on investment in leases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(22,113)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(20,753)</w:t>
            </w:r>
          </w:p>
        </w:tc>
      </w:tr>
      <w:tr>
        <w:trPr>
          <w:trHeight w:val="232"/>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Accretion on held to maturity investment securities</w:t>
            </w:r>
          </w:p>
        </w:tc>
        <w:tc>
          <w:tcPr>
            <w:tcW w:w="3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10,837</w:t>
            </w:r>
          </w:p>
        </w:tc>
      </w:tr>
      <w:tr>
        <w:trPr>
          <w:trHeight w:val="232"/>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Non-cash adjustment to financing lease liabilities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r>
      <w:tr>
        <w:trPr>
          <w:trHeight w:val="232"/>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Losses (gains) from dispositions of property</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32"/>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17,443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16,565</w:t>
            </w:r>
          </w:p>
        </w:tc>
      </w:tr>
      <w:tr>
        <w:trPr>
          <w:trHeight w:val="232"/>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Straight-line rent and deferred rent adjustments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(20,235)</w:t>
            </w:r>
          </w:p>
        </w:tc>
      </w:tr>
      <w:tr>
        <w:trPr>
          <w:trHeight w:val="232"/>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Losses on debt extinguishment</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3,783</w:t>
            </w:r>
          </w:p>
        </w:tc>
      </w:tr>
      <w:tr>
        <w:trPr>
          <w:trHeight w:val="232"/>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Provision (benefit) for credit losses, net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55,611</w:t>
            </w:r>
          </w:p>
        </w:tc>
      </w:tr>
      <w:tr>
        <w:trPr>
          <w:trHeight w:val="232"/>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Proceeds from swap termination</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w:t>
            </w:r>
          </w:p>
        </w:tc>
      </w:tr>
      <w:tr>
        <w:trPr>
          <w:trHeight w:val="232"/>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2"/>
        </w:trPr>
        <w:tc>
          <w:tcPr>
            <w:tcW w:w="8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Other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(17,401)</w:t>
            </w:r>
          </w:p>
        </w:tc>
      </w:tr>
      <w:tr>
        <w:trPr>
          <w:trHeight w:val="232"/>
        </w:trPr>
        <w:tc>
          <w:tcPr>
            <w:tcW w:w="82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1,146</w:t>
            </w:r>
          </w:p>
        </w:tc>
      </w:tr>
      <w:tr>
        <w:trPr>
          <w:trHeight w:val="232"/>
        </w:trPr>
        <w:tc>
          <w:tcPr>
            <w:tcW w:w="8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Accrued interest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(32,243)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(50,729)</w:t>
            </w:r>
          </w:p>
        </w:tc>
      </w:tr>
      <w:tr>
        <w:trPr>
          <w:trHeight w:val="232"/>
        </w:trPr>
        <w:tc>
          <w:tcPr>
            <w:tcW w:w="82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Accrued salaries and wages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1,292</w:t>
            </w:r>
          </w:p>
        </w:tc>
      </w:tr>
      <w:tr>
        <w:trPr>
          <w:trHeight w:val="232"/>
        </w:trPr>
        <w:tc>
          <w:tcPr>
            <w:tcW w:w="8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Other liabilities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2,506</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5,493</w:t>
            </w:r>
          </w:p>
        </w:tc>
      </w:tr>
      <w:tr>
        <w:trPr>
          <w:trHeight w:val="225"/>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899,526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786,173</w:t>
            </w:r>
          </w:p>
        </w:tc>
      </w:tr>
      <w:tr>
        <w:trPr>
          <w:trHeight w:val="212"/>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2"/>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Capital project and maintenance expenditures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(472,552)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(57,451)</w:t>
            </w:r>
          </w:p>
        </w:tc>
      </w:tr>
      <w:tr>
        <w:trPr>
          <w:trHeight w:val="232"/>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sales of property, net of costs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32"/>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Expenditures for property and equipment, net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Acquisition of real estate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(904,295)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(135,000)</w:t>
            </w:r>
          </w:p>
        </w:tc>
      </w:tr>
      <w:tr>
        <w:trPr>
          <w:trHeight w:val="232"/>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Originations of real estate loans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(90,997)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(24,186)</w:t>
            </w:r>
          </w:p>
        </w:tc>
      </w:tr>
      <w:tr>
        <w:trPr>
          <w:trHeight w:val="232"/>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Principal repayments on real estate loans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16,456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8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Maturities of held to maturity investment securities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549,995</w:t>
            </w:r>
          </w:p>
        </w:tc>
      </w:tr>
      <w:tr>
        <w:trPr>
          <w:trHeight w:val="225"/>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(1,448,899)</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333,483</w:t>
            </w:r>
          </w:p>
        </w:tc>
      </w:tr>
      <w:tr>
        <w:trPr>
          <w:trHeight w:val="212"/>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2"/>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Dividends paid</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(698,412)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(650,934)</w:t>
            </w:r>
          </w:p>
        </w:tc>
      </w:tr>
      <w:tr>
        <w:trPr>
          <w:trHeight w:val="232"/>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Noncontrolling interest distributions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(19,341)</w:t>
            </w:r>
          </w:p>
        </w:tc>
      </w:tr>
      <w:tr>
        <w:trPr>
          <w:trHeight w:val="232"/>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Taxes paid related to shares withheld for tax purposes on restricted stock award vestings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(14,821)</w:t>
            </w:r>
          </w:p>
        </w:tc>
      </w:tr>
      <w:tr>
        <w:trPr>
          <w:trHeight w:val="232"/>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Proceeds from issuance of common stock, net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350,751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402,902</w:t>
            </w:r>
          </w:p>
        </w:tc>
      </w:tr>
      <w:tr>
        <w:trPr>
          <w:trHeight w:val="232"/>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issuance of long-term debt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2,156,856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1,292,161</w:t>
            </w:r>
          </w:p>
        </w:tc>
      </w:tr>
      <w:tr>
        <w:trPr>
          <w:trHeight w:val="232"/>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Financing costs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(12,441)</w:t>
            </w:r>
          </w:p>
        </w:tc>
      </w:tr>
      <w:tr>
        <w:trPr>
          <w:trHeight w:val="232"/>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(1,281,633)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(1,825,152)</w:t>
            </w:r>
          </w:p>
        </w:tc>
      </w:tr>
      <w:tr>
        <w:trPr>
          <w:trHeight w:val="232"/>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Premium and related costs paid on debt extinguishment</w:t>
            </w:r>
          </w:p>
        </w:tc>
        <w:tc>
          <w:tcPr>
            <w:tcW w:w="3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(2,947)</w:t>
            </w:r>
          </w:p>
        </w:tc>
      </w:tr>
      <w:tr>
        <w:trPr>
          <w:trHeight w:val="225"/>
        </w:trPr>
        <w:tc>
          <w:tcPr>
            <w:tcW w:w="8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490,811</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(830,573)</w:t>
            </w:r>
          </w:p>
        </w:tc>
      </w:tr>
      <w:tr>
        <w:trPr>
          <w:trHeight w:val="225"/>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(decrease) in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289,083</w:t>
            </w:r>
          </w:p>
        </w:tc>
      </w:tr>
      <w:tr>
        <w:trPr>
          <w:trHeight w:val="232"/>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224,314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462,632</w:t>
            </w:r>
          </w:p>
        </w:tc>
      </w:tr>
      <w:tr>
        <w:trPr>
          <w:trHeight w:val="225"/>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165,752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751,715</w:t>
            </w: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and Note 14 for supplemental cash flow information and noncash investing and financing activities.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Gaming and Leisure Properties,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2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1.</w:t>
        <w:tab/>
        <w:t>Business and Operations</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Gaming and Leisure Properties, Inc. ("GLPI") is a self-administered and self-managed Pennsylvania real estate investment trust ("REIT"). GLPI (together with its subsidiaries, the "Company") was incorporated as a wholly-owned subsidiary of PENN Entertainment, Inc., formerly known as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and then spun-off GLPI to holders of PENN's common and preferred stock in a tax-free distribution (the "Spin-Off").</w:t>
      </w:r>
    </w:p>
    <w:p>
      <w:pPr>
        <w:spacing w:after="0" w:line="200" w:lineRule="exact"/>
        <w:rPr>
          <w:sz w:val="20"/>
          <w:szCs w:val="20"/>
          <w:color w:val="auto"/>
        </w:rPr>
      </w:pPr>
    </w:p>
    <w:p>
      <w:pPr>
        <w:spacing w:after="0" w:line="211"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Since 2021, the Company has been structured as an umbrella partnership REIT under which substantially all of its business is conducted through GLP Capital, L.P. ("GLP Capital"), the day-to-day management of which is exclusively controlled by GLPI. GLPI has no material assets other than its investment in GLP Capital. GLPI issues equity from time to time and is obligated to contribute the net proceeds from those offerings to GLP Capital. As of September 30, 2026, GLPI owned approximately 96.9% of the outstanding units of GLP Capital with the remaining 3.1% owned by third-party limited partners who (directly or through affiliates) contributed properties to GLP Capital in exchange for consideration that was partially funded through the issuance of operating partnership units ("OP Units") and holders of long-term incentive plan units ("LTIP Units"). The OP Units and LTIP Units once vested are redeemable for cash or, at the Company's option, shares of common stock of the Company on a one-for-one basis. The Company's common stock is listed on the NASDAQ under the ticker symbol GLPI.</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All debt of the Company, including revolving credit facilities, term loans and senior unsecured notes, is incurred by GLP Capital and its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GLPI has fully and unconditionally guaranteed all of the Company's outstanding senior unsecured notes.</w:t>
      </w:r>
    </w:p>
    <w:p>
      <w:pPr>
        <w:spacing w:after="0" w:line="213"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The Company seeks to provide an opportunity to invest in the growth opportunities afforded by the gaming industry, with the stability and cash flow opportunities of a REIT. GLPI’s primary business consists of acquiring, financing, and owning real estate property to be leased to gaming operators in triple-net lease arrangements. Under these arrangements,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 The Company also extends loans that produce fixed or variable returns which may convert into leased rent upon project completion or stabilization.</w:t>
      </w:r>
    </w:p>
    <w:p>
      <w:pPr>
        <w:spacing w:after="0" w:line="197"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As of September 30, 2026, GLPI’s portfolio consisted of interests in 71 gaming and related facilities, including the real property associated with 34 gaming and related facilities operated by PENN, the real property associated with 6 gaming and related facilities operated by Caesars Entertainment, Inc. (NASDAQ: CZR) ("Caesars"), the real property associated with 4 gaming and related facilities operated by Boyd Gaming Corporation (NYSE: BYD) ("Boyd"), the real property associated with 16 gaming and related facilities operated by Bally's Corporation (NYSE: BALY) ("Bally's") and 2 facilities under development; one for Bally's in Chicago, Illinois, and the other for The Cordish Companies ("Cordish") and Bruce Smith Enterprise in Petersburg, Virginia, the real property associated with 3 gaming and related facilities operated by Cordish, 1 gaming facility managed by a subsidiary of Hard Rock International ("Hard Rock"), 4 gaming and related facilities operated by Strategic Gaming Management, LLC ("Strategic") and 1 gaming and related facility operated by American Racing &amp; Entertainment ("American Racing").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PENN 2023 Master Lease and Amended PENN Master Lease</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January 1, 2023, the Company amended its original master lease with PENN (the "Amended PENN Master Lease") to remove 5 properties from it and created a new master lease (the "PENN 2023 Master Lease"). In addition, the existing leases for the Hollywood Casino at The Meadows in Pennsylvania and the Hollywood Casino Perryville in Maryland were terminated and these properties were transferred into the PENN 2023 Master Lease. Both the Amended PENN Master Lease and the PENN 2023 Master Lease are triple-net operating leases, the terms of which expire on October 31, 2033, with no purchase options, followed by three remaining 5-year renewal options (exercisable by the tenant) on the same terms and conditions.</w:t>
      </w:r>
    </w:p>
    <w:p>
      <w:pPr>
        <w:spacing w:after="0" w:line="2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Rent under the PENN 2023 Master Lease is fixed with annual escalations on the entirety of rent increasing by 1.5% annually on November 1. In addition to the fixed escalations, a one-time annualized increase of $1.4 million is scheduled to occur on November 1, 2027. The rent structure under the Amended PENN Master Lease includes a fixed component, a portion of which is subject to an annual 2% escalator if certain rent coverage ratio thresholds are met, and a component that is based on the revenues of the facilities, which is prospectively adjusted, subject to certain floors (namely the Hollywood Casino at Penn National Race Course property due to PENN's opening of a competing facility) every 5 years to an amount equal to 4% of the average net revenues of all facilities under the Amended PENN Master Lease during the preceding five years in excess of a contractual baseline.</w:t>
      </w:r>
    </w:p>
    <w:p>
      <w:pPr>
        <w:spacing w:after="0" w:line="10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GLPI also agreed to fund certain potential development projects in the PENN 2023 Master Lease. On August 1, 2025, GLPI funded $130 million for the relocation of Hollywood Casino Joliet, which opened on August 11, 2025, and is subject to a 7.75% capitalization rate. The Company also previously funded $5 million to reimburse PENN for land site development costs for the Joliet project. On November 3, 2025, GLPI funded $150 million for PENN's M Resort new hotel tower and conference center expansion, which opened to the public on December 1, 2025, at a capitalization rate of 7.79%. Finally, on June 24, 2026, the Company funded $216.3 million to complete the $225 million commitment for PENN's Aurora landside development project at a 7.75% capitalization rate. Rent for each project began accruing as the related funding was advanced and each commitment has now been completed.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Amended Pinnacle Master Lease, Boyd Master Lease and Belterra Park Lease</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April 2016, the Company acquired substantially all of the real estate assets of Pinnacle Entertainment, Inc. ("Pinnacle") and leased these assets back to a subsidiary of Pinnacle, under a unitary triple-net lease, the term of which expires April 30, 2031, with no purchase option, followed by four remaining 5-year renewal options (exercisable by the tenant) on the same terms and conditions (the "Pinnacle Master Lease"). The Pinnacle Master Lease includes a fixed component, a portion of which is subject to an annual escalator of up to 2% if certain rent coverage ratio thresholds are met and a component that is based on the performance of the facilities, which is prospectively adjusted subject to certain floors (namely the Bossier City Boomtown property due to PENN's acquisition of a competing facility), every two years to an amount equal to 4% of the average net revenues of all facilities under the Pinnacle Master Lease during the preceding two years in excess of a contractual baseline.</w:t>
      </w:r>
    </w:p>
    <w:p>
      <w:pPr>
        <w:spacing w:after="0" w:line="20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On October 15, 2018, the Company completed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expires April 30, 2031, with no purchase option, followed by four 5-year renewal options (exercisable by the tenant) on the same terms and conditions. The Boyd Master Lease includes a fixed component, a portion of which is subject to an annual 2% escalator if certain rent coverage ratio thresholds are met and a component that is based on the performance of the facilities, which is prospectively adjusted every two years to an amount equal to 4% of the average net revenues of all facilities under the Boyd Master Lease during the preceding two years in excess of a contractual baseline.</w:t>
      </w:r>
    </w:p>
    <w:p>
      <w:pPr>
        <w:spacing w:after="0" w:line="2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also purchased the real estate assets of Plainridge Park Casino ("Plainridge Park") from PENN and added this property to the Amended Pinnacle Master Lease. The Amended Pinnacle Master Lease was assumed by PENN at the consummation of the PENN-Pinnacle Merger.</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 Park</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Loan, subject to a long-term lease (the "Belterra Park Lease") with a Boyd affiliate operating the property. The Belterra Park Lease rent terms are consistent with the Boyd Master Lease and expires on April 30, 2031, with no purchase option, followed by four, 5-year renewal options (exercisable by the tenant) on the same terms and conditions.</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April 2025, PENN announced its landside relocation development project for its Ameristar Council Bluffs riverboat casino, for which GLPI has committed up to $150 million or the hard costs associated with the project, whichever is greater, at a 7.10% cap rate, which can be structured, at the discretion of PENN, as rent, or a 5-year term loan.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Amended and Restated Caesars Master Lease</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October 1, 2018, the Company entered into a master lease with Caesars, which expires on September 30, 2038, with no purchase option, with four separate renewal options of 5 years each, exercisable at the tenant's option, on the same terms and conditions (as amended, the "Amended and Restated Caesars Master Lease"). The annual rent increases by 1.75% in the seventh and eighth lease years and 2% in the ninth lease year and each lease year thereafter.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Horseshoe St. Louis Lease</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has a single property lease with Caesars for the real estate assets of Horseshoe St. Louis (the "Horseshoe St. Louis Lease") which became effective on September 29, 2020, with no purchase option, whose initial term expires on October 31, 2033, with four separate renewal options of five years each, exercisable at the tenant's option. The Horseshoe St. Louis Lease annual rent increases by 1.25% for the second through fifth lease years, increasing to 1.75% for the sixth and seventh lease years and thereafter increasing by 2.0% for the remainder of the lease.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Bally's Master Lease, Bally's Chicago Lease, Bally's Master Lease II, the Casino Queen Master Lease and the Tropicana Las Vegas Lease</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has several leases and development agreements with Bally's. The Bally's Master Lease was entered into on June 3, 2021 and subsequent to this date several additional real estate assets of Bally's were added to it (the "Bally's Master Lease"). The annual rent on the Bally's Master Lease is subject to contractual escalations based on the Consumer Price Index ("CPI") with a 1% floor and a 2% ceiling, subject to the CPI meeting a 0.5% threshold. The Bally's Master Lease has an initial term of 15 years, with no purchase option, followed by four 5-year renewal options (exercisable by the tenant) on the same terms and conditions.</w:t>
      </w:r>
    </w:p>
    <w:p>
      <w:pPr>
        <w:spacing w:after="0" w:line="200"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On September 11, 2024, the Company acquired the real estate subject to the ground lease for the Bally's Chicago Casino Resort-Downtown ("Bally's Chicago") project for approximately $250 million. The ground lease was amended in connection with the acquisition such that the Company receives initial annual rent of $20 million. In July 2025, the Company entered into a development agreement for Bally's Chicago and amended the existing ground lease to include the building (the "Bally's Chicago Lease"). The Bally's Chicago Lease has an initial term of 15 years, followed by four 5-year renewals, exercisable at the tenant's option. The Bally's Chicago Lease's annual rent increases 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19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During the third quarter of 2026, Bally’s announced that it was resetting the pace and sequencing of certain non-gaming elements of the Bally’s Chicago development in connection with the decision by the Chicago City Council to legalize the operation of video gaming terminals in the City of Chicago (the "City"), which Bally’s has stated are inconsistent with certain provisions of its Host Community Agreement with the City. Bally’s has subsequently stated that construction of the permanent casino continues and that the initial opening of the permanent casino remains targeted for early 2027.</w:t>
      </w:r>
    </w:p>
    <w:p>
      <w:pPr>
        <w:spacing w:after="0" w:line="204"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7"/>
          <w:szCs w:val="17"/>
          <w:color w:val="auto"/>
        </w:rPr>
        <w:t>The Company intends to fund real estate construction costs of up to $940.0 million for the Bally's Chicago development. This development funding is expected to extend into 2027. The Company owns all funded improvements, which are leased to Bally’s with rent commencing as advances are made at an initial annual yield of 8.5%. As of September 30, 2026, $640.7 million of real estate construction costs have been funded by the Company. Rental income on the land and development funding is being deferred until the project is substantially completed and ready for its intended use. This amount is recorded in deferred rental revenue on the Company's Condensed Consolidated Balance Sheet and totaled $70.5 million and $28.7 million as of September 30, 2026 and December 31, 2025, respectively.</w:t>
      </w:r>
    </w:p>
    <w:p>
      <w:pPr>
        <w:spacing w:after="0" w:line="21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December 16, 2024, the Company completed the purchase of the real property assets of both Bally’s Kansas City Casino and Bally’s Shreveport Casino &amp; Hotel. The two properties are in a new master lease that is cross-defaulted with the existing Bally’s Master Lease (the "Bally's Master Lease II"). The annual rent is subject to contractual escalations based on CPI</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with a 1% floor and a 2% ceiling, subject to CPI meeting a 0.5% threshold. Bally's Master Lease II has an initial term of 15 years, with no purchase option, followed by four 5-year renewal options (exercisable by the tenant) on the same terms and conditions. Effective July 1, 2025, the DraftKings at Casino Queen and The Queen Baton Rouge properties in the Casino Queen Master Lease were transferred to Bally's Master Lease II. Additionally, annual rental income of $28.9 million was reallocated from the Casino Queen Master Lease to Bally's Master Lease II. Finally, on February 11, 2026, the Company exercised its call right for Bally's Twin River Casino Resort ("Bally's Lincoln"), acquiring the real estate assets for a purchase price of $700 million and additional annual rent of $56 million and adding the property to Bally's Master Lease II.</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On February 7, 2025, Bally's completed its merger transactions with Standard General L.P. and its affiliates, and pursuant to the terms of the merger agreement, The Queen Casino &amp; Entertainment ("Casino Queen") is now a subsidiary of Bally's.</w:t>
      </w:r>
    </w:p>
    <w:p>
      <w:pPr>
        <w:spacing w:after="0" w:line="164"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The Company has a master lease with Casino Queen which became effective December 17, 2021 (as amended, the "Casino Queen Master Lease"). The lease has an initial term of 15 years, with no purchase option, with four separate five year renewal options exercisable by the tenant on the same terms and conditions. Annual rent increases by 0.5% for the first six years. Beginning with the seventh lease year through the remainder of the lease term, if the CPI increases by at least 0.25% for any lease year then annual rent shall be increased by 1.25%, and if the CPI is less than 0.25% then rent will remain unchanged for such lease year. Effective July 1, 2025, the DraftKings at Casino Queen and The Queen Baton Rouge properties in the Casino Queen Master Lease were transferred to Bally's Master Lease II, as previously discussed.</w:t>
      </w:r>
    </w:p>
    <w:p>
      <w:pPr>
        <w:spacing w:after="0" w:line="21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June 3, 2024, the Company announced that it agreed to fund and oversee a landside development project and hotel renovation of The Belle of Baton Rouge for Casino Queen. GLPI funded approximately $111 million for the projects. The renovated hotel was opened to the public on March 31, 2025. Casino Queen began paying an incremental rental yield of 9% on the development funding effective May 30, 2025. The landside development project was completed and opened to the public in December 2025 and has been rebranded as Bally's Baton Rouge.</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also funded $16.5 million of construction costs for a landside development project at Casino Queen Marquette at an 8.25% capitalization rate. The project was completed and opened to the public in March 2026, at which time the property was rebranded as Bally's Marquette.</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On April 16, 2020, the Company and certain of its subsidiaries acquired the real property associated with the Tropicana Las Vegas from PENN in exchange for $307.5 million of rent credits which were applied against future rent obligations due under the parties' leases in effect during 2020.</w:t>
      </w:r>
    </w:p>
    <w:p>
      <w:pPr>
        <w:spacing w:after="0" w:line="17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September 26, 2022, Bally’s acquired both GLPI’s building assets and PENN's outstanding equity interests in Tropicana Las Vegas for an aggregate cash acquisition price, net of fees and expenses, of approximately $145 million. GLPI retained ownership of the land and concurrently entered into a ground lease for an initial term of 50 years (with a maximum term of 99 years inclusive of tenant renewal options) (as amended, the "Tropicana Las Vegas Lease"). All rent is subject to contractual escalations based on the CPI, with a 1% floor and 2% ceiling, subject to the CPI meeting a 0.5% threshold. The Tropicana Las Vegas Lease is supported by a Bally’s corporate guarantee.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On May 13, 2023, the Company, Tropicana Las Vegas, Inc., a Nevada corporation and wholly owned subsidiary of Bally’s, and Athletics Holdings LLC (“Athletics”), which owns the Major League Baseball team currently known as the Athletics (the “Team”), entered into a binding letter of intent (the “LOI”) setting forth the terms for developing a stadium that would serve as the home venue for the Team (the “Stadium”). The Stadium is expected to complement the potential resort redevelopment envisioned at our 35-acre property in Clark County, Nevada (the “Tropicana Site”), owned indirectly by GLPI through its indirect subsidiary, Tropicana Land LLC, a Nevada limited liability company and leased by GLPI to Bally’s pursuant to the Tropicana Las Vegas Lease. The LOI allows for Athletics to be granted fee ownership by GLPI of approximately 9 acres of the Tropicana Site for construction of the Stadium. The LOI provides that following the Stadium site transfer, there will be no reduction in the rent obligations of Bally’s on the remaining portion of the Tropicana Site or other modifications to the ground lease, and that to the extent GLPI has any consent or approval rights under the Tropicana Las Vegas Lease, such rights shall remain enforceable unless expressly modified in writing in the definitive documents. Bally's and GLPI are agreeing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GLPI is expected to commit to up to $175.0 million of funding for hard construction costs, such as demolition and site preparation and build out of minimum public spaces needed for utilization of the Stadium. The LOI provides that during the development period, rent will be due at 8.5% of what has been funded, provided that the first $15.0 million advanced for the costs of construction of the food, beverage and retail entrance plaza shall not be subject to increased rent. GLPI may have the opportunity to fund additional amounts of the construction under certain circumstances. In addition, the LOI provides that the transaction will be subject to customary approvals and other conditions, including, without limitation, approval of a master plan for the site, and certain approvals by the Nevada Gaming Control Board and Nevada Gaming Commission.</w:t>
      </w:r>
    </w:p>
    <w:p>
      <w:pPr>
        <w:spacing w:after="0" w:line="200" w:lineRule="exact"/>
        <w:rPr>
          <w:sz w:val="20"/>
          <w:szCs w:val="20"/>
          <w:color w:val="auto"/>
        </w:rPr>
      </w:pPr>
    </w:p>
    <w:p>
      <w:pPr>
        <w:spacing w:after="0" w:line="21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late August 2024, the Company funded $48.5 million to Bally's that was used to pay for the demolition costs of the Tropicana Las Vegas as part of the development plans for the Stadium and annual rent was increased by $4.1 million as a result. The change in rent terms resulted in a lease reconsideration event that resulted in the lease being classified as a sales-type lease, whereas previously it was accounted for as an operating lease.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Morgantown Lease</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October 1, 2020, the Company acquired the land under PENN's gaming facility under construction in Morgantown, Pennsylvania. The Company is leasing the land back to an affiliate of PENN for an initial term of 20 years with no purchase option, followed by six 5-year renewal options exercisable by the tenant (the "Morgantown Lease"). If the CPI increase is at least 0.5% for any lease year, the rent for such lease year shall increase by 1.25% of rent as of the immediately preceding lease year, and if the CPI increase is less than 0.5% for such lease year, then rent shall not increase for such lease year.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Maryland Live! Lease, Pennsylvania Live! Master Lease and Virginia Live!</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December 29, 2021, the Company completed its acquisition of the real property assets of Live! Casino &amp; Hotel Maryland and entered into a single asset lease for Live! Casino &amp; Hotel Maryland (the "Maryland Live! Lease"). On March 1, 2022, the Company completed its acquisition of the real estate assets of Live! Casino &amp; Hotel Philadelphia and Live! Casino Pittsburgh and leased back the real estate to Cordish pursuant to a new triple-net master lease with Cordish (as amended from time to time, the "Pennsylvania Live! Master Lease"). The Pennsylvania Live! Master Lease and the Maryland Live! Lease each have initial lease terms of 39 years, with a maximum term of 60 years inclusive of tenant renewal options. Annual rent increases by 1.75% upon the second anniversary of each lease's commencement through their remaining terms.</w:t>
      </w:r>
    </w:p>
    <w:p>
      <w:pPr>
        <w:spacing w:after="0" w:line="19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On October 27, 2025, the Company announced that it intends to acquire the real estate of the future site for Live! Casino &amp; Hotel Virginia, a Cordish Company / Bruce Smith Enterprise casino and hotel development in Petersburg, Virginia ("Virginia Live!"). In addition, GLPI committed to fund the hard costs associated with the development of the project. The cap rate on both the land acquisition of $27 million and the hard cost development funding of $440 million will be at 8.0%. The lease also includes a 1.75% rent escalator, which will commence after the first anniversary of the permanent casino opening, which is anticipated in late 2027. Through the construction of this large-scale development, GLPI will be compensated for the funding on an as drawn basis. The Company has concluded that the lessee has control of the underlying asset being constructed while the project is under construction. This is because the tenant is leasing the land that property improvements will be constructed upon, the term of which, together with lessee renewal options, is for substantially all of the economic life of the property improvements. Therefore, the Company will account for any funds extended prior to the asset being ready for its intended use as loans. Additionally, the Company concluded that this was a loan commitment and was therefore subject to ASC 326, "Financial Instruments-Credit Losses" ("ASC 326"). Once construction is complete and the facility is ready for its intended use, the Company will apply the sale and leaseback guidance to determine the appropriate lease classification. On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January 15, 2026, the Company funded approximately $27 million to acquire the land site for the project which was recorded in real estate loans, net and the annual payment of $2.16 million for the land funding is being recorded in interest income from real estate loans. As of September 30, 2026, $48.6 million of the total $467 million commitment has been funded.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Rockford Lease and Rockford Loan</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August 29, 2023, the Company acquired the land associated with a casino development project in Rockford, IL, that opened in late August 2024 and is managed by a subsidiary of Hard Rock, from an affiliate of 815 Entertainment, LLC ("815 Entertainment"). Simultaneously with the land acquisition, GLPI entered into a ground lease with 815 Entertainment for a 99-year term (the "Rockford Lease"). The initial annual rent is subject to 2% annual escalations for the entirety of its term.</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addition to the Rockford Lease, the Company committed to provide development funding pursuant to a senior secured delayed draw term loan (the "Rockford Loan") for $150 million. Borrowings under the Rockford Loan were subject to an interest rate of 10% with a 5-year initial term. On January 1, 2025, the Company amended the terms of the Rockford Loan to reduce the interest rate to 8% with a maturity date of June 30, 2026, subject to a 6-month extension. On June 30, 2026, the Company entered into a second amendment to the Rockford Loan pursuant to which the borrower repaid $16.0 million of principal and the maturity date was extended to December 31, 2029. The amended loan also requires principal repayments of $12.0 million on or before March 31, 2028 and $10.0 million on or before March 31, 2029. As of September 30, 2026, $134 million was outstanding under the Rockford Loan.</w:t>
      </w:r>
    </w:p>
    <w:p>
      <w:pPr>
        <w:spacing w:after="0" w:line="19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also obtained an option to acquire the casino building improvements. The option becomes exercisable if the borrower has not repaid or refinanced the Rockford Loan by the date that is 90 days prior to the loan's maturity date of December 31, 2029. If triggered, the Company may exercise the option during the subsequent 90-day period. The purchase price is contractually determined based on a multiple of incremental rent, which is derived from the property's trailing four-quarter EBITDA, and may be offset against amounts outstanding under the Rockford Loan. If exercised, the Company would acquire ownership of the building improvements and the existing ground lease would be amended to include both the land and building improvements under a single lease.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Tioga Downs Lease</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February 6, 2024, the Company acquired the real estate assets of Tioga Downs Casino Resort ("Tioga Downs") in Nichols, NY from American Racing. Simultaneously with the acquisition, GLPI and American Racing entered into a triple-net lease agreement for an initial 30-year term, with no purchase option, followed by two renewal options of 10 years each and a third renewal option of approximately 12 years and ten months (the "Tioga Downs Lease"). The initial annual rent is subject to 1.75% annual escalations beginning with the first anniversary which increases to 2% beginning in year fifteen of the lease through the remainder of its initial term.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Gaming Leases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May 16, 2024, the Company acquired the real estate assets of Silverado Franklin Hotel &amp; Gaming Complex ("Silverado"), the Deadwood Mountain Grand ("DMG") casino, and Baldini's Casino ("Baldini's") from Strategic. Simultaneous with the acquisition, GLP Capital and affiliates of Strategic entered into two cross-defaulted triple-net lease agreements, each for an initial 25-year term with no purchase option and two ten-year renewal periods (exercisable by the tenant) (the "Strategic Gaming Leases"). The initial annual rent is subject to a 2% annual escalation beginning in year three of the lease and a CPI-based annual escalation beginning in year eleven of the lease, at the greater of 2% or CPI capped at 2.5%.</w:t>
      </w:r>
    </w:p>
    <w:p>
      <w:pPr>
        <w:spacing w:after="0" w:line="200"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On October 15, 2025, the Company acquired the real estate assets of Sunland Park in Sunland Park, New Mexico for $183.75 million. The property was added to the Strategic Gaming Leases and annual rent was increased by $15.0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Ione Loan</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September 2024, the Company entered into a $110 million delayed draw term loan facility with the Ione Band of Miwok Indians (the "Ione Loan") to provide the tribe funding on a new casino development near Sacramento, California, which opened in late February 2026. Ione has an option at the end of the Ione Loan term to satisfy the loan obligation by converting the outstanding principal into a long-term triple-net lease with an initial term of twenty-five years and a maximum term of forty-five years. These agreements were entered into subsequent to receiving a declination letter from the National Indian Gaming Commission covering the transaction documents, including the long-term lease. As of September 30, 2026, $98.4 million was outstanding under the Ione Loan which has a 5-year term and an interest rate of 11%.</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Dry Creek Rancheria Loan</w:t>
      </w:r>
    </w:p>
    <w:p>
      <w:pPr>
        <w:spacing w:after="0" w:line="234"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On September 2, 2025, the Company announced a $225.3 million commitment, subject to receipt of all required permits and approvals, to serve as the lead real estate financing partner for Caesars Republic Sonoma County, a new integrated resort to be developed on the site of the current River Rock Casino. Pursuant to its agreements with the Dry Creek Rancheria ("Dry Creek"), GLPI will initially act as a lender to the project through (i) a $180 million delayed draw term loan bearing interest at a fixed rate of 12.50% and (ii) a $45.3 million term loan B issued at an original issue discount of 3% and bearing interest at a Secured Overnight Financing Rate ("SOFR") plus 900 basis points, subject to a SOFR floor of 1%. Each term loan has a maturity of 6 years.</w:t>
      </w:r>
    </w:p>
    <w:p>
      <w:pPr>
        <w:spacing w:after="0" w:line="201"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Upon or prior to maturity of the 6-year loans, Dry Creek will lease back the property to an affiliate of GLPI, and GLPI will sublease the property back to an affiliate of Dry Creek for no less than $112.5 million for 45 years. Annual rent on the sublease will be based on a 9.75% capitalization rate. As of September 30, 2026, the Company has funded the $45.3 million term loan B while the delayed draw term loan remained undrawn.</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Guarantees</w:t>
      </w:r>
    </w:p>
    <w:p>
      <w:pPr>
        <w:spacing w:after="0" w:line="234" w:lineRule="exact"/>
        <w:rPr>
          <w:sz w:val="20"/>
          <w:szCs w:val="20"/>
          <w:color w:val="auto"/>
        </w:rPr>
      </w:pPr>
    </w:p>
    <w:p>
      <w:pPr>
        <w:jc w:val="both"/>
        <w:ind w:firstLine="619"/>
        <w:spacing w:after="0" w:line="242" w:lineRule="auto"/>
        <w:rPr>
          <w:sz w:val="20"/>
          <w:szCs w:val="20"/>
          <w:color w:val="auto"/>
        </w:rPr>
      </w:pPr>
      <w:r>
        <w:rPr>
          <w:rFonts w:ascii="Times New Roman" w:cs="Times New Roman" w:eastAsia="Times New Roman" w:hAnsi="Times New Roman"/>
          <w:sz w:val="17"/>
          <w:szCs w:val="17"/>
          <w:color w:val="auto"/>
        </w:rPr>
        <w:t>The obligations under the Amended PENN Master Lease, PENN 2023 Master Lease, Amended Pinnacle Master Lease and Morgantown Lease are guaranteed by PENN and, with respect to each lease, jointly and severally by PENN's subsidiaries that occupy and operate the facilities covered by such lease. Similarly, the obligations under the Amended and Restated Caesars Master Lease, the Horseshoe St. Louis Lease, the Bally's Chicago Lease, the Bally's Master Lease, the Bally's Master Lease II, the Strategic Gaming Leases and the Tioga Downs Lease are each jointly and severally guaranteed by the applicable parent company and by the parent's subsidiaries that occupy and operate the leased facilities. The obligations under the Tropicana Las Vegas Lease are guaranteed by Bally's. The obligations under the Boyd Master Lease, the Belterra Park Lease, the Maryland Live! Lease, the Pennsylvania Live! Lease and the Rockford Lease are jointly and severally guaranteed by the subsidiaries that occupy and operate the facilities. If a default were to occur under the Casino Queen Master Lease, the Company has the right under the terms of the lease to elect to amend Bally’s Master Lease II and place the assets into it, which carries a corporate guarantee.</w:t>
      </w:r>
    </w:p>
    <w:p>
      <w:pPr>
        <w:spacing w:after="0" w:line="21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2.</w:t>
        <w:tab/>
        <w:t>Basis of Presentation</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spacing w:after="0" w:line="19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accounts of GLPI and its subsidiaries as well as the Company's operating partnership, which is a variable interest entity ("VIE") in which the Company is the primary beneficiary.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Condensed Consolidated Balance Sheet as a separate component of equity, separate from GLPI's stockholders' equity. All intercompany accounts and transactions have been eliminated in consolidation. The Company’s net income or loss is allocated to noncontrolling interests based on the respective ownership or voting percentage in the Operating Partnership associated with such noncontrolling interests and is removed from consolidated income or loss on the Condensed Consolidated Statements of Income in order to derive net income or loss attributable to common stockholders.</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Operating results for the three and nine months ended September 30, 2026 are not necessarily indicative of the results that may be expected for the year ending December 31, 2026. The consolidated financial statements contained in our Annual Report on Form 10-K for the year ended December 31, 2025 (our "Annual Report") should be read in conjunction with these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condensed consolidated financial statements. The December 31, 2025 financial information has been derived from the Company’s audited consolidated financial statements.</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Company’s significant accounting policies are described in Note 2 of the Notes to the Consolidated Financial Statements included in the Company’s Annual Report and since the date of those financial statements, the Company has not had any significant changes to these accounting policies that have had a material impact on the Company's condensed consolidated financial statements.</w:t>
      </w:r>
    </w:p>
    <w:p>
      <w:pPr>
        <w:spacing w:after="0" w:line="18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3.</w:t>
        <w:tab/>
        <w:t>Investment in Leases, Net</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Certain of the Company's leases are recorded as an Investment in leases, financing receivables, net, as the sale-leaseback transactions were accounted for as failed sale leasebacks as control of the real estate did not transfer to the Company. Additionally, as described in Note 1, the Company reassessed the Tropicana Las Vegas Lease in 2024 which resulted in the lease being classified as a sales-type lease. The following is a summary of the balances of the Company's Investment in leases, financing receivables and investment in leases, sales-type (in thousands).</w:t>
      </w:r>
    </w:p>
    <w:p>
      <w:pPr>
        <w:spacing w:after="0" w:line="200" w:lineRule="exact"/>
        <w:rPr>
          <w:sz w:val="20"/>
          <w:szCs w:val="20"/>
          <w:color w:val="auto"/>
        </w:rPr>
      </w:pPr>
    </w:p>
    <w:p>
      <w:pPr>
        <w:spacing w:after="0" w:line="253"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00" w:type="dxa"/>
            <w:vAlign w:val="bottom"/>
          </w:tcPr>
          <w:p>
            <w:pPr>
              <w:spacing w:after="0"/>
              <w:rPr>
                <w:sz w:val="13"/>
                <w:szCs w:val="13"/>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80" w:type="dxa"/>
            <w:vAlign w:val="bottom"/>
          </w:tcPr>
          <w:p>
            <w:pPr>
              <w:spacing w:after="0"/>
              <w:rPr>
                <w:sz w:val="13"/>
                <w:szCs w:val="13"/>
                <w:color w:val="auto"/>
              </w:rPr>
            </w:pPr>
          </w:p>
        </w:tc>
        <w:tc>
          <w:tcPr>
            <w:tcW w:w="144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80" w:type="dxa"/>
            <w:vAlign w:val="bottom"/>
          </w:tcPr>
          <w:p>
            <w:pPr>
              <w:spacing w:after="0"/>
              <w:rPr>
                <w:sz w:val="13"/>
                <w:szCs w:val="13"/>
                <w:color w:val="auto"/>
              </w:rPr>
            </w:pPr>
          </w:p>
        </w:tc>
        <w:tc>
          <w:tcPr>
            <w:tcW w:w="15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87"/>
        </w:trPr>
        <w:tc>
          <w:tcPr>
            <w:tcW w:w="2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41"/>
        </w:trPr>
        <w:tc>
          <w:tcPr>
            <w:tcW w:w="2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Investment in leases, sales-</w:t>
            </w: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ind w:right="101"/>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Investment in leases,</w:t>
            </w:r>
          </w:p>
        </w:tc>
        <w:tc>
          <w:tcPr>
            <w:tcW w:w="1720" w:type="dxa"/>
            <w:vAlign w:val="bottom"/>
            <w:gridSpan w:val="2"/>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Investment in leases, sales-</w:t>
            </w:r>
          </w:p>
        </w:tc>
        <w:tc>
          <w:tcPr>
            <w:tcW w:w="180" w:type="dxa"/>
            <w:vAlign w:val="bottom"/>
            <w:shd w:val="clear" w:color="auto" w:fill="CCEEFF"/>
          </w:tcPr>
          <w:p>
            <w:pPr>
              <w:spacing w:after="0"/>
              <w:rPr>
                <w:sz w:val="12"/>
                <w:szCs w:val="12"/>
                <w:color w:val="auto"/>
              </w:rPr>
            </w:pPr>
          </w:p>
        </w:tc>
        <w:tc>
          <w:tcPr>
            <w:tcW w:w="1520" w:type="dxa"/>
            <w:vAlign w:val="bottom"/>
            <w:shd w:val="clear" w:color="auto" w:fill="CCEEFF"/>
          </w:tcPr>
          <w:p>
            <w:pPr>
              <w:jc w:val="center"/>
              <w:ind w:right="81"/>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Investment in leases,</w:t>
            </w:r>
          </w:p>
        </w:tc>
      </w:tr>
      <w:tr>
        <w:trPr>
          <w:trHeight w:val="192"/>
        </w:trPr>
        <w:tc>
          <w:tcPr>
            <w:tcW w:w="2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type</w:t>
            </w: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8"/>
              </w:rPr>
              <w:t>financing receivables</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type</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8"/>
              </w:rPr>
              <w:t>financing receivables</w:t>
            </w:r>
          </w:p>
        </w:tc>
      </w:tr>
      <w:tr>
        <w:trPr>
          <w:trHeight w:val="180"/>
        </w:trPr>
        <w:tc>
          <w:tcPr>
            <w:tcW w:w="22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Minimum lease payments</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32"/>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682,491</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9,954,033</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693,619</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10,090,473</w:t>
            </w:r>
          </w:p>
        </w:tc>
      </w:tr>
      <w:tr>
        <w:trPr>
          <w:trHeight w:val="180"/>
        </w:trPr>
        <w:tc>
          <w:tcPr>
            <w:tcW w:w="22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Estimated residual values of</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32"/>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property (unguaranteed)</w:t>
            </w:r>
          </w:p>
        </w:tc>
        <w:tc>
          <w:tcPr>
            <w:tcW w:w="2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278,500</w:t>
            </w:r>
          </w:p>
        </w:tc>
        <w:tc>
          <w:tcPr>
            <w:tcW w:w="20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1,444,690</w:t>
            </w:r>
          </w:p>
        </w:tc>
        <w:tc>
          <w:tcPr>
            <w:tcW w:w="2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278,500</w:t>
            </w:r>
          </w:p>
        </w:tc>
        <w:tc>
          <w:tcPr>
            <w:tcW w:w="1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1,444,690</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960,991</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11,398,723</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972,119</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11,535,163</w:t>
            </w:r>
          </w:p>
        </w:tc>
      </w:tr>
      <w:tr>
        <w:trPr>
          <w:trHeight w:val="232"/>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Unearned income</w:t>
            </w: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(682,494)</w:t>
            </w: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(8,796,972)</w:t>
            </w: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(693,622)</w:t>
            </w: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(8,955,526)</w:t>
            </w:r>
          </w:p>
        </w:tc>
      </w:tr>
      <w:tr>
        <w:trPr>
          <w:trHeight w:val="180"/>
        </w:trPr>
        <w:tc>
          <w:tcPr>
            <w:tcW w:w="22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Less: Allowance for credit</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32"/>
        </w:trPr>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losses</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(33,376)</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(50,836)</w:t>
            </w: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(30,076)</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(22,133)</w:t>
            </w:r>
          </w:p>
        </w:tc>
      </w:tr>
      <w:tr>
        <w:trPr>
          <w:trHeight w:val="250"/>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in leases, net</w:t>
            </w: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245,121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2,550,915</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248,421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2,557,504</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present value of the net investment in the lease payment receivable and unguaranteed residual value at September 30, 2026 for the Company's Investment in leases, financing receivables was $2,492.8 million and $109.0 million compared to $2,477.1 million and $102.6 million at December 31, 2025. The present value of the net investment in the lease payment receivable and unguaranteed residual value at September 30, 2026 for the Company's Investment in leases, sales-type was $254.3 million and $24.2 million compared to $255.3 million and $23.2 million at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At September 30, 2026, minimum lease payments owed to us for each of the five succeeding years under the Company's investment in leases were as follows (in thousands):</w:t>
      </w:r>
    </w:p>
    <w:p>
      <w:pPr>
        <w:spacing w:after="0" w:line="110" w:lineRule="exact"/>
        <w:rPr>
          <w:sz w:val="20"/>
          <w:szCs w:val="20"/>
          <w:color w:val="auto"/>
        </w:rPr>
      </w:pPr>
    </w:p>
    <w:tbl>
      <w:tblPr>
        <w:tblLayout w:type="fixed"/>
        <w:tblInd w:w="38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Future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Future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gridSpan w:val="3"/>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71"/>
              </w:rPr>
              <w:t>Minimum</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top w:val="single" w:sz="8" w:color="auto"/>
            </w:tcBorders>
            <w:gridSpan w:val="3"/>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w w:val="84"/>
              </w:rPr>
              <w:t>Minimum</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4"/>
          </w:tcPr>
          <w:p>
            <w:pPr>
              <w:jc w:val="center"/>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Lease</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gridSpan w:val="2"/>
            <w:shd w:val="clear" w:color="auto" w:fill="000000"/>
          </w:tcPr>
          <w:p>
            <w:pPr>
              <w:spacing w:after="0"/>
              <w:rPr>
                <w:sz w:val="2"/>
                <w:szCs w:val="2"/>
                <w:color w:val="auto"/>
              </w:rPr>
            </w:pPr>
          </w:p>
        </w:tc>
        <w:tc>
          <w:tcPr>
            <w:tcW w:w="14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gridSpan w:val="3"/>
            <w:vMerge w:val="restart"/>
          </w:tcPr>
          <w:p>
            <w:pPr>
              <w:jc w:val="right"/>
              <w:ind w:right="2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3"/>
          </w:tcPr>
          <w:p>
            <w:pPr>
              <w:jc w:val="center"/>
              <w:ind w:right="140"/>
              <w:spacing w:after="0" w:line="96" w:lineRule="exact"/>
              <w:rPr>
                <w:sz w:val="20"/>
                <w:szCs w:val="20"/>
                <w:color w:val="auto"/>
              </w:rPr>
            </w:pPr>
            <w:r>
              <w:rPr>
                <w:rFonts w:ascii="Times New Roman" w:cs="Times New Roman" w:eastAsia="Times New Roman" w:hAnsi="Times New Roman"/>
                <w:sz w:val="11"/>
                <w:szCs w:val="11"/>
                <w:b w:val="1"/>
                <w:bCs w:val="1"/>
                <w:color w:val="auto"/>
              </w:rPr>
              <w:t>Lease</w:t>
            </w:r>
          </w:p>
        </w:tc>
        <w:tc>
          <w:tcPr>
            <w:tcW w:w="1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bottom w:val="single" w:sz="8" w:color="auto"/>
            </w:tcBorders>
            <w:gridSpan w:val="3"/>
          </w:tcPr>
          <w:p>
            <w:pPr>
              <w:spacing w:after="0" w:line="96" w:lineRule="exact"/>
              <w:rPr>
                <w:sz w:val="20"/>
                <w:szCs w:val="20"/>
                <w:color w:val="auto"/>
              </w:rPr>
            </w:pPr>
            <w:r>
              <w:rPr>
                <w:rFonts w:ascii="Times New Roman" w:cs="Times New Roman" w:eastAsia="Times New Roman" w:hAnsi="Times New Roman"/>
                <w:sz w:val="11"/>
                <w:szCs w:val="11"/>
                <w:b w:val="1"/>
                <w:bCs w:val="1"/>
                <w:color w:val="auto"/>
                <w:w w:val="95"/>
              </w:rPr>
              <w:t>Payments</w:t>
            </w:r>
          </w:p>
        </w:tc>
        <w:tc>
          <w:tcPr>
            <w:tcW w:w="180" w:type="dxa"/>
            <w:vAlign w:val="bottom"/>
            <w:tcBorders>
              <w:bottom w:val="single" w:sz="8" w:color="auto"/>
            </w:tcBorders>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gridSpan w:val="3"/>
            <w:vMerge w:val="restart"/>
          </w:tcPr>
          <w:p>
            <w:pPr>
              <w:jc w:val="right"/>
              <w:ind w:right="12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line="20" w:lineRule="exact"/>
              <w:rPr>
                <w:sz w:val="1"/>
                <w:szCs w:val="1"/>
                <w:color w:val="auto"/>
              </w:rPr>
            </w:pPr>
          </w:p>
        </w:tc>
        <w:tc>
          <w:tcPr>
            <w:tcW w:w="780" w:type="dxa"/>
            <w:vAlign w:val="bottom"/>
            <w:gridSpan w:val="7"/>
            <w:vMerge w:val="restart"/>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20" w:type="dxa"/>
            <w:vAlign w:val="bottom"/>
          </w:tcPr>
          <w:p>
            <w:pPr>
              <w:spacing w:after="0"/>
              <w:rPr>
                <w:sz w:val="8"/>
                <w:szCs w:val="8"/>
                <w:color w:val="auto"/>
              </w:rPr>
            </w:pPr>
          </w:p>
        </w:tc>
        <w:tc>
          <w:tcPr>
            <w:tcW w:w="520" w:type="dxa"/>
            <w:vAlign w:val="bottom"/>
            <w:gridSpan w:val="4"/>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Payments</w:t>
            </w:r>
          </w:p>
        </w:tc>
        <w:tc>
          <w:tcPr>
            <w:tcW w:w="28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22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top w:val="single" w:sz="8" w:color="auto"/>
            </w:tcBorders>
            <w:gridSpan w:val="5"/>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rPr>
              <w:t>Sales-Type</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top w:val="single" w:sz="8" w:color="auto"/>
            </w:tcBorders>
            <w:gridSpan w:val="6"/>
          </w:tcPr>
          <w:p>
            <w:pPr>
              <w:jc w:val="center"/>
              <w:ind w:right="40"/>
              <w:spacing w:after="0" w:line="96" w:lineRule="exact"/>
              <w:rPr>
                <w:sz w:val="20"/>
                <w:szCs w:val="20"/>
                <w:color w:val="auto"/>
              </w:rPr>
            </w:pPr>
            <w:r>
              <w:rPr>
                <w:rFonts w:ascii="Times New Roman" w:cs="Times New Roman" w:eastAsia="Times New Roman" w:hAnsi="Times New Roman"/>
                <w:sz w:val="11"/>
                <w:szCs w:val="11"/>
                <w:b w:val="1"/>
                <w:bCs w:val="1"/>
                <w:color w:val="auto"/>
              </w:rPr>
              <w:t>Receivables</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 (remainder of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3,709</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45,652</w:t>
            </w:r>
          </w:p>
        </w:tc>
        <w:tc>
          <w:tcPr>
            <w:tcW w:w="0" w:type="dxa"/>
            <w:vAlign w:val="bottom"/>
          </w:tcPr>
          <w:p>
            <w:pPr>
              <w:spacing w:after="0"/>
              <w:rPr>
                <w:sz w:val="1"/>
                <w:szCs w:val="1"/>
                <w:color w:val="auto"/>
              </w:rPr>
            </w:pPr>
          </w:p>
        </w:tc>
      </w:tr>
      <w:tr>
        <w:trPr>
          <w:trHeight w:val="232"/>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7"/>
          </w:tcPr>
          <w:p>
            <w:pPr>
              <w:jc w:val="right"/>
              <w:ind w:right="40"/>
              <w:spacing w:after="0"/>
              <w:rPr>
                <w:sz w:val="20"/>
                <w:szCs w:val="20"/>
                <w:color w:val="auto"/>
              </w:rPr>
            </w:pPr>
            <w:r>
              <w:rPr>
                <w:rFonts w:ascii="Times New Roman" w:cs="Times New Roman" w:eastAsia="Times New Roman" w:hAnsi="Times New Roman"/>
                <w:sz w:val="17"/>
                <w:szCs w:val="17"/>
                <w:color w:val="auto"/>
              </w:rPr>
              <w:t>14,837</w:t>
            </w:r>
          </w:p>
        </w:tc>
        <w:tc>
          <w:tcPr>
            <w:tcW w:w="220" w:type="dxa"/>
            <w:vAlign w:val="bottom"/>
          </w:tcPr>
          <w:p>
            <w:pPr>
              <w:spacing w:after="0"/>
              <w:rPr>
                <w:sz w:val="20"/>
                <w:szCs w:val="20"/>
                <w:color w:val="auto"/>
              </w:rPr>
            </w:pPr>
          </w:p>
        </w:tc>
        <w:tc>
          <w:tcPr>
            <w:tcW w:w="780" w:type="dxa"/>
            <w:vAlign w:val="bottom"/>
            <w:gridSpan w:val="7"/>
          </w:tcPr>
          <w:p>
            <w:pPr>
              <w:jc w:val="right"/>
              <w:ind w:right="60"/>
              <w:spacing w:after="0"/>
              <w:rPr>
                <w:sz w:val="20"/>
                <w:szCs w:val="20"/>
                <w:color w:val="auto"/>
              </w:rPr>
            </w:pPr>
            <w:r>
              <w:rPr>
                <w:rFonts w:ascii="Times New Roman" w:cs="Times New Roman" w:eastAsia="Times New Roman" w:hAnsi="Times New Roman"/>
                <w:sz w:val="17"/>
                <w:szCs w:val="17"/>
                <w:color w:val="auto"/>
              </w:rPr>
              <w:t>185,336</w:t>
            </w:r>
          </w:p>
        </w:tc>
        <w:tc>
          <w:tcPr>
            <w:tcW w:w="0" w:type="dxa"/>
            <w:vAlign w:val="bottom"/>
          </w:tcPr>
          <w:p>
            <w:pPr>
              <w:spacing w:after="0"/>
              <w:rPr>
                <w:sz w:val="1"/>
                <w:szCs w:val="1"/>
                <w:color w:val="auto"/>
              </w:rPr>
            </w:pPr>
          </w:p>
        </w:tc>
      </w:tr>
      <w:tr>
        <w:trPr>
          <w:trHeight w:val="232"/>
        </w:trPr>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14,837</w:t>
            </w:r>
          </w:p>
        </w:tc>
        <w:tc>
          <w:tcPr>
            <w:tcW w:w="220" w:type="dxa"/>
            <w:vAlign w:val="bottom"/>
            <w:tcBorders>
              <w:right w:val="single" w:sz="8" w:color="CCEEFF"/>
            </w:tcBorders>
            <w:shd w:val="clear" w:color="auto" w:fill="CCEEFF"/>
          </w:tcPr>
          <w:p>
            <w:pPr>
              <w:spacing w:after="0"/>
              <w:rPr>
                <w:sz w:val="20"/>
                <w:szCs w:val="20"/>
                <w:color w:val="auto"/>
              </w:rPr>
            </w:pPr>
          </w:p>
        </w:tc>
        <w:tc>
          <w:tcPr>
            <w:tcW w:w="78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188,639</w:t>
            </w:r>
          </w:p>
        </w:tc>
        <w:tc>
          <w:tcPr>
            <w:tcW w:w="0" w:type="dxa"/>
            <w:vAlign w:val="bottom"/>
          </w:tcPr>
          <w:p>
            <w:pPr>
              <w:spacing w:after="0"/>
              <w:rPr>
                <w:sz w:val="1"/>
                <w:szCs w:val="1"/>
                <w:color w:val="auto"/>
              </w:rPr>
            </w:pPr>
          </w:p>
        </w:tc>
      </w:tr>
      <w:tr>
        <w:trPr>
          <w:trHeight w:val="232"/>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7"/>
          </w:tcPr>
          <w:p>
            <w:pPr>
              <w:jc w:val="right"/>
              <w:ind w:right="40"/>
              <w:spacing w:after="0"/>
              <w:rPr>
                <w:sz w:val="20"/>
                <w:szCs w:val="20"/>
                <w:color w:val="auto"/>
              </w:rPr>
            </w:pPr>
            <w:r>
              <w:rPr>
                <w:rFonts w:ascii="Times New Roman" w:cs="Times New Roman" w:eastAsia="Times New Roman" w:hAnsi="Times New Roman"/>
                <w:sz w:val="17"/>
                <w:szCs w:val="17"/>
                <w:color w:val="auto"/>
              </w:rPr>
              <w:t>14,837</w:t>
            </w:r>
          </w:p>
        </w:tc>
        <w:tc>
          <w:tcPr>
            <w:tcW w:w="220" w:type="dxa"/>
            <w:vAlign w:val="bottom"/>
          </w:tcPr>
          <w:p>
            <w:pPr>
              <w:spacing w:after="0"/>
              <w:rPr>
                <w:sz w:val="20"/>
                <w:szCs w:val="20"/>
                <w:color w:val="auto"/>
              </w:rPr>
            </w:pPr>
          </w:p>
        </w:tc>
        <w:tc>
          <w:tcPr>
            <w:tcW w:w="780" w:type="dxa"/>
            <w:vAlign w:val="bottom"/>
            <w:gridSpan w:val="7"/>
          </w:tcPr>
          <w:p>
            <w:pPr>
              <w:jc w:val="right"/>
              <w:ind w:right="60"/>
              <w:spacing w:after="0"/>
              <w:rPr>
                <w:sz w:val="20"/>
                <w:szCs w:val="20"/>
                <w:color w:val="auto"/>
              </w:rPr>
            </w:pPr>
            <w:r>
              <w:rPr>
                <w:rFonts w:ascii="Times New Roman" w:cs="Times New Roman" w:eastAsia="Times New Roman" w:hAnsi="Times New Roman"/>
                <w:sz w:val="17"/>
                <w:szCs w:val="17"/>
                <w:color w:val="auto"/>
              </w:rPr>
              <w:t>192,000</w:t>
            </w:r>
          </w:p>
        </w:tc>
        <w:tc>
          <w:tcPr>
            <w:tcW w:w="0" w:type="dxa"/>
            <w:vAlign w:val="bottom"/>
          </w:tcPr>
          <w:p>
            <w:pPr>
              <w:spacing w:after="0"/>
              <w:rPr>
                <w:sz w:val="1"/>
                <w:szCs w:val="1"/>
                <w:color w:val="auto"/>
              </w:rPr>
            </w:pPr>
          </w:p>
        </w:tc>
      </w:tr>
      <w:tr>
        <w:trPr>
          <w:trHeight w:val="232"/>
        </w:trPr>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14,837</w:t>
            </w:r>
          </w:p>
        </w:tc>
        <w:tc>
          <w:tcPr>
            <w:tcW w:w="220" w:type="dxa"/>
            <w:vAlign w:val="bottom"/>
            <w:tcBorders>
              <w:right w:val="single" w:sz="8" w:color="CCEEFF"/>
            </w:tcBorders>
            <w:shd w:val="clear" w:color="auto" w:fill="CCEEFF"/>
          </w:tcPr>
          <w:p>
            <w:pPr>
              <w:spacing w:after="0"/>
              <w:rPr>
                <w:sz w:val="20"/>
                <w:szCs w:val="20"/>
                <w:color w:val="auto"/>
              </w:rPr>
            </w:pPr>
          </w:p>
        </w:tc>
        <w:tc>
          <w:tcPr>
            <w:tcW w:w="78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195,423</w:t>
            </w:r>
          </w:p>
        </w:tc>
        <w:tc>
          <w:tcPr>
            <w:tcW w:w="0" w:type="dxa"/>
            <w:vAlign w:val="bottom"/>
          </w:tcPr>
          <w:p>
            <w:pPr>
              <w:spacing w:after="0"/>
              <w:rPr>
                <w:sz w:val="1"/>
                <w:szCs w:val="1"/>
                <w:color w:val="auto"/>
              </w:rPr>
            </w:pPr>
          </w:p>
        </w:tc>
      </w:tr>
      <w:tr>
        <w:trPr>
          <w:trHeight w:val="232"/>
        </w:trPr>
        <w:tc>
          <w:tcPr>
            <w:tcW w:w="22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7"/>
                <w:szCs w:val="17"/>
                <w:color w:val="auto"/>
              </w:rPr>
              <w:t>619,434</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7"/>
                <w:szCs w:val="17"/>
                <w:color w:val="auto"/>
              </w:rPr>
              <w:t>9,146,983</w:t>
            </w:r>
          </w:p>
        </w:tc>
        <w:tc>
          <w:tcPr>
            <w:tcW w:w="0" w:type="dxa"/>
            <w:vAlign w:val="bottom"/>
          </w:tcPr>
          <w:p>
            <w:pPr>
              <w:spacing w:after="0"/>
              <w:rPr>
                <w:sz w:val="1"/>
                <w:szCs w:val="1"/>
                <w:color w:val="auto"/>
              </w:rPr>
            </w:pPr>
          </w:p>
        </w:tc>
      </w:tr>
      <w:tr>
        <w:trPr>
          <w:trHeight w:val="250"/>
        </w:trPr>
        <w:tc>
          <w:tcPr>
            <w:tcW w:w="2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682,491</w:t>
            </w:r>
          </w:p>
        </w:tc>
        <w:tc>
          <w:tcPr>
            <w:tcW w:w="2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9,954,033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 follows ASC 326 “Credit Losses”, which requires that the Company measure and record current expected credit losses (“CECL”), the scope of which includes the Company's Investment in leases, financing receivables, net, the Company's Investment in leases, sales-type, net, and the Company's Real estate loans, net, which are discussed in Note 5. The Company has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or loan. The Company then records a CECL allowance based on the expected loss rate multiplied by the outstanding investment.</w:t>
      </w:r>
    </w:p>
    <w:p>
      <w:pPr>
        <w:spacing w:after="0" w:line="328"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Expected losses within our cash flows are determined by estimating the probability of default (“PD”) and loss given default (“LGD”) of our instruments subject to CECL. We have engaged a nationally recognized data analytics firm to assist us with estimating both the PD and LGD. The PD and LGD are estimated during the initial term of the instruments subject to CECL. The PD and LGD estimates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instruments subject to CECL. Management will monitor the credit risk related to its instruments subject to CECL by obtaining the applicable rent and interest coverage on a periodic basis. The Company also monitors legislative changes to assess whether it would have an impact on the underlying performance of its tenants. We are unable to use our historical data to estimate losses as the Company has no loss history to date on its lease portfolio. Our tenants were current on all of their rental obligations as of September 30,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change in the allowance for credit losses for the Company's investment in leases is illustrated below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Balance at</w:t>
            </w:r>
          </w:p>
        </w:tc>
        <w:tc>
          <w:tcPr>
            <w:tcW w:w="2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1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w:t>
            </w:r>
          </w:p>
        </w:tc>
        <w:tc>
          <w:tcPr>
            <w:tcW w:w="2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1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Balance at June</w:t>
            </w:r>
          </w:p>
        </w:tc>
        <w:tc>
          <w:tcPr>
            <w:tcW w:w="18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Balance at</w:t>
            </w:r>
          </w:p>
        </w:tc>
        <w:tc>
          <w:tcPr>
            <w:tcW w:w="0" w:type="dxa"/>
            <w:vAlign w:val="bottom"/>
          </w:tcPr>
          <w:p>
            <w:pPr>
              <w:spacing w:after="0"/>
              <w:rPr>
                <w:sz w:val="1"/>
                <w:szCs w:val="1"/>
                <w:color w:val="auto"/>
              </w:rPr>
            </w:pPr>
          </w:p>
        </w:tc>
      </w:tr>
      <w:tr>
        <w:trPr>
          <w:trHeight w:val="168"/>
        </w:trPr>
        <w:tc>
          <w:tcPr>
            <w:tcW w:w="2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2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center"/>
              <w:ind w:right="54"/>
              <w:spacing w:after="0" w:line="167"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32"/>
        </w:trPr>
        <w:tc>
          <w:tcPr>
            <w:tcW w:w="2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31, 2026</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30, 2026</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0" w:type="dxa"/>
            <w:vAlign w:val="bottom"/>
          </w:tcPr>
          <w:p>
            <w:pPr>
              <w:spacing w:after="0"/>
              <w:rPr>
                <w:sz w:val="1"/>
                <w:szCs w:val="1"/>
                <w:color w:val="auto"/>
              </w:rPr>
            </w:pPr>
          </w:p>
        </w:tc>
      </w:tr>
      <w:tr>
        <w:trPr>
          <w:trHeight w:val="232"/>
        </w:trPr>
        <w:tc>
          <w:tcPr>
            <w:tcW w:w="2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Maryland Live Lease $</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2,907</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7,768</w:t>
            </w:r>
          </w:p>
        </w:tc>
        <w:tc>
          <w:tcPr>
            <w:tcW w:w="0" w:type="dxa"/>
            <w:vAlign w:val="bottom"/>
          </w:tcPr>
          <w:p>
            <w:pPr>
              <w:spacing w:after="0"/>
              <w:rPr>
                <w:sz w:val="1"/>
                <w:szCs w:val="1"/>
                <w:color w:val="auto"/>
              </w:rPr>
            </w:pPr>
          </w:p>
        </w:tc>
      </w:tr>
      <w:tr>
        <w:trPr>
          <w:trHeight w:val="232"/>
        </w:trPr>
        <w:tc>
          <w:tcPr>
            <w:tcW w:w="2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PA Live Master Lease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11,935</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10,768</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2,344</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13,112</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12,862</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25,974</w:t>
            </w:r>
          </w:p>
        </w:tc>
        <w:tc>
          <w:tcPr>
            <w:tcW w:w="0" w:type="dxa"/>
            <w:vAlign w:val="bottom"/>
          </w:tcPr>
          <w:p>
            <w:pPr>
              <w:spacing w:after="0"/>
              <w:rPr>
                <w:sz w:val="1"/>
                <w:szCs w:val="1"/>
                <w:color w:val="auto"/>
              </w:rPr>
            </w:pPr>
          </w:p>
        </w:tc>
      </w:tr>
      <w:tr>
        <w:trPr>
          <w:trHeight w:val="232"/>
        </w:trPr>
        <w:tc>
          <w:tcPr>
            <w:tcW w:w="2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Rockford Lease</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2,034</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2,774</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4,808</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5,636</w:t>
            </w:r>
          </w:p>
        </w:tc>
        <w:tc>
          <w:tcPr>
            <w:tcW w:w="0" w:type="dxa"/>
            <w:vAlign w:val="bottom"/>
          </w:tcPr>
          <w:p>
            <w:pPr>
              <w:spacing w:after="0"/>
              <w:rPr>
                <w:sz w:val="1"/>
                <w:szCs w:val="1"/>
                <w:color w:val="auto"/>
              </w:rPr>
            </w:pPr>
          </w:p>
        </w:tc>
      </w:tr>
      <w:tr>
        <w:trPr>
          <w:trHeight w:val="232"/>
        </w:trPr>
        <w:tc>
          <w:tcPr>
            <w:tcW w:w="2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Tioga Downs Lease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3,573</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4,217</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2,944</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5,135</w:t>
            </w:r>
          </w:p>
        </w:tc>
        <w:tc>
          <w:tcPr>
            <w:tcW w:w="0" w:type="dxa"/>
            <w:vAlign w:val="bottom"/>
          </w:tcPr>
          <w:p>
            <w:pPr>
              <w:spacing w:after="0"/>
              <w:rPr>
                <w:sz w:val="1"/>
                <w:szCs w:val="1"/>
                <w:color w:val="auto"/>
              </w:rPr>
            </w:pPr>
          </w:p>
        </w:tc>
      </w:tr>
      <w:tr>
        <w:trPr>
          <w:trHeight w:val="232"/>
        </w:trPr>
        <w:tc>
          <w:tcPr>
            <w:tcW w:w="2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Strategic Lease</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3,142</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3,980</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3,681</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2,642</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6,323</w:t>
            </w:r>
          </w:p>
        </w:tc>
        <w:tc>
          <w:tcPr>
            <w:tcW w:w="0" w:type="dxa"/>
            <w:vAlign w:val="bottom"/>
          </w:tcPr>
          <w:p>
            <w:pPr>
              <w:spacing w:after="0"/>
              <w:rPr>
                <w:sz w:val="1"/>
                <w:szCs w:val="1"/>
                <w:color w:val="auto"/>
              </w:rPr>
            </w:pPr>
          </w:p>
        </w:tc>
      </w:tr>
      <w:tr>
        <w:trPr>
          <w:trHeight w:val="232"/>
        </w:trPr>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Tropicana LV Lease</w:t>
            </w: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30,076</w:t>
            </w: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(2,091)</w:t>
            </w: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27,985</w:t>
            </w: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w:t>
            </w: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26,677</w:t>
            </w: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6,699</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33,376</w:t>
            </w:r>
          </w:p>
        </w:tc>
        <w:tc>
          <w:tcPr>
            <w:tcW w:w="0" w:type="dxa"/>
            <w:vAlign w:val="bottom"/>
          </w:tcPr>
          <w:p>
            <w:pPr>
              <w:spacing w:after="0"/>
              <w:rPr>
                <w:sz w:val="1"/>
                <w:szCs w:val="1"/>
                <w:color w:val="auto"/>
              </w:rPr>
            </w:pPr>
          </w:p>
        </w:tc>
      </w:tr>
      <w:tr>
        <w:trPr>
          <w:trHeight w:val="225"/>
        </w:trPr>
        <w:tc>
          <w:tcPr>
            <w:tcW w:w="2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Total $</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52,209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52,164</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1,965</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54,129</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30,083</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84,212</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Balance at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2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Balance at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Balance at June</w:t>
            </w:r>
          </w:p>
        </w:tc>
        <w:tc>
          <w:tcPr>
            <w:tcW w:w="2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0" w:type="dxa"/>
            <w:vAlign w:val="bottom"/>
          </w:tcPr>
          <w:p>
            <w:pPr>
              <w:spacing w:after="0"/>
              <w:rPr>
                <w:sz w:val="1"/>
                <w:szCs w:val="1"/>
                <w:color w:val="auto"/>
              </w:rPr>
            </w:pPr>
          </w:p>
        </w:tc>
      </w:tr>
      <w:tr>
        <w:trPr>
          <w:trHeight w:val="168"/>
        </w:trPr>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b w:val="1"/>
                <w:bCs w:val="1"/>
                <w:color w:val="auto"/>
              </w:rPr>
              <w:t>Septembe</w:t>
            </w:r>
          </w:p>
        </w:tc>
        <w:tc>
          <w:tcPr>
            <w:tcW w:w="0" w:type="dxa"/>
            <w:vAlign w:val="bottom"/>
          </w:tcPr>
          <w:p>
            <w:pPr>
              <w:spacing w:after="0"/>
              <w:rPr>
                <w:sz w:val="1"/>
                <w:szCs w:val="1"/>
                <w:color w:val="auto"/>
              </w:rPr>
            </w:pPr>
          </w:p>
        </w:tc>
      </w:tr>
      <w:tr>
        <w:trPr>
          <w:trHeight w:val="232"/>
        </w:trPr>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30, 2025</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32"/>
        </w:trPr>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Maryland Live Lease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8,732</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5,696</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14,428</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14,143</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28,571</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(14,466)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PA Live Master Lease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18,471</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12,286</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30,757</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20,223</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50,980</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(11,424)</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Rockford Lease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3,077</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2,041</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5,118</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4,788</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9,906</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(1,304)</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Tioga Downs Lease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2,651</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3,767</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6,418</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3,105</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9,523</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(2,567)</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Strategic Lease</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3,067</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4,201</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5,897</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Tropicana LV Lease</w:t>
            </w: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23,681</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9,157</w:t>
            </w: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32,838</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2,268</w:t>
            </w: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35,106</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(4,933)</w:t>
            </w: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Total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57,746</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36,014</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93,760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46,223</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139,983</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(34,515)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right="20" w:firstLine="619"/>
        <w:spacing w:after="0" w:line="287" w:lineRule="auto"/>
        <w:rPr>
          <w:sz w:val="20"/>
          <w:szCs w:val="20"/>
          <w:color w:val="auto"/>
        </w:rPr>
      </w:pPr>
      <w:r>
        <w:rPr>
          <w:rFonts w:ascii="Times New Roman" w:cs="Times New Roman" w:eastAsia="Times New Roman" w:hAnsi="Times New Roman"/>
          <w:sz w:val="17"/>
          <w:szCs w:val="17"/>
          <w:color w:val="auto"/>
        </w:rPr>
        <w:t>The amortized cost basis of the Company's investment in leases, financing receivables by year of origination is shown below as of September 30, 2026 (in thousands):</w:t>
      </w:r>
    </w:p>
    <w:p>
      <w:pPr>
        <w:spacing w:after="0" w:line="204" w:lineRule="exact"/>
        <w:rPr>
          <w:sz w:val="20"/>
          <w:szCs w:val="20"/>
          <w:color w:val="auto"/>
        </w:rPr>
      </w:pPr>
    </w:p>
    <w:tbl>
      <w:tblPr>
        <w:tblLayout w:type="fixed"/>
        <w:tblInd w:w="1620" w:type="dxa"/>
        <w:tblCellMar>
          <w:top w:w="0" w:type="dxa"/>
          <w:left w:w="0" w:type="dxa"/>
          <w:bottom w:w="0" w:type="dxa"/>
          <w:right w:w="0" w:type="dxa"/>
        </w:tblCellMar>
      </w:tblPr>
      <w:tr>
        <w:trPr>
          <w:trHeight w:val="195"/>
        </w:trPr>
        <w:tc>
          <w:tcPr>
            <w:tcW w:w="1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7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Amortized cost basis</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Allowance as a</w:t>
            </w:r>
          </w:p>
        </w:tc>
        <w:tc>
          <w:tcPr>
            <w:tcW w:w="0" w:type="dxa"/>
            <w:vAlign w:val="bottom"/>
          </w:tcPr>
          <w:p>
            <w:pPr>
              <w:spacing w:after="0"/>
              <w:rPr>
                <w:sz w:val="1"/>
                <w:szCs w:val="1"/>
                <w:color w:val="auto"/>
              </w:rPr>
            </w:pPr>
          </w:p>
        </w:tc>
      </w:tr>
      <w:tr>
        <w:trPr>
          <w:trHeight w:val="168"/>
        </w:trPr>
        <w:tc>
          <w:tcPr>
            <w:tcW w:w="162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Investment in leases,</w:t>
            </w: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Allowance for</w:t>
            </w:r>
          </w:p>
        </w:tc>
        <w:tc>
          <w:tcPr>
            <w:tcW w:w="1720" w:type="dxa"/>
            <w:vAlign w:val="bottom"/>
            <w:gridSpan w:val="3"/>
            <w:vMerge w:val="continue"/>
            <w:shd w:val="clear" w:color="auto" w:fill="CCEEFF"/>
          </w:tcPr>
          <w:p>
            <w:pPr>
              <w:spacing w:after="0"/>
              <w:rPr>
                <w:sz w:val="14"/>
                <w:szCs w:val="14"/>
                <w:color w:val="auto"/>
              </w:rPr>
            </w:pPr>
          </w:p>
        </w:tc>
        <w:tc>
          <w:tcPr>
            <w:tcW w:w="162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percentage of</w:t>
            </w:r>
          </w:p>
        </w:tc>
        <w:tc>
          <w:tcPr>
            <w:tcW w:w="0" w:type="dxa"/>
            <w:vAlign w:val="bottom"/>
          </w:tcPr>
          <w:p>
            <w:pPr>
              <w:spacing w:after="0"/>
              <w:rPr>
                <w:sz w:val="1"/>
                <w:szCs w:val="1"/>
                <w:color w:val="auto"/>
              </w:rPr>
            </w:pPr>
          </w:p>
        </w:tc>
      </w:tr>
      <w:tr>
        <w:trPr>
          <w:trHeight w:val="180"/>
        </w:trPr>
        <w:tc>
          <w:tcPr>
            <w:tcW w:w="1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Origination year</w:t>
            </w:r>
          </w:p>
        </w:tc>
        <w:tc>
          <w:tcPr>
            <w:tcW w:w="15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7"/>
                <w:szCs w:val="17"/>
                <w:b w:val="1"/>
                <w:bCs w:val="1"/>
                <w:color w:val="auto"/>
              </w:rPr>
              <w:t>at September 30,</w:t>
            </w:r>
          </w:p>
        </w:tc>
        <w:tc>
          <w:tcPr>
            <w:tcW w:w="16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w w:val="99"/>
              </w:rPr>
              <w:t>outstanding</w:t>
            </w:r>
          </w:p>
        </w:tc>
        <w:tc>
          <w:tcPr>
            <w:tcW w:w="0" w:type="dxa"/>
            <w:vAlign w:val="bottom"/>
          </w:tcPr>
          <w:p>
            <w:pPr>
              <w:spacing w:after="0"/>
              <w:rPr>
                <w:sz w:val="1"/>
                <w:szCs w:val="1"/>
                <w:color w:val="auto"/>
              </w:rPr>
            </w:pPr>
          </w:p>
        </w:tc>
      </w:tr>
      <w:tr>
        <w:trPr>
          <w:trHeight w:val="219"/>
        </w:trPr>
        <w:tc>
          <w:tcPr>
            <w:tcW w:w="1620" w:type="dxa"/>
            <w:vAlign w:val="bottom"/>
            <w:vMerge w:val="continue"/>
            <w:shd w:val="clear" w:color="auto" w:fill="CCEEFF"/>
          </w:tcPr>
          <w:p>
            <w:pPr>
              <w:spacing w:after="0"/>
              <w:rPr>
                <w:sz w:val="19"/>
                <w:szCs w:val="19"/>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receivables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financing receivable</w:t>
            </w:r>
          </w:p>
        </w:tc>
        <w:tc>
          <w:tcPr>
            <w:tcW w:w="0" w:type="dxa"/>
            <w:vAlign w:val="bottom"/>
          </w:tcPr>
          <w:p>
            <w:pPr>
              <w:spacing w:after="0"/>
              <w:rPr>
                <w:sz w:val="1"/>
                <w:szCs w:val="1"/>
                <w:color w:val="auto"/>
              </w:rPr>
            </w:pPr>
          </w:p>
        </w:tc>
      </w:tr>
      <w:tr>
        <w:trPr>
          <w:trHeight w:val="232"/>
        </w:trPr>
        <w:tc>
          <w:tcPr>
            <w:tcW w:w="162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186,323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(4,188)</w:t>
            </w:r>
          </w:p>
        </w:tc>
        <w:tc>
          <w:tcPr>
            <w:tcW w:w="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182,135</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232"/>
        </w:trPr>
        <w:tc>
          <w:tcPr>
            <w:tcW w:w="16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301,871</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(7,269)</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294,602</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232"/>
        </w:trPr>
        <w:tc>
          <w:tcPr>
            <w:tcW w:w="162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106,493</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(5,636)</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100,857</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0" w:type="dxa"/>
            <w:vAlign w:val="bottom"/>
          </w:tcPr>
          <w:p>
            <w:pPr>
              <w:spacing w:after="0"/>
              <w:rPr>
                <w:sz w:val="1"/>
                <w:szCs w:val="1"/>
                <w:color w:val="auto"/>
              </w:rPr>
            </w:pPr>
          </w:p>
        </w:tc>
      </w:tr>
      <w:tr>
        <w:trPr>
          <w:trHeight w:val="232"/>
        </w:trPr>
        <w:tc>
          <w:tcPr>
            <w:tcW w:w="16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b w:val="1"/>
                <w:bCs w:val="1"/>
                <w:color w:val="auto"/>
              </w:rPr>
              <w:t>2022</w:t>
            </w: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728,925</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(25,975)</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702,950</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0" w:type="dxa"/>
            <w:vAlign w:val="bottom"/>
          </w:tcPr>
          <w:p>
            <w:pPr>
              <w:spacing w:after="0"/>
              <w:rPr>
                <w:sz w:val="1"/>
                <w:szCs w:val="1"/>
                <w:color w:val="auto"/>
              </w:rPr>
            </w:pPr>
          </w:p>
        </w:tc>
      </w:tr>
      <w:tr>
        <w:trPr>
          <w:trHeight w:val="232"/>
        </w:trPr>
        <w:tc>
          <w:tcPr>
            <w:tcW w:w="162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7"/>
                <w:szCs w:val="17"/>
                <w:b w:val="1"/>
                <w:bCs w:val="1"/>
                <w:color w:val="auto"/>
              </w:rPr>
              <w:t>2021</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1,278,139</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(7,768)</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1,270,371</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0" w:type="dxa"/>
            <w:vAlign w:val="bottom"/>
          </w:tcPr>
          <w:p>
            <w:pPr>
              <w:spacing w:after="0"/>
              <w:rPr>
                <w:sz w:val="1"/>
                <w:szCs w:val="1"/>
                <w:color w:val="auto"/>
              </w:rPr>
            </w:pPr>
          </w:p>
        </w:tc>
      </w:tr>
      <w:tr>
        <w:trPr>
          <w:trHeight w:val="250"/>
        </w:trPr>
        <w:tc>
          <w:tcPr>
            <w:tcW w:w="16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2,601,751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(50,836)</w:t>
            </w: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2,550,915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right="800" w:firstLine="619"/>
        <w:spacing w:after="0" w:line="287" w:lineRule="auto"/>
        <w:rPr>
          <w:sz w:val="20"/>
          <w:szCs w:val="20"/>
          <w:color w:val="auto"/>
        </w:rPr>
      </w:pPr>
      <w:r>
        <w:rPr>
          <w:rFonts w:ascii="Times New Roman" w:cs="Times New Roman" w:eastAsia="Times New Roman" w:hAnsi="Times New Roman"/>
          <w:sz w:val="17"/>
          <w:szCs w:val="17"/>
          <w:color w:val="auto"/>
        </w:rPr>
        <w:t>The amortized cost basis of the Company's investment in leases, sales-type by year of origination is shown below as of September 30, 2026 (in thousands):</w:t>
      </w:r>
    </w:p>
    <w:p>
      <w:pPr>
        <w:spacing w:after="0" w:line="204" w:lineRule="exact"/>
        <w:rPr>
          <w:sz w:val="20"/>
          <w:szCs w:val="20"/>
          <w:color w:val="auto"/>
        </w:rPr>
      </w:pPr>
    </w:p>
    <w:tbl>
      <w:tblPr>
        <w:tblLayout w:type="fixed"/>
        <w:tblInd w:w="1920" w:type="dxa"/>
        <w:tblCellMar>
          <w:top w:w="0" w:type="dxa"/>
          <w:left w:w="0" w:type="dxa"/>
          <w:bottom w:w="0" w:type="dxa"/>
          <w:right w:w="0" w:type="dxa"/>
        </w:tblCellMar>
      </w:tblPr>
      <w:tr>
        <w:trPr>
          <w:trHeight w:val="195"/>
        </w:trPr>
        <w:tc>
          <w:tcPr>
            <w:tcW w:w="1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Amortized cost basis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Allowance as a</w:t>
            </w:r>
          </w:p>
        </w:tc>
        <w:tc>
          <w:tcPr>
            <w:tcW w:w="0" w:type="dxa"/>
            <w:vAlign w:val="bottom"/>
          </w:tcPr>
          <w:p>
            <w:pPr>
              <w:spacing w:after="0"/>
              <w:rPr>
                <w:sz w:val="1"/>
                <w:szCs w:val="1"/>
                <w:color w:val="auto"/>
              </w:rPr>
            </w:pPr>
          </w:p>
        </w:tc>
      </w:tr>
      <w:tr>
        <w:trPr>
          <w:trHeight w:val="168"/>
        </w:trPr>
        <w:tc>
          <w:tcPr>
            <w:tcW w:w="1440" w:type="dxa"/>
            <w:vAlign w:val="bottom"/>
            <w:shd w:val="clear" w:color="auto" w:fill="CCEEFF"/>
          </w:tcPr>
          <w:p>
            <w:pPr>
              <w:spacing w:after="0"/>
              <w:rPr>
                <w:sz w:val="14"/>
                <w:szCs w:val="14"/>
                <w:color w:val="auto"/>
              </w:rPr>
            </w:pPr>
          </w:p>
        </w:tc>
        <w:tc>
          <w:tcPr>
            <w:tcW w:w="1760" w:type="dxa"/>
            <w:vAlign w:val="bottom"/>
            <w:gridSpan w:val="2"/>
            <w:vMerge w:val="restart"/>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rPr>
              <w:t>Investment in leases,</w:t>
            </w: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Allowance for</w:t>
            </w:r>
          </w:p>
        </w:tc>
        <w:tc>
          <w:tcPr>
            <w:tcW w:w="1660" w:type="dxa"/>
            <w:vAlign w:val="bottom"/>
            <w:gridSpan w:val="2"/>
            <w:vMerge w:val="continue"/>
            <w:shd w:val="clear" w:color="auto" w:fill="CCEEFF"/>
          </w:tcPr>
          <w:p>
            <w:pPr>
              <w:spacing w:after="0"/>
              <w:rPr>
                <w:sz w:val="14"/>
                <w:szCs w:val="14"/>
                <w:color w:val="auto"/>
              </w:rPr>
            </w:pPr>
          </w:p>
        </w:tc>
        <w:tc>
          <w:tcPr>
            <w:tcW w:w="168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percentage of</w:t>
            </w:r>
          </w:p>
        </w:tc>
        <w:tc>
          <w:tcPr>
            <w:tcW w:w="0" w:type="dxa"/>
            <w:vAlign w:val="bottom"/>
          </w:tcPr>
          <w:p>
            <w:pPr>
              <w:spacing w:after="0"/>
              <w:rPr>
                <w:sz w:val="1"/>
                <w:szCs w:val="1"/>
                <w:color w:val="auto"/>
              </w:rPr>
            </w:pPr>
          </w:p>
        </w:tc>
      </w:tr>
      <w:tr>
        <w:trPr>
          <w:trHeight w:val="168"/>
        </w:trPr>
        <w:tc>
          <w:tcPr>
            <w:tcW w:w="144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Origination year</w:t>
            </w:r>
          </w:p>
        </w:tc>
        <w:tc>
          <w:tcPr>
            <w:tcW w:w="1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center"/>
              <w:ind w:right="114"/>
              <w:spacing w:after="0" w:line="167" w:lineRule="exact"/>
              <w:rPr>
                <w:sz w:val="20"/>
                <w:szCs w:val="20"/>
                <w:color w:val="auto"/>
              </w:rPr>
            </w:pPr>
            <w:r>
              <w:rPr>
                <w:rFonts w:ascii="Times New Roman" w:cs="Times New Roman" w:eastAsia="Times New Roman" w:hAnsi="Times New Roman"/>
                <w:sz w:val="17"/>
                <w:szCs w:val="17"/>
                <w:b w:val="1"/>
                <w:bCs w:val="1"/>
                <w:color w:val="auto"/>
              </w:rPr>
              <w:t>at September 30,</w:t>
            </w:r>
          </w:p>
        </w:tc>
        <w:tc>
          <w:tcPr>
            <w:tcW w:w="168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outstanding</w:t>
            </w:r>
          </w:p>
        </w:tc>
        <w:tc>
          <w:tcPr>
            <w:tcW w:w="0" w:type="dxa"/>
            <w:vAlign w:val="bottom"/>
          </w:tcPr>
          <w:p>
            <w:pPr>
              <w:spacing w:after="0"/>
              <w:rPr>
                <w:sz w:val="1"/>
                <w:szCs w:val="1"/>
                <w:color w:val="auto"/>
              </w:rPr>
            </w:pPr>
          </w:p>
        </w:tc>
      </w:tr>
      <w:tr>
        <w:trPr>
          <w:trHeight w:val="232"/>
        </w:trPr>
        <w:tc>
          <w:tcPr>
            <w:tcW w:w="1440" w:type="dxa"/>
            <w:vAlign w:val="bottom"/>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20" w:type="dxa"/>
            <w:vAlign w:val="bottom"/>
            <w:shd w:val="clear" w:color="auto" w:fill="CCEEFF"/>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w w:val="98"/>
              </w:rPr>
              <w:t>sales-type</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financing receivable</w:t>
            </w:r>
          </w:p>
        </w:tc>
        <w:tc>
          <w:tcPr>
            <w:tcW w:w="0" w:type="dxa"/>
            <w:vAlign w:val="bottom"/>
          </w:tcPr>
          <w:p>
            <w:pPr>
              <w:spacing w:after="0"/>
              <w:rPr>
                <w:sz w:val="1"/>
                <w:szCs w:val="1"/>
                <w:color w:val="auto"/>
              </w:rPr>
            </w:pPr>
          </w:p>
        </w:tc>
      </w:tr>
      <w:tr>
        <w:trPr>
          <w:trHeight w:val="232"/>
        </w:trPr>
        <w:tc>
          <w:tcPr>
            <w:tcW w:w="144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278,497</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(33,376)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245,121</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During the three and nine months ended September 30, 2026, the Company recorded a net provision for credit losses of $30.1 million and $32.0 million, respectively, related to investments in leases, financing receivables, and sales-type leases. The provision for credit losses during the three months ended September 30, 2026 was primarily attributable to lower projected commercial real estate price growth compared to the prior quarter, largely reflecting the sharp increase in long-term interest rates during the third quarter.</w:t>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During the three and nine months ended September 30, 2025, the Company recorded a benefit for credit losses of $34.5 million and a provision for credit losses of $47.7 million, respectively, related to investments in leases, financing receivables, and sales-type leases. The benefit for the three months ended September 30, 2025 was driven by an improvement in the third-party forward-looking economic outlook used in the Company's CECL reserve calculations compared to what was utilized at June 30, 2025. The provision for the nine months ended September 30, 2025 was primarily driven by the deterioration in the third-party forward-looking economic outlook used in the Company's CECL reserve calculations compared to what was utilized at December 31, 2024.</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Differences in the allowance as a percentage of outstanding financing receivables for leases originated in different calendar years, as shown in the table, reflect various factors, including but not limited to, expected rent coverage ratios and loan-to-value ratios. Future changes in economic projections, probability factors, changes in the estimated value of our real estate property and earnings assumptions at the underlying facilities may result in non-cash provisions or recoveries in future periods that could materially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4.</w:t>
        <w:tab/>
        <w:t>Real Estate Investments, Net</w:t>
      </w:r>
    </w:p>
    <w:p>
      <w:pPr>
        <w:spacing w:after="0" w:line="247"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Real estate investments, net, represent investments in rental properties and the corporate headquarters building (excluding our investments in transactions accounted for as real estate loans and investment in leases, financing receivables and investment in leases, sales-type that are described in Notes 5 and 3, respectively) and is summarized as follows:</w:t>
      </w:r>
    </w:p>
    <w:p>
      <w:pPr>
        <w:spacing w:after="0" w:line="190"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18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1"/>
        </w:trPr>
        <w:tc>
          <w:tcPr>
            <w:tcW w:w="7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gridSpan w:val="4"/>
          </w:tcPr>
          <w:p>
            <w:pPr>
              <w:jc w:val="right"/>
              <w:ind w:right="91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
        </w:trPr>
        <w:tc>
          <w:tcPr>
            <w:tcW w:w="7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and improvements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4,028,610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3,588,793</w:t>
            </w:r>
          </w:p>
        </w:tc>
      </w:tr>
      <w:tr>
        <w:trPr>
          <w:trHeight w:val="232"/>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 and improvements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7,748,205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7,353,409</w:t>
            </w:r>
          </w:p>
        </w:tc>
      </w:tr>
      <w:tr>
        <w:trPr>
          <w:trHeight w:val="23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686,609</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230,831</w:t>
            </w:r>
          </w:p>
        </w:tc>
      </w:tr>
      <w:tr>
        <w:trPr>
          <w:trHeight w:val="225"/>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real estate investments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12,463,424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11,173,033</w:t>
            </w:r>
          </w:p>
        </w:tc>
      </w:tr>
      <w:tr>
        <w:trPr>
          <w:trHeight w:val="23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(2,796,529)</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(2,698,772)</w:t>
            </w:r>
          </w:p>
        </w:tc>
      </w:tr>
      <w:tr>
        <w:trPr>
          <w:trHeight w:val="225"/>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investments,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9,666,895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8,474,261</w:t>
            </w: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The increase in land and improvements and building and improvements primarily relates to the acquisition of the Bally's Lincoln real estate assets, in addition to the landside development projects for Bally's Marquette and the new Aurora landside casino, partially offset by the removal of the assets related to the former Aurora casino. Aurora relocated landside on June 24, 2026. Construction in progress primarily represents development funding along with related capitalized interest on the Company's development projects.</w:t>
      </w:r>
    </w:p>
    <w:p>
      <w:pPr>
        <w:spacing w:after="0" w:line="21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5.</w:t>
        <w:tab/>
        <w:t>Real estate loans, net</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entered into the Rockford Loan to fund the construction of the Hard Rock Casino Rockford in Rockford, Illinois. As of September 30, 2026 and December 31, 2025, $134 million and $150 million, respectively, were outstanding under the Rockford Loan. In June 2026, $16 million of the Rockford Loan was repaid and the maturity date was extended to December 31, 2029. The contractual interest rate remained unchanged at 8%. The amendment also requires a principal payment of $12 million on or before March 31, 2028 and an additional principal payment of $10 million on or before March 31, 2029.</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also entered into the Ione Loan for up to $110 million, of which $98.4 million and $56.6 million was outstanding as of September 30, 2026 and December 31, 2025, respectively. The Ione Loan has an 11% annual interest rate and matures in September 2029.</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also entered into the Dry Creek Loan on December 4, 2025, and $45.3 million was drawn as of September 30, 2026 and December 31, 2025. The term loan B was issued at an original issue discount of 3% and bears interest at SOFR plus 900 basis points, subject to a SOFR floor of 1%. Each term loan has a maturity of 6 years.</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discussed in Note 1, the Company concluded that amounts funded and the commitment to fund the development of Virginia Live! should be accounted for as a loan and a loan commitment, respectively. As of September 30, 2026, $48.6 million was funded and has been classified as a real estate loan, with interest income recognized at an annual rate of 8.0%. Upon completion of construction and commencement of operations, the Company expects the arrangement to be evaluated under the sale-leaseback guidance in ASC 842 to determine the appropriate lease classification.</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summary of the balances of the Company's real estate loans, net.</w:t>
      </w:r>
    </w:p>
    <w:p>
      <w:pPr>
        <w:spacing w:after="0" w:line="285" w:lineRule="exact"/>
        <w:rPr>
          <w:sz w:val="20"/>
          <w:szCs w:val="20"/>
          <w:color w:val="auto"/>
        </w:rPr>
      </w:pPr>
    </w:p>
    <w:tbl>
      <w:tblPr>
        <w:tblLayout w:type="fixed"/>
        <w:tblInd w:w="620" w:type="dxa"/>
        <w:tblCellMar>
          <w:top w:w="0" w:type="dxa"/>
          <w:left w:w="0" w:type="dxa"/>
          <w:bottom w:w="0" w:type="dxa"/>
          <w:right w:w="0" w:type="dxa"/>
        </w:tblCellMar>
      </w:tblPr>
      <w:tr>
        <w:trPr>
          <w:trHeight w:val="219"/>
        </w:trPr>
        <w:tc>
          <w:tcPr>
            <w:tcW w:w="296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b w:val="1"/>
                <w:bCs w:val="1"/>
                <w:color w:val="auto"/>
              </w:rPr>
              <w:t>September 30, 2026</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177"/>
        </w:trPr>
        <w:tc>
          <w:tcPr>
            <w:tcW w:w="2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80" w:type="dxa"/>
            <w:vAlign w:val="bottom"/>
          </w:tcPr>
          <w:p>
            <w:pPr>
              <w:spacing w:after="0"/>
              <w:rPr>
                <w:sz w:val="15"/>
                <w:szCs w:val="15"/>
                <w:color w:val="auto"/>
              </w:rPr>
            </w:pPr>
          </w:p>
        </w:tc>
      </w:tr>
      <w:tr>
        <w:trPr>
          <w:trHeight w:val="22"/>
        </w:trPr>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32"/>
        </w:trPr>
        <w:tc>
          <w:tcPr>
            <w:tcW w:w="296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Real estate loans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325,226</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250,515</w:t>
            </w:r>
          </w:p>
        </w:tc>
      </w:tr>
      <w:tr>
        <w:trPr>
          <w:trHeight w:val="232"/>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(9,592)</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(2,516)</w:t>
            </w: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loans, net</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315,634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247,999</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right="1920" w:firstLine="2"/>
        <w:spacing w:after="0" w:line="532" w:lineRule="auto"/>
        <w:tabs>
          <w:tab w:leader="none" w:pos="778"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an unearned discount of $1.2 million and $1.4 million at September 30, 2026 and December 31, 2025, respectively. The change in the allowance for credit losses for the Company's real estate loans is shown below (in thousands):</w:t>
      </w:r>
    </w:p>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219"/>
        </w:trPr>
        <w:tc>
          <w:tcPr>
            <w:tcW w:w="3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5"/>
                <w:szCs w:val="15"/>
                <w:b w:val="1"/>
                <w:bCs w:val="1"/>
                <w:color w:val="auto"/>
              </w:rPr>
              <w:t>Rockford Loan</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Ione Loan</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5"/>
                <w:szCs w:val="15"/>
                <w:b w:val="1"/>
                <w:bCs w:val="1"/>
                <w:color w:val="auto"/>
              </w:rPr>
              <w:t>Dry Creek Loan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5"/>
                <w:szCs w:val="15"/>
                <w:b w:val="1"/>
                <w:bCs w:val="1"/>
                <w:color w:val="auto"/>
              </w:rPr>
              <w:t>Cordish Virginia</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32"/>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(1,279)</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center"/>
              <w:ind w:left="695"/>
              <w:spacing w:after="0"/>
              <w:rPr>
                <w:sz w:val="20"/>
                <w:szCs w:val="20"/>
                <w:color w:val="auto"/>
              </w:rPr>
            </w:pPr>
            <w:r>
              <w:rPr>
                <w:rFonts w:ascii="Times New Roman" w:cs="Times New Roman" w:eastAsia="Times New Roman" w:hAnsi="Times New Roman"/>
                <w:sz w:val="17"/>
                <w:szCs w:val="17"/>
                <w:color w:val="auto"/>
                <w:w w:val="97"/>
              </w:rPr>
              <w:t>(399)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(2,516)</w:t>
            </w:r>
          </w:p>
        </w:tc>
      </w:tr>
      <w:tr>
        <w:trPr>
          <w:trHeight w:val="232"/>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allowance</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w:t>
            </w: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center"/>
              <w:ind w:left="695"/>
              <w:spacing w:after="0"/>
              <w:rPr>
                <w:sz w:val="20"/>
                <w:szCs w:val="20"/>
                <w:color w:val="auto"/>
              </w:rPr>
            </w:pPr>
            <w:r>
              <w:rPr>
                <w:rFonts w:ascii="Times New Roman" w:cs="Times New Roman" w:eastAsia="Times New Roman" w:hAnsi="Times New Roman"/>
                <w:sz w:val="17"/>
                <w:szCs w:val="17"/>
                <w:color w:val="auto"/>
                <w:w w:val="97"/>
              </w:rPr>
              <w:t>(246)</w:t>
            </w: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(2,404)</w:t>
            </w:r>
          </w:p>
        </w:tc>
      </w:tr>
      <w:tr>
        <w:trPr>
          <w:trHeight w:val="225"/>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 at March 31, 2026</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(2,895)</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center"/>
              <w:ind w:left="695"/>
              <w:spacing w:after="0"/>
              <w:rPr>
                <w:sz w:val="20"/>
                <w:szCs w:val="20"/>
                <w:color w:val="auto"/>
              </w:rPr>
            </w:pPr>
            <w:r>
              <w:rPr>
                <w:rFonts w:ascii="Times New Roman" w:cs="Times New Roman" w:eastAsia="Times New Roman" w:hAnsi="Times New Roman"/>
                <w:sz w:val="17"/>
                <w:szCs w:val="17"/>
                <w:color w:val="auto"/>
                <w:w w:val="97"/>
              </w:rPr>
              <w:t>(645)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(4,920)</w:t>
            </w:r>
          </w:p>
        </w:tc>
      </w:tr>
      <w:tr>
        <w:trPr>
          <w:trHeight w:val="232"/>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allowance</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(3,186)</w:t>
            </w: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center"/>
              <w:ind w:left="715"/>
              <w:spacing w:after="0"/>
              <w:rPr>
                <w:sz w:val="20"/>
                <w:szCs w:val="20"/>
                <w:color w:val="auto"/>
              </w:rPr>
            </w:pPr>
            <w:r>
              <w:rPr>
                <w:rFonts w:ascii="Times New Roman" w:cs="Times New Roman" w:eastAsia="Times New Roman" w:hAnsi="Times New Roman"/>
                <w:sz w:val="17"/>
                <w:szCs w:val="17"/>
                <w:color w:val="auto"/>
              </w:rPr>
              <w:t>289</w:t>
            </w: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(2,622)</w:t>
            </w:r>
          </w:p>
        </w:tc>
      </w:tr>
      <w:tr>
        <w:trPr>
          <w:trHeight w:val="225"/>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 June 30, 2026</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(6,081)</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center"/>
              <w:ind w:left="695"/>
              <w:spacing w:after="0"/>
              <w:rPr>
                <w:sz w:val="20"/>
                <w:szCs w:val="20"/>
                <w:color w:val="auto"/>
              </w:rPr>
            </w:pPr>
            <w:r>
              <w:rPr>
                <w:rFonts w:ascii="Times New Roman" w:cs="Times New Roman" w:eastAsia="Times New Roman" w:hAnsi="Times New Roman"/>
                <w:sz w:val="17"/>
                <w:szCs w:val="17"/>
                <w:color w:val="auto"/>
                <w:w w:val="97"/>
              </w:rPr>
              <w:t>(356)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(7,542)</w:t>
            </w:r>
          </w:p>
        </w:tc>
      </w:tr>
      <w:tr>
        <w:trPr>
          <w:trHeight w:val="232"/>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allowance</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center"/>
              <w:ind w:left="695"/>
              <w:spacing w:after="0"/>
              <w:rPr>
                <w:sz w:val="20"/>
                <w:szCs w:val="20"/>
                <w:color w:val="auto"/>
              </w:rPr>
            </w:pPr>
            <w:r>
              <w:rPr>
                <w:rFonts w:ascii="Times New Roman" w:cs="Times New Roman" w:eastAsia="Times New Roman" w:hAnsi="Times New Roman"/>
                <w:sz w:val="17"/>
                <w:szCs w:val="17"/>
                <w:color w:val="auto"/>
                <w:w w:val="97"/>
              </w:rPr>
              <w:t>(161)</w:t>
            </w: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(2,050)</w:t>
            </w:r>
          </w:p>
        </w:tc>
      </w:tr>
      <w:tr>
        <w:trPr>
          <w:trHeight w:val="225"/>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 at September 30, 2026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(7,092)</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center"/>
              <w:ind w:left="695"/>
              <w:spacing w:after="0"/>
              <w:rPr>
                <w:sz w:val="20"/>
                <w:szCs w:val="20"/>
                <w:color w:val="auto"/>
              </w:rPr>
            </w:pPr>
            <w:r>
              <w:rPr>
                <w:rFonts w:ascii="Times New Roman" w:cs="Times New Roman" w:eastAsia="Times New Roman" w:hAnsi="Times New Roman"/>
                <w:sz w:val="17"/>
                <w:szCs w:val="17"/>
                <w:color w:val="auto"/>
                <w:w w:val="97"/>
              </w:rPr>
              <w:t>(517)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(9,592)</w:t>
            </w:r>
          </w:p>
        </w:tc>
      </w:tr>
      <w:tr>
        <w:trPr>
          <w:trHeight w:val="20"/>
        </w:trPr>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20" w:type="dxa"/>
            <w:vAlign w:val="bottom"/>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5"/>
                <w:szCs w:val="15"/>
                <w:b w:val="1"/>
                <w:bCs w:val="1"/>
                <w:color w:val="auto"/>
              </w:rPr>
              <w:t>Rockford Loan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rPr>
              <w:t>Ione Loan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620" w:type="dxa"/>
            <w:vAlign w:val="bottom"/>
          </w:tcPr>
          <w:p>
            <w:pPr>
              <w:spacing w:after="0"/>
              <w:rPr>
                <w:sz w:val="19"/>
                <w:szCs w:val="19"/>
                <w:color w:val="auto"/>
              </w:rPr>
            </w:pPr>
          </w:p>
        </w:tc>
      </w:tr>
      <w:tr>
        <w:trPr>
          <w:trHeight w:val="232"/>
        </w:trPr>
        <w:tc>
          <w:tcPr>
            <w:tcW w:w="6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(4,487)</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(4,570)</w:t>
            </w:r>
          </w:p>
        </w:tc>
        <w:tc>
          <w:tcPr>
            <w:tcW w:w="2620" w:type="dxa"/>
            <w:vAlign w:val="bottom"/>
          </w:tcPr>
          <w:p>
            <w:pPr>
              <w:spacing w:after="0"/>
              <w:rPr>
                <w:sz w:val="20"/>
                <w:szCs w:val="20"/>
                <w:color w:val="auto"/>
              </w:rPr>
            </w:pPr>
          </w:p>
        </w:tc>
      </w:tr>
      <w:tr>
        <w:trPr>
          <w:trHeight w:val="232"/>
        </w:trPr>
        <w:tc>
          <w:tcPr>
            <w:tcW w:w="620" w:type="dxa"/>
            <w:vAlign w:val="bottom"/>
          </w:tcPr>
          <w:p>
            <w:pPr>
              <w:spacing w:after="0"/>
              <w:rPr>
                <w:sz w:val="20"/>
                <w:szCs w:val="20"/>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allowance</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(2,939)</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(3,006)</w:t>
            </w:r>
          </w:p>
        </w:tc>
        <w:tc>
          <w:tcPr>
            <w:tcW w:w="2620" w:type="dxa"/>
            <w:vAlign w:val="bottom"/>
          </w:tcPr>
          <w:p>
            <w:pPr>
              <w:spacing w:after="0"/>
              <w:rPr>
                <w:sz w:val="20"/>
                <w:szCs w:val="20"/>
                <w:color w:val="auto"/>
              </w:rPr>
            </w:pPr>
          </w:p>
        </w:tc>
      </w:tr>
      <w:tr>
        <w:trPr>
          <w:trHeight w:val="225"/>
        </w:trPr>
        <w:tc>
          <w:tcPr>
            <w:tcW w:w="6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 at March 31, 2025</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(7,426)</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(7,576)</w:t>
            </w:r>
          </w:p>
        </w:tc>
        <w:tc>
          <w:tcPr>
            <w:tcW w:w="2620" w:type="dxa"/>
            <w:vAlign w:val="bottom"/>
          </w:tcPr>
          <w:p>
            <w:pPr>
              <w:spacing w:after="0"/>
              <w:rPr>
                <w:sz w:val="19"/>
                <w:szCs w:val="19"/>
                <w:color w:val="auto"/>
              </w:rPr>
            </w:pPr>
          </w:p>
        </w:tc>
      </w:tr>
      <w:tr>
        <w:trPr>
          <w:trHeight w:val="232"/>
        </w:trPr>
        <w:tc>
          <w:tcPr>
            <w:tcW w:w="620" w:type="dxa"/>
            <w:vAlign w:val="bottom"/>
          </w:tcPr>
          <w:p>
            <w:pPr>
              <w:spacing w:after="0"/>
              <w:rPr>
                <w:sz w:val="20"/>
                <w:szCs w:val="20"/>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allowance</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(6,877)</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(7,085)</w:t>
            </w:r>
          </w:p>
        </w:tc>
        <w:tc>
          <w:tcPr>
            <w:tcW w:w="2620" w:type="dxa"/>
            <w:vAlign w:val="bottom"/>
          </w:tcPr>
          <w:p>
            <w:pPr>
              <w:spacing w:after="0"/>
              <w:rPr>
                <w:sz w:val="20"/>
                <w:szCs w:val="20"/>
                <w:color w:val="auto"/>
              </w:rPr>
            </w:pPr>
          </w:p>
        </w:tc>
      </w:tr>
      <w:tr>
        <w:trPr>
          <w:trHeight w:val="225"/>
        </w:trPr>
        <w:tc>
          <w:tcPr>
            <w:tcW w:w="6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 at June 30, 2025</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(14,303)</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(14,661)</w:t>
            </w:r>
          </w:p>
        </w:tc>
        <w:tc>
          <w:tcPr>
            <w:tcW w:w="2620" w:type="dxa"/>
            <w:vAlign w:val="bottom"/>
          </w:tcPr>
          <w:p>
            <w:pPr>
              <w:spacing w:after="0"/>
              <w:rPr>
                <w:sz w:val="19"/>
                <w:szCs w:val="19"/>
                <w:color w:val="auto"/>
              </w:rPr>
            </w:pPr>
          </w:p>
        </w:tc>
      </w:tr>
      <w:tr>
        <w:trPr>
          <w:trHeight w:val="232"/>
        </w:trPr>
        <w:tc>
          <w:tcPr>
            <w:tcW w:w="620" w:type="dxa"/>
            <w:vAlign w:val="bottom"/>
          </w:tcPr>
          <w:p>
            <w:pPr>
              <w:spacing w:after="0"/>
              <w:rPr>
                <w:sz w:val="20"/>
                <w:szCs w:val="20"/>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allowance</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2,197</w:t>
            </w:r>
          </w:p>
        </w:tc>
        <w:tc>
          <w:tcPr>
            <w:tcW w:w="2620" w:type="dxa"/>
            <w:vAlign w:val="bottom"/>
          </w:tcPr>
          <w:p>
            <w:pPr>
              <w:spacing w:after="0"/>
              <w:rPr>
                <w:sz w:val="20"/>
                <w:szCs w:val="20"/>
                <w:color w:val="auto"/>
              </w:rPr>
            </w:pPr>
          </w:p>
        </w:tc>
      </w:tr>
      <w:tr>
        <w:trPr>
          <w:trHeight w:val="225"/>
        </w:trPr>
        <w:tc>
          <w:tcPr>
            <w:tcW w:w="6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 at September 30, 2025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(12,177)</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(12,464)</w:t>
            </w:r>
          </w:p>
        </w:tc>
        <w:tc>
          <w:tcPr>
            <w:tcW w:w="262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817"/>
        </w:trPr>
        <w:tc>
          <w:tcPr>
            <w:tcW w:w="6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20</w:t>
            </w: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08"/>
        </w:trPr>
        <w:tc>
          <w:tcPr>
            <w:tcW w:w="62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amortized cost basis of the Company's real estate loans by year of origination is shown below as of September 30, 2026 (in thousands):</w:t>
      </w:r>
    </w:p>
    <w:p>
      <w:pPr>
        <w:spacing w:after="0" w:line="270" w:lineRule="exact"/>
        <w:rPr>
          <w:sz w:val="20"/>
          <w:szCs w:val="20"/>
          <w:color w:val="auto"/>
        </w:rPr>
      </w:pPr>
    </w:p>
    <w:tbl>
      <w:tblPr>
        <w:tblLayout w:type="fixed"/>
        <w:tblInd w:w="1620" w:type="dxa"/>
        <w:tblCellMar>
          <w:top w:w="0" w:type="dxa"/>
          <w:left w:w="0" w:type="dxa"/>
          <w:bottom w:w="0" w:type="dxa"/>
          <w:right w:w="0" w:type="dxa"/>
        </w:tblCellMar>
      </w:tblPr>
      <w:tr>
        <w:trPr>
          <w:trHeight w:val="195"/>
        </w:trPr>
        <w:tc>
          <w:tcPr>
            <w:tcW w:w="1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7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Amortized cost basis</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Allowance as a</w:t>
            </w:r>
          </w:p>
        </w:tc>
        <w:tc>
          <w:tcPr>
            <w:tcW w:w="0" w:type="dxa"/>
            <w:vAlign w:val="bottom"/>
          </w:tcPr>
          <w:p>
            <w:pPr>
              <w:spacing w:after="0"/>
              <w:rPr>
                <w:sz w:val="1"/>
                <w:szCs w:val="1"/>
                <w:color w:val="auto"/>
              </w:rPr>
            </w:pPr>
          </w:p>
        </w:tc>
      </w:tr>
      <w:tr>
        <w:trPr>
          <w:trHeight w:val="168"/>
        </w:trPr>
        <w:tc>
          <w:tcPr>
            <w:tcW w:w="1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Allowance for</w:t>
            </w:r>
          </w:p>
        </w:tc>
        <w:tc>
          <w:tcPr>
            <w:tcW w:w="1720" w:type="dxa"/>
            <w:vAlign w:val="bottom"/>
            <w:gridSpan w:val="3"/>
            <w:vMerge w:val="continue"/>
            <w:shd w:val="clear" w:color="auto" w:fill="CCEEFF"/>
          </w:tcPr>
          <w:p>
            <w:pPr>
              <w:spacing w:after="0"/>
              <w:rPr>
                <w:sz w:val="14"/>
                <w:szCs w:val="14"/>
                <w:color w:val="auto"/>
              </w:rPr>
            </w:pPr>
          </w:p>
        </w:tc>
        <w:tc>
          <w:tcPr>
            <w:tcW w:w="162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percentage of</w:t>
            </w:r>
          </w:p>
        </w:tc>
        <w:tc>
          <w:tcPr>
            <w:tcW w:w="0" w:type="dxa"/>
            <w:vAlign w:val="bottom"/>
          </w:tcPr>
          <w:p>
            <w:pPr>
              <w:spacing w:after="0"/>
              <w:rPr>
                <w:sz w:val="1"/>
                <w:szCs w:val="1"/>
                <w:color w:val="auto"/>
              </w:rPr>
            </w:pPr>
          </w:p>
        </w:tc>
      </w:tr>
      <w:tr>
        <w:trPr>
          <w:trHeight w:val="180"/>
        </w:trPr>
        <w:tc>
          <w:tcPr>
            <w:tcW w:w="1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Origination year</w:t>
            </w:r>
          </w:p>
        </w:tc>
        <w:tc>
          <w:tcPr>
            <w:tcW w:w="1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Real estate loans</w:t>
            </w:r>
          </w:p>
        </w:tc>
        <w:tc>
          <w:tcPr>
            <w:tcW w:w="20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7"/>
                <w:szCs w:val="17"/>
                <w:b w:val="1"/>
                <w:bCs w:val="1"/>
                <w:color w:val="auto"/>
              </w:rPr>
              <w:t>at September 30,</w:t>
            </w:r>
          </w:p>
        </w:tc>
        <w:tc>
          <w:tcPr>
            <w:tcW w:w="16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w w:val="99"/>
              </w:rPr>
              <w:t>outstanding real</w:t>
            </w:r>
          </w:p>
        </w:tc>
        <w:tc>
          <w:tcPr>
            <w:tcW w:w="0" w:type="dxa"/>
            <w:vAlign w:val="bottom"/>
          </w:tcPr>
          <w:p>
            <w:pPr>
              <w:spacing w:after="0"/>
              <w:rPr>
                <w:sz w:val="1"/>
                <w:szCs w:val="1"/>
                <w:color w:val="auto"/>
              </w:rPr>
            </w:pPr>
          </w:p>
        </w:tc>
      </w:tr>
      <w:tr>
        <w:trPr>
          <w:trHeight w:val="219"/>
        </w:trPr>
        <w:tc>
          <w:tcPr>
            <w:tcW w:w="1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estate loans</w:t>
            </w:r>
          </w:p>
        </w:tc>
        <w:tc>
          <w:tcPr>
            <w:tcW w:w="0" w:type="dxa"/>
            <w:vAlign w:val="bottom"/>
          </w:tcPr>
          <w:p>
            <w:pPr>
              <w:spacing w:after="0"/>
              <w:rPr>
                <w:sz w:val="1"/>
                <w:szCs w:val="1"/>
                <w:color w:val="auto"/>
              </w:rPr>
            </w:pPr>
          </w:p>
        </w:tc>
      </w:tr>
      <w:tr>
        <w:trPr>
          <w:trHeight w:val="232"/>
        </w:trPr>
        <w:tc>
          <w:tcPr>
            <w:tcW w:w="162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2026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48,704</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w:t>
            </w:r>
          </w:p>
        </w:tc>
        <w:tc>
          <w:tcPr>
            <w:tcW w:w="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47,947</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32"/>
        </w:trPr>
        <w:tc>
          <w:tcPr>
            <w:tcW w:w="16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44,081</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42,855</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0" w:type="dxa"/>
            <w:vAlign w:val="bottom"/>
          </w:tcPr>
          <w:p>
            <w:pPr>
              <w:spacing w:after="0"/>
              <w:rPr>
                <w:sz w:val="1"/>
                <w:szCs w:val="1"/>
                <w:color w:val="auto"/>
              </w:rPr>
            </w:pPr>
          </w:p>
        </w:tc>
      </w:tr>
      <w:tr>
        <w:trPr>
          <w:trHeight w:val="232"/>
        </w:trPr>
        <w:tc>
          <w:tcPr>
            <w:tcW w:w="162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98,441</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97,924</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0" w:type="dxa"/>
            <w:vAlign w:val="bottom"/>
          </w:tcPr>
          <w:p>
            <w:pPr>
              <w:spacing w:after="0"/>
              <w:rPr>
                <w:sz w:val="1"/>
                <w:szCs w:val="1"/>
                <w:color w:val="auto"/>
              </w:rPr>
            </w:pPr>
          </w:p>
        </w:tc>
      </w:tr>
      <w:tr>
        <w:trPr>
          <w:trHeight w:val="232"/>
        </w:trPr>
        <w:tc>
          <w:tcPr>
            <w:tcW w:w="16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134,000</w:t>
            </w: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(7,092)</w:t>
            </w: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126,908</w:t>
            </w:r>
          </w:p>
        </w:tc>
        <w:tc>
          <w:tcPr>
            <w:tcW w:w="120" w:type="dxa"/>
            <w:vAlign w:val="bottom"/>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0" w:type="dxa"/>
            <w:vAlign w:val="bottom"/>
          </w:tcPr>
          <w:p>
            <w:pPr>
              <w:spacing w:after="0"/>
              <w:rPr>
                <w:sz w:val="1"/>
                <w:szCs w:val="1"/>
                <w:color w:val="auto"/>
              </w:rPr>
            </w:pPr>
          </w:p>
        </w:tc>
      </w:tr>
      <w:tr>
        <w:trPr>
          <w:trHeight w:val="225"/>
        </w:trPr>
        <w:tc>
          <w:tcPr>
            <w:tcW w:w="162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325,226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(9,592)</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315,634</w:t>
            </w: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real estate loans are subject to CECL, which is described in Note 3. The Company recorded a provision for credit losses of $2.0 million and $7.1 million for the three and nine months ended September 30, 2026 on the Company's real estate loans, respectively. The Company recorded a benefit for credit losses of $2.2 million and a provision for credit losses of $7.9 million for the three and nine months ended September 30, 2025 on the Company's real estate loans, respectively.</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Additionally, the Company recorded a provision of $4.1 million and a benefit of $10.0 million during the three and nine months ended September 30, 2026 on unfunded loan commitments compared to a benefit of $0.7 million during the three months ended September 30, 2025. The reserves for the unfunded loan commitment are recorded in other liabilities on the Condensed Consolidated Balance Sheets and totaled $6.8 million and $16.8 million at September 30, 2026 and December 31, 2025, respectively. The Company's borrowers were current on their loan obligations as of September 30, 2026 and December 31, 2025.</w:t>
      </w:r>
    </w:p>
    <w:p>
      <w:pPr>
        <w:spacing w:after="0" w:line="193" w:lineRule="exact"/>
        <w:rPr>
          <w:sz w:val="20"/>
          <w:szCs w:val="20"/>
          <w:color w:val="auto"/>
        </w:rPr>
      </w:pPr>
    </w:p>
    <w:p>
      <w:pPr>
        <w:ind w:right="8460" w:firstLine="3"/>
        <w:spacing w:after="0" w:line="540" w:lineRule="auto"/>
        <w:tabs>
          <w:tab w:leader="none" w:pos="301"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 Assets and Lease Liabilities Lease Assets</w:t>
      </w:r>
    </w:p>
    <w:p>
      <w:pPr>
        <w:spacing w:after="0" w:line="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2038 to 2108, when considering all renewal options. For certain of these ground leases, the Company’s tenants are responsible for payment directly to the third-party landlord. Under ASC 842, the Company is required to gross-up its condensed consolidated financial statements for these ground leases as the Company is considered the primary obligor. In conjunction with the adoption of ASU 2016-02 on January 1, 2019, the Company recorded right-of-use assets and related lease liabilities on its condensed consolidated balance sheets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sheets in conjunction with the Company's assumption of below market leases at the time it acquired the related land and building assets, the Company is required to report the right-of-use assets and land rights in the aggregate on the Condensed Consolidated Balance Sheets.</w:t>
      </w:r>
    </w:p>
    <w:p>
      <w:pPr>
        <w:spacing w:after="0" w:line="24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definite-lived asset (land rights) on its books.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Components of the Company's right-of-use assets and land rights, net are detailed below (in thousands):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2"/>
        </w:trPr>
        <w:tc>
          <w:tcPr>
            <w:tcW w:w="5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15"/>
                <w:szCs w:val="15"/>
                <w:color w:val="auto"/>
              </w:rPr>
            </w:pPr>
          </w:p>
        </w:tc>
        <w:tc>
          <w:tcPr>
            <w:tcW w:w="168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5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 operating leases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239,747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242,053</w:t>
            </w:r>
          </w:p>
        </w:tc>
      </w:tr>
      <w:tr>
        <w:trPr>
          <w:trHeight w:val="232"/>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Land rights, net</w:t>
            </w: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817,300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830,110</w:t>
            </w: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and land rights, net</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1,057,047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1,072,163</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700"/>
          </w:cols>
          <w:pgMar w:left="940" w:top="901" w:right="1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Land Rights</w:t>
      </w:r>
    </w:p>
    <w:p>
      <w:pPr>
        <w:spacing w:after="0" w:line="247" w:lineRule="exact"/>
        <w:rPr>
          <w:sz w:val="20"/>
          <w:szCs w:val="20"/>
          <w:color w:val="auto"/>
        </w:rPr>
      </w:pPr>
    </w:p>
    <w:p>
      <w:pPr>
        <w:jc w:val="both"/>
        <w:ind w:right="100" w:firstLine="619"/>
        <w:spacing w:after="0" w:line="279" w:lineRule="auto"/>
        <w:rPr>
          <w:sz w:val="20"/>
          <w:szCs w:val="20"/>
          <w:color w:val="auto"/>
        </w:rPr>
      </w:pPr>
      <w:r>
        <w:rPr>
          <w:rFonts w:ascii="Times New Roman" w:cs="Times New Roman" w:eastAsia="Times New Roman" w:hAnsi="Times New Roman"/>
          <w:sz w:val="17"/>
          <w:szCs w:val="17"/>
          <w:color w:val="auto"/>
        </w:rPr>
        <w:t>The land rights are amortized over the individual lease term of the related ground lease, including all renewal options, which ranged from 10 years to 92 years at their respective acquisition dates. Land rights, net, consist of the following:</w:t>
      </w:r>
    </w:p>
    <w:tbl>
      <w:tblPr>
        <w:tblLayout w:type="fixed"/>
        <w:tblInd w:w="620" w:type="dxa"/>
        <w:tblCellMar>
          <w:top w:w="0" w:type="dxa"/>
          <w:left w:w="0" w:type="dxa"/>
          <w:bottom w:w="0" w:type="dxa"/>
          <w:right w:w="0" w:type="dxa"/>
        </w:tblCellMar>
      </w:tblPr>
      <w:tr>
        <w:trPr>
          <w:trHeight w:val="143"/>
        </w:trPr>
        <w:tc>
          <w:tcPr>
            <w:tcW w:w="7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00" w:type="dxa"/>
            <w:vAlign w:val="bottom"/>
          </w:tcPr>
          <w:p>
            <w:pPr>
              <w:spacing w:after="0"/>
              <w:rPr>
                <w:sz w:val="12"/>
                <w:szCs w:val="12"/>
                <w:color w:val="auto"/>
              </w:rPr>
            </w:pPr>
          </w:p>
        </w:tc>
        <w:tc>
          <w:tcPr>
            <w:tcW w:w="1240" w:type="dxa"/>
            <w:vAlign w:val="bottom"/>
          </w:tcPr>
          <w:p>
            <w:pPr>
              <w:jc w:val="center"/>
              <w:ind w:right="121"/>
              <w:spacing w:after="0" w:line="143" w:lineRule="exact"/>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87"/>
        </w:trPr>
        <w:tc>
          <w:tcPr>
            <w:tcW w:w="7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1"/>
        </w:trPr>
        <w:tc>
          <w:tcPr>
            <w:tcW w:w="7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
        </w:trPr>
        <w:tc>
          <w:tcPr>
            <w:tcW w:w="7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rights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center"/>
              <w:ind w:left="463"/>
              <w:spacing w:after="0"/>
              <w:rPr>
                <w:sz w:val="20"/>
                <w:szCs w:val="20"/>
                <w:color w:val="auto"/>
              </w:rPr>
            </w:pPr>
            <w:r>
              <w:rPr>
                <w:rFonts w:ascii="Times New Roman" w:cs="Times New Roman" w:eastAsia="Times New Roman" w:hAnsi="Times New Roman"/>
                <w:sz w:val="17"/>
                <w:szCs w:val="17"/>
                <w:color w:val="auto"/>
                <w:w w:val="97"/>
              </w:rPr>
              <w:t>948,303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7"/>
                <w:szCs w:val="17"/>
                <w:color w:val="auto"/>
              </w:rPr>
              <w:t>948,303</w:t>
            </w:r>
          </w:p>
        </w:tc>
      </w:tr>
      <w:tr>
        <w:trPr>
          <w:trHeight w:val="232"/>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left="443"/>
              <w:spacing w:after="0"/>
              <w:rPr>
                <w:sz w:val="20"/>
                <w:szCs w:val="20"/>
                <w:color w:val="auto"/>
              </w:rPr>
            </w:pPr>
            <w:r>
              <w:rPr>
                <w:rFonts w:ascii="Times New Roman" w:cs="Times New Roman" w:eastAsia="Times New Roman" w:hAnsi="Times New Roman"/>
                <w:sz w:val="17"/>
                <w:szCs w:val="17"/>
                <w:color w:val="auto"/>
              </w:rPr>
              <w:t>(131,003)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left="421"/>
              <w:spacing w:after="0"/>
              <w:rPr>
                <w:sz w:val="20"/>
                <w:szCs w:val="20"/>
                <w:color w:val="auto"/>
              </w:rPr>
            </w:pPr>
            <w:r>
              <w:rPr>
                <w:rFonts w:ascii="Times New Roman" w:cs="Times New Roman" w:eastAsia="Times New Roman" w:hAnsi="Times New Roman"/>
                <w:sz w:val="17"/>
                <w:szCs w:val="17"/>
                <w:color w:val="auto"/>
                <w:w w:val="99"/>
              </w:rPr>
              <w:t>(118,193)</w:t>
            </w: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rights, net</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center"/>
              <w:ind w:left="463"/>
              <w:spacing w:after="0"/>
              <w:rPr>
                <w:sz w:val="20"/>
                <w:szCs w:val="20"/>
                <w:color w:val="auto"/>
              </w:rPr>
            </w:pPr>
            <w:r>
              <w:rPr>
                <w:rFonts w:ascii="Times New Roman" w:cs="Times New Roman" w:eastAsia="Times New Roman" w:hAnsi="Times New Roman"/>
                <w:sz w:val="17"/>
                <w:szCs w:val="17"/>
                <w:color w:val="auto"/>
                <w:w w:val="97"/>
              </w:rPr>
              <w:t>817,300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center"/>
              <w:ind w:left="461"/>
              <w:spacing w:after="0"/>
              <w:rPr>
                <w:sz w:val="20"/>
                <w:szCs w:val="20"/>
                <w:color w:val="auto"/>
              </w:rPr>
            </w:pPr>
            <w:r>
              <w:rPr>
                <w:rFonts w:ascii="Times New Roman" w:cs="Times New Roman" w:eastAsia="Times New Roman" w:hAnsi="Times New Roman"/>
                <w:sz w:val="17"/>
                <w:szCs w:val="17"/>
                <w:color w:val="auto"/>
                <w:w w:val="97"/>
              </w:rPr>
              <w:t>830,110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September 30, 2026, estimated future amortization expense related to the Company’s land rights by fiscal year is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5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36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1360" w:type="dxa"/>
            <w:vAlign w:val="bottom"/>
            <w:tcBorders>
              <w:right w:val="single" w:sz="8" w:color="CCEEFF"/>
            </w:tcBorders>
          </w:tcPr>
          <w:p>
            <w:pPr>
              <w:spacing w:after="0"/>
              <w:rPr>
                <w:sz w:val="20"/>
                <w:szCs w:val="20"/>
                <w:color w:val="auto"/>
              </w:rPr>
            </w:pPr>
          </w:p>
        </w:tc>
        <w:tc>
          <w:tcPr>
            <w:tcW w:w="5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 (remainder of year)</w:t>
            </w:r>
          </w:p>
        </w:tc>
        <w:tc>
          <w:tcPr>
            <w:tcW w:w="420" w:type="dxa"/>
            <w:vAlign w:val="bottom"/>
            <w:shd w:val="clear" w:color="auto" w:fill="CCEEFF"/>
          </w:tcPr>
          <w:p>
            <w:pPr>
              <w:spacing w:after="0"/>
              <w:rPr>
                <w:sz w:val="20"/>
                <w:szCs w:val="20"/>
                <w:color w:val="auto"/>
              </w:rPr>
            </w:pPr>
          </w:p>
        </w:tc>
        <w:tc>
          <w:tcPr>
            <w:tcW w:w="2440" w:type="dxa"/>
            <w:vAlign w:val="bottom"/>
            <w:gridSpan w:val="3"/>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4,270</w:t>
            </w:r>
          </w:p>
        </w:tc>
        <w:tc>
          <w:tcPr>
            <w:tcW w:w="0" w:type="dxa"/>
            <w:vAlign w:val="bottom"/>
          </w:tcPr>
          <w:p>
            <w:pPr>
              <w:spacing w:after="0"/>
              <w:rPr>
                <w:sz w:val="1"/>
                <w:szCs w:val="1"/>
                <w:color w:val="auto"/>
              </w:rPr>
            </w:pPr>
          </w:p>
        </w:tc>
      </w:tr>
      <w:tr>
        <w:trPr>
          <w:trHeight w:val="232"/>
        </w:trPr>
        <w:tc>
          <w:tcPr>
            <w:tcW w:w="2900" w:type="dxa"/>
            <w:vAlign w:val="bottom"/>
            <w:gridSpan w:val="2"/>
          </w:tcPr>
          <w:p>
            <w:pPr>
              <w:ind w:left="1360"/>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17,079</w:t>
            </w:r>
          </w:p>
        </w:tc>
        <w:tc>
          <w:tcPr>
            <w:tcW w:w="0" w:type="dxa"/>
            <w:vAlign w:val="bottom"/>
          </w:tcPr>
          <w:p>
            <w:pPr>
              <w:spacing w:after="0"/>
              <w:rPr>
                <w:sz w:val="1"/>
                <w:szCs w:val="1"/>
                <w:color w:val="auto"/>
              </w:rPr>
            </w:pPr>
          </w:p>
        </w:tc>
      </w:tr>
      <w:tr>
        <w:trPr>
          <w:trHeight w:val="232"/>
        </w:trPr>
        <w:tc>
          <w:tcPr>
            <w:tcW w:w="1360" w:type="dxa"/>
            <w:vAlign w:val="bottom"/>
            <w:tcBorders>
              <w:right w:val="single" w:sz="8" w:color="CCEEFF"/>
            </w:tcBorders>
          </w:tcPr>
          <w:p>
            <w:pPr>
              <w:spacing w:after="0"/>
              <w:rPr>
                <w:sz w:val="20"/>
                <w:szCs w:val="20"/>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tcBorders>
              <w:right w:val="single" w:sz="8" w:color="CCEEFF"/>
            </w:tcBorders>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17,079</w:t>
            </w:r>
          </w:p>
        </w:tc>
        <w:tc>
          <w:tcPr>
            <w:tcW w:w="0" w:type="dxa"/>
            <w:vAlign w:val="bottom"/>
          </w:tcPr>
          <w:p>
            <w:pPr>
              <w:spacing w:after="0"/>
              <w:rPr>
                <w:sz w:val="1"/>
                <w:szCs w:val="1"/>
                <w:color w:val="auto"/>
              </w:rPr>
            </w:pPr>
          </w:p>
        </w:tc>
      </w:tr>
      <w:tr>
        <w:trPr>
          <w:trHeight w:val="232"/>
        </w:trPr>
        <w:tc>
          <w:tcPr>
            <w:tcW w:w="2900" w:type="dxa"/>
            <w:vAlign w:val="bottom"/>
            <w:gridSpan w:val="2"/>
          </w:tcPr>
          <w:p>
            <w:pPr>
              <w:ind w:left="1360"/>
              <w:spacing w:after="0"/>
              <w:rPr>
                <w:sz w:val="20"/>
                <w:szCs w:val="20"/>
                <w:color w:val="auto"/>
              </w:rPr>
            </w:pPr>
            <w:r>
              <w:rPr>
                <w:rFonts w:ascii="Times New Roman" w:cs="Times New Roman" w:eastAsia="Times New Roman" w:hAnsi="Times New Roman"/>
                <w:sz w:val="17"/>
                <w:szCs w:val="17"/>
                <w:color w:val="auto"/>
              </w:rPr>
              <w:t>2029</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17,079</w:t>
            </w:r>
          </w:p>
        </w:tc>
        <w:tc>
          <w:tcPr>
            <w:tcW w:w="0" w:type="dxa"/>
            <w:vAlign w:val="bottom"/>
          </w:tcPr>
          <w:p>
            <w:pPr>
              <w:spacing w:after="0"/>
              <w:rPr>
                <w:sz w:val="1"/>
                <w:szCs w:val="1"/>
                <w:color w:val="auto"/>
              </w:rPr>
            </w:pPr>
          </w:p>
        </w:tc>
      </w:tr>
      <w:tr>
        <w:trPr>
          <w:trHeight w:val="232"/>
        </w:trPr>
        <w:tc>
          <w:tcPr>
            <w:tcW w:w="1360" w:type="dxa"/>
            <w:vAlign w:val="bottom"/>
            <w:tcBorders>
              <w:right w:val="single" w:sz="8" w:color="CCEEFF"/>
            </w:tcBorders>
          </w:tcPr>
          <w:p>
            <w:pPr>
              <w:spacing w:after="0"/>
              <w:rPr>
                <w:sz w:val="20"/>
                <w:szCs w:val="20"/>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w:t>
            </w:r>
          </w:p>
        </w:tc>
        <w:tc>
          <w:tcPr>
            <w:tcW w:w="140" w:type="dxa"/>
            <w:vAlign w:val="bottom"/>
            <w:tcBorders>
              <w:right w:val="single" w:sz="8" w:color="CCEEFF"/>
            </w:tcBorders>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17,079</w:t>
            </w:r>
          </w:p>
        </w:tc>
        <w:tc>
          <w:tcPr>
            <w:tcW w:w="0" w:type="dxa"/>
            <w:vAlign w:val="bottom"/>
          </w:tcPr>
          <w:p>
            <w:pPr>
              <w:spacing w:after="0"/>
              <w:rPr>
                <w:sz w:val="1"/>
                <w:szCs w:val="1"/>
                <w:color w:val="auto"/>
              </w:rPr>
            </w:pPr>
          </w:p>
        </w:tc>
      </w:tr>
      <w:tr>
        <w:trPr>
          <w:trHeight w:val="232"/>
        </w:trPr>
        <w:tc>
          <w:tcPr>
            <w:tcW w:w="1360" w:type="dxa"/>
            <w:vAlign w:val="bottom"/>
          </w:tcPr>
          <w:p>
            <w:pPr>
              <w:spacing w:after="0"/>
              <w:rPr>
                <w:sz w:val="20"/>
                <w:szCs w:val="20"/>
                <w:color w:val="auto"/>
              </w:rPr>
            </w:pPr>
          </w:p>
        </w:tc>
        <w:tc>
          <w:tcPr>
            <w:tcW w:w="54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7"/>
                <w:szCs w:val="17"/>
                <w:color w:val="auto"/>
              </w:rPr>
              <w:t>Thereafter</w:t>
            </w:r>
          </w:p>
        </w:tc>
        <w:tc>
          <w:tcPr>
            <w:tcW w:w="4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744,714</w:t>
            </w:r>
          </w:p>
        </w:tc>
        <w:tc>
          <w:tcPr>
            <w:tcW w:w="0" w:type="dxa"/>
            <w:vAlign w:val="bottom"/>
          </w:tcPr>
          <w:p>
            <w:pPr>
              <w:spacing w:after="0"/>
              <w:rPr>
                <w:sz w:val="1"/>
                <w:szCs w:val="1"/>
                <w:color w:val="auto"/>
              </w:rPr>
            </w:pPr>
          </w:p>
        </w:tc>
      </w:tr>
      <w:tr>
        <w:trPr>
          <w:trHeight w:val="245"/>
        </w:trPr>
        <w:tc>
          <w:tcPr>
            <w:tcW w:w="1360" w:type="dxa"/>
            <w:vAlign w:val="bottom"/>
            <w:tcBorders>
              <w:right w:val="single" w:sz="8" w:color="CCEEFF"/>
            </w:tcBorders>
          </w:tcPr>
          <w:p>
            <w:pPr>
              <w:spacing w:after="0"/>
              <w:rPr>
                <w:sz w:val="21"/>
                <w:szCs w:val="21"/>
                <w:color w:val="auto"/>
              </w:rPr>
            </w:pPr>
          </w:p>
        </w:tc>
        <w:tc>
          <w:tcPr>
            <w:tcW w:w="54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817,300</w:t>
            </w:r>
          </w:p>
        </w:tc>
        <w:tc>
          <w:tcPr>
            <w:tcW w:w="0" w:type="dxa"/>
            <w:vAlign w:val="bottom"/>
          </w:tcPr>
          <w:p>
            <w:pPr>
              <w:spacing w:after="0"/>
              <w:rPr>
                <w:sz w:val="1"/>
                <w:szCs w:val="1"/>
                <w:color w:val="auto"/>
              </w:rPr>
            </w:pPr>
          </w:p>
        </w:tc>
      </w:tr>
      <w:tr>
        <w:trPr>
          <w:trHeight w:val="20"/>
        </w:trPr>
        <w:tc>
          <w:tcPr>
            <w:tcW w:w="68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Operating Lease Liabilities</w:t>
            </w: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6800" w:type="dxa"/>
            <w:vAlign w:val="bottom"/>
            <w:gridSpan w:val="5"/>
            <w:vMerge w:val="continue"/>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9660" w:type="dxa"/>
            <w:vAlign w:val="bottom"/>
            <w:gridSpan w:val="9"/>
          </w:tcPr>
          <w:p>
            <w:pPr>
              <w:ind w:left="620"/>
              <w:spacing w:after="0"/>
              <w:rPr>
                <w:sz w:val="20"/>
                <w:szCs w:val="20"/>
                <w:color w:val="auto"/>
              </w:rPr>
            </w:pPr>
            <w:r>
              <w:rPr>
                <w:rFonts w:ascii="Times New Roman" w:cs="Times New Roman" w:eastAsia="Times New Roman" w:hAnsi="Times New Roman"/>
                <w:sz w:val="17"/>
                <w:szCs w:val="17"/>
                <w:color w:val="auto"/>
              </w:rPr>
              <w:t>At September 30, 2026, payments under the Company's operating lease liabilities were as follows (in thousands):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Borders>
              <w:right w:val="single" w:sz="8" w:color="CCEEFF"/>
            </w:tcBorders>
          </w:tcPr>
          <w:p>
            <w:pPr>
              <w:spacing w:after="0"/>
              <w:rPr>
                <w:sz w:val="20"/>
                <w:szCs w:val="20"/>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 (remainder of year)</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4,321</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580" w:type="dxa"/>
            <w:vAlign w:val="bottom"/>
            <w:gridSpan w:val="4"/>
          </w:tcPr>
          <w:p>
            <w:pPr>
              <w:ind w:left="3040"/>
              <w:spacing w:after="0"/>
              <w:rPr>
                <w:sz w:val="20"/>
                <w:szCs w:val="20"/>
                <w:color w:val="auto"/>
              </w:rPr>
            </w:pPr>
            <w:r>
              <w:rPr>
                <w:rFonts w:ascii="Times New Roman" w:cs="Times New Roman" w:eastAsia="Times New Roman" w:hAnsi="Times New Roman"/>
                <w:sz w:val="17"/>
                <w:szCs w:val="17"/>
                <w:color w:val="auto"/>
              </w:rPr>
              <w:t>2027</w:t>
            </w:r>
          </w:p>
        </w:tc>
        <w:tc>
          <w:tcPr>
            <w:tcW w:w="2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16,785</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040" w:type="dxa"/>
            <w:vAlign w:val="bottom"/>
            <w:tcBorders>
              <w:right w:val="single" w:sz="8" w:color="CCEEFF"/>
            </w:tcBorders>
            <w:gridSpan w:val="3"/>
          </w:tcPr>
          <w:p>
            <w:pPr>
              <w:spacing w:after="0"/>
              <w:rPr>
                <w:sz w:val="20"/>
                <w:szCs w:val="20"/>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2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16,672</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580" w:type="dxa"/>
            <w:vAlign w:val="bottom"/>
            <w:gridSpan w:val="4"/>
          </w:tcPr>
          <w:p>
            <w:pPr>
              <w:ind w:left="3040"/>
              <w:spacing w:after="0"/>
              <w:rPr>
                <w:sz w:val="20"/>
                <w:szCs w:val="20"/>
                <w:color w:val="auto"/>
              </w:rPr>
            </w:pPr>
            <w:r>
              <w:rPr>
                <w:rFonts w:ascii="Times New Roman" w:cs="Times New Roman" w:eastAsia="Times New Roman" w:hAnsi="Times New Roman"/>
                <w:sz w:val="17"/>
                <w:szCs w:val="17"/>
                <w:color w:val="auto"/>
              </w:rPr>
              <w:t>2029</w:t>
            </w:r>
          </w:p>
        </w:tc>
        <w:tc>
          <w:tcPr>
            <w:tcW w:w="2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16,709</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040" w:type="dxa"/>
            <w:vAlign w:val="bottom"/>
            <w:tcBorders>
              <w:right w:val="single" w:sz="8" w:color="CCEEFF"/>
            </w:tcBorders>
            <w:gridSpan w:val="3"/>
          </w:tcPr>
          <w:p>
            <w:pPr>
              <w:spacing w:after="0"/>
              <w:rPr>
                <w:sz w:val="20"/>
                <w:szCs w:val="20"/>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w:t>
            </w:r>
          </w:p>
        </w:tc>
        <w:tc>
          <w:tcPr>
            <w:tcW w:w="2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16,715</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769,515</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Borders>
              <w:right w:val="single" w:sz="8" w:color="CCEEFF"/>
            </w:tcBorders>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payments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840,717</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Less: interest</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(600,568)</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0" w:type="dxa"/>
            <w:vAlign w:val="bottom"/>
            <w:tcBorders>
              <w:right w:val="single" w:sz="8" w:color="CCEEFF"/>
            </w:tcBorders>
          </w:tcPr>
          <w:p>
            <w:pPr>
              <w:spacing w:after="0"/>
              <w:rPr>
                <w:sz w:val="21"/>
                <w:szCs w:val="21"/>
                <w:color w:val="auto"/>
              </w:rPr>
            </w:pP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240,149</w:t>
            </w: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Expense</w:t>
      </w:r>
    </w:p>
    <w:p>
      <w:pPr>
        <w:spacing w:after="0" w:line="247" w:lineRule="exact"/>
        <w:rPr>
          <w:sz w:val="20"/>
          <w:szCs w:val="20"/>
          <w:color w:val="auto"/>
        </w:rPr>
      </w:pPr>
    </w:p>
    <w:p>
      <w:pPr>
        <w:jc w:val="both"/>
        <w:ind w:right="100" w:firstLine="619"/>
        <w:spacing w:after="0" w:line="264" w:lineRule="auto"/>
        <w:rPr>
          <w:sz w:val="20"/>
          <w:szCs w:val="20"/>
          <w:color w:val="auto"/>
        </w:rPr>
      </w:pPr>
      <w:r>
        <w:rPr>
          <w:rFonts w:ascii="Times New Roman" w:cs="Times New Roman" w:eastAsia="Times New Roman" w:hAnsi="Times New Roman"/>
          <w:sz w:val="17"/>
          <w:szCs w:val="17"/>
          <w:color w:val="auto"/>
        </w:rPr>
        <w:t>Operating lease costs represent the entire amount of expense recognized for operating leases that are recorded on the condensed consolidated balance sheets.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components of lease expense were as follows (in thousands):</w:t>
      </w:r>
    </w:p>
    <w:p>
      <w:pPr>
        <w:spacing w:after="0" w:line="63" w:lineRule="exact"/>
        <w:rPr>
          <w:sz w:val="20"/>
          <w:szCs w:val="20"/>
          <w:color w:val="auto"/>
        </w:rPr>
      </w:pPr>
    </w:p>
    <w:tbl>
      <w:tblPr>
        <w:tblLayout w:type="fixed"/>
        <w:tblInd w:w="62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314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gridSpan w:val="4"/>
          </w:tcPr>
          <w:p>
            <w:pPr>
              <w:jc w:val="center"/>
              <w:ind w:right="98"/>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89"/>
        </w:trPr>
        <w:tc>
          <w:tcPr>
            <w:tcW w:w="3480" w:type="dxa"/>
            <w:vAlign w:val="bottom"/>
          </w:tcPr>
          <w:p>
            <w:pPr>
              <w:spacing w:after="0"/>
              <w:rPr>
                <w:sz w:val="16"/>
                <w:szCs w:val="16"/>
                <w:color w:val="auto"/>
              </w:rPr>
            </w:pP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34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1160" w:type="dxa"/>
            <w:vAlign w:val="bottom"/>
            <w:shd w:val="clear" w:color="auto" w:fill="CCEEFF"/>
          </w:tcPr>
          <w:p>
            <w:pPr>
              <w:jc w:val="right"/>
              <w:ind w:right="98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4,315</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right="2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w:t>
            </w:r>
          </w:p>
        </w:tc>
      </w:tr>
      <w:tr>
        <w:trPr>
          <w:trHeight w:val="232"/>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5,304</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16,082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w:t>
            </w:r>
          </w:p>
        </w:tc>
      </w:tr>
      <w:tr>
        <w:trPr>
          <w:trHeight w:val="232"/>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land right assets</w:t>
            </w:r>
          </w:p>
        </w:tc>
        <w:tc>
          <w:tcPr>
            <w:tcW w:w="1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4,270</w:t>
            </w:r>
          </w:p>
        </w:tc>
        <w:tc>
          <w:tcPr>
            <w:tcW w:w="100" w:type="dxa"/>
            <w:vAlign w:val="bottom"/>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4,270</w:t>
            </w:r>
          </w:p>
        </w:tc>
        <w:tc>
          <w:tcPr>
            <w:tcW w:w="140" w:type="dxa"/>
            <w:vAlign w:val="bottom"/>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12,810</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w:t>
            </w:r>
          </w:p>
        </w:tc>
      </w:tr>
      <w:tr>
        <w:trPr>
          <w:trHeight w:val="225"/>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lease cost</w:t>
            </w:r>
          </w:p>
        </w:tc>
        <w:tc>
          <w:tcPr>
            <w:tcW w:w="1160" w:type="dxa"/>
            <w:vAlign w:val="bottom"/>
          </w:tcPr>
          <w:p>
            <w:pPr>
              <w:jc w:val="right"/>
              <w:ind w:right="98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13,884</w:t>
            </w:r>
          </w:p>
        </w:tc>
        <w:tc>
          <w:tcPr>
            <w:tcW w:w="100" w:type="dxa"/>
            <w:vAlign w:val="bottom"/>
          </w:tcPr>
          <w:p>
            <w:pPr>
              <w:spacing w:after="0"/>
              <w:rPr>
                <w:sz w:val="19"/>
                <w:szCs w:val="19"/>
                <w:color w:val="auto"/>
              </w:rPr>
            </w:pPr>
          </w:p>
        </w:tc>
        <w:tc>
          <w:tcPr>
            <w:tcW w:w="1220" w:type="dxa"/>
            <w:vAlign w:val="bottom"/>
          </w:tcPr>
          <w:p>
            <w:pPr>
              <w:jc w:val="right"/>
              <w:ind w:right="10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13,785</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41,831</w:t>
            </w:r>
          </w:p>
        </w:tc>
        <w:tc>
          <w:tcPr>
            <w:tcW w:w="120" w:type="dxa"/>
            <w:vAlign w:val="bottom"/>
          </w:tcPr>
          <w:p>
            <w:pPr>
              <w:spacing w:after="0"/>
              <w:rPr>
                <w:sz w:val="19"/>
                <w:szCs w:val="19"/>
                <w:color w:val="auto"/>
              </w:rPr>
            </w:pPr>
          </w:p>
        </w:tc>
        <w:tc>
          <w:tcPr>
            <w:tcW w:w="440" w:type="dxa"/>
            <w:vAlign w:val="bottom"/>
          </w:tcPr>
          <w:p>
            <w:pPr>
              <w:jc w:val="center"/>
              <w:ind w:right="2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41,28</w:t>
            </w:r>
          </w:p>
        </w:tc>
      </w:tr>
      <w:tr>
        <w:trPr>
          <w:trHeight w:val="20"/>
        </w:trPr>
        <w:tc>
          <w:tcPr>
            <w:tcW w:w="34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4" w:right="239" w:bottom="1440" w:gutter="0" w:footer="0" w:header="0"/>
        </w:sectPr>
      </w:pPr>
    </w:p>
    <w:bookmarkStart w:id="23" w:name="page24"/>
    <w:bookmarkEnd w:id="23"/>
    <w:p>
      <w:pPr>
        <w:ind w:firstLine="619"/>
        <w:spacing w:after="0" w:line="287" w:lineRule="auto"/>
        <w:rPr>
          <w:sz w:val="20"/>
          <w:szCs w:val="20"/>
          <w:color w:val="auto"/>
        </w:rPr>
      </w:pPr>
      <w:r>
        <w:rPr>
          <w:rFonts w:ascii="Times New Roman" w:cs="Times New Roman" w:eastAsia="Times New Roman" w:hAnsi="Times New Roman"/>
          <w:sz w:val="17"/>
          <w:szCs w:val="17"/>
          <w:color w:val="auto"/>
        </w:rPr>
        <w:t>Amortization expense related to the land right intangibles, as well as variable lease costs and the Company's operating lease costs are recorded within land rights and ground lease expense in the condensed consolidated statements of income.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Disclosures Related to Leases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Supplemental balance sheet information related to the Company's operating leases was as follows:</w:t>
      </w:r>
    </w:p>
    <w:p>
      <w:pPr>
        <w:spacing w:after="0" w:line="54"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4"/>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w w:val="97"/>
              </w:rPr>
              <w:t>September 30, 2026</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remaining lease term - operating leases</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center"/>
              <w:ind w:right="123"/>
              <w:spacing w:after="0"/>
              <w:rPr>
                <w:sz w:val="20"/>
                <w:szCs w:val="20"/>
                <w:color w:val="auto"/>
              </w:rPr>
            </w:pPr>
            <w:r>
              <w:rPr>
                <w:rFonts w:ascii="Times New Roman" w:cs="Times New Roman" w:eastAsia="Times New Roman" w:hAnsi="Times New Roman"/>
                <w:sz w:val="17"/>
                <w:szCs w:val="17"/>
                <w:color w:val="auto"/>
              </w:rPr>
              <w:t>51.88 years</w:t>
            </w:r>
          </w:p>
        </w:tc>
        <w:tc>
          <w:tcPr>
            <w:tcW w:w="340" w:type="dxa"/>
            <w:vAlign w:val="bottom"/>
            <w:shd w:val="clear" w:color="auto" w:fill="CCEEFF"/>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 - operating leases</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jc w:val="center"/>
              <w:ind w:left="118"/>
              <w:spacing w:after="0"/>
              <w:rPr>
                <w:sz w:val="20"/>
                <w:szCs w:val="20"/>
                <w:color w:val="auto"/>
              </w:rPr>
            </w:pPr>
            <w:r>
              <w:rPr>
                <w:rFonts w:ascii="Times New Roman" w:cs="Times New Roman" w:eastAsia="Times New Roman" w:hAnsi="Times New Roman"/>
                <w:sz w:val="17"/>
                <w:szCs w:val="17"/>
                <w:color w:val="auto"/>
              </w:rPr>
              <w:t>6.26%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9"/>
        </w:trPr>
        <w:tc>
          <w:tcPr>
            <w:tcW w:w="6580" w:type="dxa"/>
            <w:vAlign w:val="bottom"/>
            <w:gridSpan w:val="4"/>
          </w:tcPr>
          <w:p>
            <w:pPr>
              <w:jc w:val="right"/>
              <w:ind w:right="3"/>
              <w:spacing w:after="0"/>
              <w:rPr>
                <w:sz w:val="20"/>
                <w:szCs w:val="20"/>
                <w:color w:val="auto"/>
              </w:rPr>
            </w:pPr>
            <w:r>
              <w:rPr>
                <w:rFonts w:ascii="Times New Roman" w:cs="Times New Roman" w:eastAsia="Times New Roman" w:hAnsi="Times New Roman"/>
                <w:sz w:val="17"/>
                <w:szCs w:val="17"/>
                <w:color w:val="auto"/>
              </w:rPr>
              <w:t>Supplemental cash flow information related to the Company's operating leases was as follows: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2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 September</w:t>
            </w:r>
          </w:p>
        </w:tc>
        <w:tc>
          <w:tcPr>
            <w:tcW w:w="21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ind w:right="246"/>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w w:val="85"/>
              </w:rPr>
              <w:t>2025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3"/>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gridSpan w:val="4"/>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62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 xml:space="preserve">Operating cash flows from operating leases </w:t>
            </w:r>
            <w:r>
              <w:rPr>
                <w:rFonts w:ascii="Times New Roman" w:cs="Times New Roman" w:eastAsia="Times New Roman" w:hAnsi="Times New Roman"/>
                <w:sz w:val="22"/>
                <w:szCs w:val="22"/>
                <w:color w:val="auto"/>
                <w:vertAlign w:val="superscript"/>
              </w:rPr>
              <w:t>(1)</w:t>
            </w: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414</w:t>
            </w:r>
          </w:p>
        </w:tc>
        <w:tc>
          <w:tcPr>
            <w:tcW w:w="520" w:type="dxa"/>
            <w:vAlign w:val="bottom"/>
          </w:tcPr>
          <w:p>
            <w:pPr>
              <w:jc w:val="right"/>
              <w:ind w:right="186"/>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1,250</w:t>
            </w:r>
          </w:p>
        </w:tc>
        <w:tc>
          <w:tcPr>
            <w:tcW w:w="3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1,248</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firstLine="622"/>
        <w:spacing w:after="0" w:line="284" w:lineRule="auto"/>
        <w:tabs>
          <w:tab w:leader="none" w:pos="777"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condensed consolidated financial statements under ASC 842.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Lease Liabilities</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connection with the acquisition of certain real property assets included in the Maryland Live! Lease and the Strategic Gaming Leases, the Company acquired the rights to land subject to long-term ground leases which expire in June 2111 and April 2062, respectively. As these leases were accounted for as Investment in leases, financing receivables, the underlying ground leases were accounted for as financing lease liabilities on the Condensed Consolidated Balance Sheets. In addition, the Company acquired an airplane hangar subject to a lease arrangement which expires in July 2066, with the option of two five-year renewals, which was accounted for as a financing lease liability on the Condensed Consolidated Balance Sheets. In accordance with ASC 842, the Company records revenue for the ground lease rent paid by its tenant with an offsetting expense in interest expense as the Company has concluded that as the lessee it is the primary obligor under the ground leases. The Company's weighted average discount rate on the fixed minimum annual payments was 5.08% to arrive at the initial lease obligations. At September 30, 2026, payments under the Company's financing lease liabilities were as follows (in thousands):</w:t>
      </w:r>
    </w:p>
    <w:p>
      <w:pPr>
        <w:spacing w:after="0" w:line="200" w:lineRule="exact"/>
        <w:rPr>
          <w:sz w:val="20"/>
          <w:szCs w:val="20"/>
          <w:color w:val="auto"/>
        </w:rPr>
      </w:pPr>
    </w:p>
    <w:p>
      <w:pPr>
        <w:spacing w:after="0" w:line="301" w:lineRule="exact"/>
        <w:rPr>
          <w:sz w:val="20"/>
          <w:szCs w:val="20"/>
          <w:color w:val="auto"/>
        </w:rPr>
      </w:pPr>
    </w:p>
    <w:tbl>
      <w:tblPr>
        <w:tblLayout w:type="fixed"/>
        <w:tblInd w:w="1860" w:type="dxa"/>
        <w:tblCellMar>
          <w:top w:w="0" w:type="dxa"/>
          <w:left w:w="0" w:type="dxa"/>
          <w:bottom w:w="0" w:type="dxa"/>
          <w:right w:w="0" w:type="dxa"/>
        </w:tblCellMar>
      </w:tblPr>
      <w:tr>
        <w:trPr>
          <w:trHeight w:val="23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 (remainder of year)</w:t>
            </w: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w:t>
            </w:r>
          </w:p>
        </w:tc>
      </w:tr>
      <w:tr>
        <w:trPr>
          <w:trHeight w:val="232"/>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7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2,790</w:t>
            </w:r>
          </w:p>
        </w:tc>
      </w:tr>
      <w:tr>
        <w:trPr>
          <w:trHeight w:val="23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7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2,814</w:t>
            </w:r>
          </w:p>
        </w:tc>
      </w:tr>
      <w:tr>
        <w:trPr>
          <w:trHeight w:val="232"/>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7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2,840</w:t>
            </w:r>
          </w:p>
        </w:tc>
      </w:tr>
      <w:tr>
        <w:trPr>
          <w:trHeight w:val="23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7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2,865</w:t>
            </w:r>
          </w:p>
        </w:tc>
      </w:tr>
      <w:tr>
        <w:trPr>
          <w:trHeight w:val="232"/>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7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312,039</w:t>
            </w:r>
          </w:p>
        </w:tc>
      </w:tr>
      <w:tr>
        <w:trPr>
          <w:trHeight w:val="22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324,042</w:t>
            </w:r>
          </w:p>
        </w:tc>
      </w:tr>
      <w:tr>
        <w:trPr>
          <w:trHeight w:val="232"/>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Interest</w:t>
            </w:r>
          </w:p>
        </w:tc>
        <w:tc>
          <w:tcPr>
            <w:tcW w:w="7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(261,339)</w:t>
            </w: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finance lease liability</w:t>
            </w: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62,703</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4" w:name="page25"/>
    <w:bookmarkEnd w:id="24"/>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7.</w:t>
        <w:tab/>
        <w:t>Long-term Debt</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Long-term debt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1"/>
        </w:trPr>
        <w:tc>
          <w:tcPr>
            <w:tcW w:w="8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gridSpan w:val="4"/>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
        </w:trPr>
        <w:tc>
          <w:tcPr>
            <w:tcW w:w="8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Unsecured $2,090 million revolver due December 2028</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329,130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331,624</w:t>
            </w:r>
          </w:p>
        </w:tc>
      </w:tr>
      <w:tr>
        <w:trPr>
          <w:trHeight w:val="23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 Term Loan Agreement due September 2027</w:t>
            </w:r>
          </w:p>
        </w:tc>
        <w:tc>
          <w:tcPr>
            <w:tcW w:w="2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w:t>
            </w:r>
          </w:p>
        </w:tc>
      </w:tr>
      <w:tr>
        <w:trPr>
          <w:trHeight w:val="23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 Term Loan due December 2028</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$500 million 5.750% senior unsecured notes due June 2028</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r>
      <w:tr>
        <w:trPr>
          <w:trHeight w:val="23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$750 million 5.300% senior unsecured notes due January 2029</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w:t>
            </w:r>
          </w:p>
        </w:tc>
      </w:tr>
      <w:tr>
        <w:trPr>
          <w:trHeight w:val="23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$700 million 4.000% senior unsecured notes due January 2030</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r>
      <w:tr>
        <w:trPr>
          <w:trHeight w:val="23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$700 million 4.000% senior unsecured notes due January 2031</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700,000</w:t>
            </w:r>
          </w:p>
        </w:tc>
      </w:tr>
      <w:tr>
        <w:trPr>
          <w:trHeight w:val="23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$800 million 3.250% senior unsecured notes due January 2032</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r>
      <w:tr>
        <w:trPr>
          <w:trHeight w:val="23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$600 million 5.250% senior unsecured notes due February 2033</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600,000</w:t>
            </w:r>
          </w:p>
        </w:tc>
      </w:tr>
      <w:tr>
        <w:trPr>
          <w:trHeight w:val="23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$400 million 6.750% senior unsecured notes due December 2033</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r>
      <w:tr>
        <w:trPr>
          <w:trHeight w:val="23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$800 million 5.625% senior unsecured notes due September 2034</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r>
      <w:tr>
        <w:trPr>
          <w:trHeight w:val="23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$800 million 5.625% senior unsecured notes due March 2036</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$700 million 5.750% senior unsecured notes due November 2037</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700,000</w:t>
            </w:r>
          </w:p>
        </w:tc>
      </w:tr>
      <w:tr>
        <w:trPr>
          <w:trHeight w:val="23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$400 million 6.250% senior unsecured notes due September 2054</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r>
      <w:tr>
        <w:trPr>
          <w:trHeight w:val="23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25"/>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long-term debt</w:t>
            </w: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8,158,130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7,281,764</w:t>
            </w:r>
          </w:p>
        </w:tc>
      </w:tr>
      <w:tr>
        <w:trPr>
          <w:trHeight w:val="23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unamortized debt issuance costs, bond premiums and original issuance discounts</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(77,584)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(78,033)</w:t>
            </w:r>
          </w:p>
        </w:tc>
      </w:tr>
      <w:tr>
        <w:trPr>
          <w:trHeight w:val="225"/>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long-term debt, net of unamortized debt issuance costs, bond premiums and original issuance discounts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8,080,546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7,203,731</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schedule of future minimum repayments of long-term debt as of September 30, 2026 (in thousands):</w:t>
      </w:r>
    </w:p>
    <w:p>
      <w:pPr>
        <w:spacing w:after="0" w:line="285" w:lineRule="exact"/>
        <w:rPr>
          <w:sz w:val="20"/>
          <w:szCs w:val="20"/>
          <w:color w:val="auto"/>
        </w:rPr>
      </w:pPr>
    </w:p>
    <w:tbl>
      <w:tblPr>
        <w:tblLayout w:type="fixed"/>
        <w:tblInd w:w="2140" w:type="dxa"/>
        <w:tblCellMar>
          <w:top w:w="0" w:type="dxa"/>
          <w:left w:w="0" w:type="dxa"/>
          <w:bottom w:w="0" w:type="dxa"/>
          <w:right w:w="0" w:type="dxa"/>
        </w:tblCellMar>
      </w:tblPr>
      <w:tr>
        <w:trPr>
          <w:trHeight w:val="232"/>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2026</w:t>
            </w:r>
          </w:p>
        </w:tc>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year)</w:t>
            </w:r>
          </w:p>
        </w:tc>
        <w:tc>
          <w:tcPr>
            <w:tcW w:w="4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w:t>
            </w:r>
          </w:p>
        </w:tc>
      </w:tr>
      <w:tr>
        <w:trPr>
          <w:trHeight w:val="232"/>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2027</w:t>
            </w:r>
          </w:p>
        </w:tc>
        <w:tc>
          <w:tcPr>
            <w:tcW w:w="5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3,325</w:t>
            </w:r>
          </w:p>
        </w:tc>
      </w:tr>
      <w:tr>
        <w:trPr>
          <w:trHeight w:val="232"/>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2028</w:t>
            </w:r>
          </w:p>
        </w:tc>
        <w:tc>
          <w:tcPr>
            <w:tcW w:w="56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1,503,975</w:t>
            </w:r>
          </w:p>
        </w:tc>
      </w:tr>
      <w:tr>
        <w:trPr>
          <w:trHeight w:val="232"/>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2029</w:t>
            </w:r>
          </w:p>
        </w:tc>
        <w:tc>
          <w:tcPr>
            <w:tcW w:w="5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750,000</w:t>
            </w:r>
          </w:p>
        </w:tc>
      </w:tr>
      <w:tr>
        <w:trPr>
          <w:trHeight w:val="232"/>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2030</w:t>
            </w:r>
          </w:p>
        </w:tc>
        <w:tc>
          <w:tcPr>
            <w:tcW w:w="56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700,000</w:t>
            </w:r>
          </w:p>
        </w:tc>
      </w:tr>
      <w:tr>
        <w:trPr>
          <w:trHeight w:val="232"/>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Over 5 years</w:t>
            </w: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5,200,000</w:t>
            </w: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minimum payments</w:t>
            </w:r>
          </w:p>
        </w:tc>
        <w:tc>
          <w:tcPr>
            <w:tcW w:w="48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8,158,130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Agreement and Term Loan</w:t>
      </w:r>
    </w:p>
    <w:p>
      <w:pPr>
        <w:spacing w:after="0" w:line="247"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On March 4, 2026, GLP Capital entered into an amendment to the credit agreement among GLP Capital, Wells Fargo Bank, National Association, as administrative agent, and the several banks and other financial institutions or entities party thereto, dated as of May 13, 2022 (the “Credit Agreement”). Pursuant to the amendment, GLP Capital borrowed a new $679 million term loan (the “2026 Term Loan”), the proceeds of which were used to repay $679 million of outstanding bridge revolving loans (without any corresponding reduction in revolving commitments). The 2026 Term Loan matures on December 2, 2028, subject to two six-month extensions at GLP Capital’s option.</w:t>
      </w:r>
    </w:p>
    <w:p>
      <w:pPr>
        <w:spacing w:after="0" w:line="198"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 interest rates per annum applicable to the 2026 Term Loan are, at GLP Capital’s option, equal to either a Secured Overnight Financing Rate (“SOFR”) based rate or a base rate plus an applicable margin, which ranges from 0.850% to 1.70% per annum for SOFR loans and 0.0% to 0.7% per annum for base rate loans, in each case, depending on the credit ratings assigned to the credit facility under the Credit Agreement. The weighted average interest rate under the 2026 Term Loan at September 30, 2026 was 5.07%.</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25" w:name="page26"/>
    <w:bookmarkEnd w:id="25"/>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The 2026 Term Loan is not subject to interim amortization. GLP Capital is not required to repay the 2026 Term Loan prior to maturity but may prepay all or any portion of the 2026 Term Loan prior to maturity without premium or penalty, subject to reimbursement of any SOFR breakage costs of the lenders. Amounts repaid under the 2026 Term Loan may not be reborrowed.</w:t>
      </w:r>
    </w:p>
    <w:p>
      <w:pPr>
        <w:spacing w:after="0" w:line="185"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The 2026 Term Loan is subject to the representations and warranties, affirmative covenants, negative covenants, financial covenants and events of default set forth in the Credit Agreement and applicable to the revolving loans therein.</w:t>
      </w:r>
    </w:p>
    <w:p>
      <w:pPr>
        <w:spacing w:after="0" w:line="190"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7"/>
          <w:szCs w:val="17"/>
          <w:color w:val="auto"/>
        </w:rPr>
        <w:t>On March 4, 2026, GLP Capital repaid in full the $600 million outstanding obligations under the term loan credit agreement among GLP Capital, Wells Fargo Bank, National Association, as administrative agent, and the several banks and other financial institutions or entities party thereto, dated as of September 2, 2022 (the “2022 Term Loan Agreement”). All of GLP Capital’s and GLPI’s obligations under the 2022 Term Loan Agreement have been paid and discharged in full and all guarantees granted by GLPI and any other party in connection with the 2022 Term Loan Agreement have been released (other than with respect to customary provisions and agreements that are expressly specified to survive the termination). GLP Capital and GLPI did not incur any early termination penalties in connection with repayment of the indebtedness or termination.</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Credit Agreement provides a revolving commitment capacity of $2.09 billion with a maturity date of December 2, 2028 (the “Revolver”).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GLP Capital is the primary obligor under the Credit Agreement, which is guaranteed by GLPI.</w:t>
      </w:r>
    </w:p>
    <w:p>
      <w:pPr>
        <w:spacing w:after="0" w:line="212"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At September 30, 2026, $329.1 million was outstanding under the Company's Revolver. After giving effect to contingent obligations under letters of credit with face amounts aggregating approximately $0.4 million, the Company had $1,760.5 million of available borrowing capacity under the Revolver as of September 30, 2026. The weighted average interest rate under the Revolver at September 30, 2026 was 5.20%.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Senior Unsecured Notes</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At September 30, 2026, the Company had $7,150.0 million of outstanding senior unsecured notes (the "Senior Notes"). On March 4, 2026, the Company issued $800 million of 5.625% Senior Notes that will mature on March 1, 2036 at an issue price of 99.857% of the principal amount. The proceeds of the offering were utilized to repay the 2022 Term Loan Agreement and for working capital and general corporate purposes.</w:t>
      </w:r>
    </w:p>
    <w:p>
      <w:pPr>
        <w:ind w:left="620"/>
        <w:spacing w:after="0"/>
        <w:rPr>
          <w:sz w:val="20"/>
          <w:szCs w:val="20"/>
          <w:color w:val="auto"/>
        </w:rPr>
      </w:pPr>
      <w:r>
        <w:rPr>
          <w:rFonts w:ascii="Times New Roman" w:cs="Times New Roman" w:eastAsia="Times New Roman" w:hAnsi="Times New Roman"/>
          <w:sz w:val="17"/>
          <w:szCs w:val="17"/>
          <w:color w:val="auto"/>
        </w:rPr>
        <w:t>At September 30, 2026, the Company was in compliance with all required financial covenants on its debt obligations.</w:t>
      </w:r>
    </w:p>
    <w:p>
      <w:pPr>
        <w:spacing w:after="0" w:line="20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8.</w:t>
        <w:tab/>
        <w:t>Fair Value of Financial Assets and Liabilities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xml:space="preserve"> ("ASC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spacing w:after="0" w:line="200" w:lineRule="exact"/>
        <w:rPr>
          <w:sz w:val="20"/>
          <w:szCs w:val="20"/>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such as quoted prices in active markets for identical assets or liabilities.</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that reflect the reporting entity's own assumptions, as there is little, if any, related market activity.</w:t>
      </w:r>
    </w:p>
    <w:p>
      <w:pPr>
        <w:spacing w:after="0" w:line="243" w:lineRule="exact"/>
        <w:rPr>
          <w:sz w:val="20"/>
          <w:szCs w:val="20"/>
          <w:color w:val="auto"/>
        </w:rPr>
      </w:pPr>
    </w:p>
    <w:p>
      <w:pPr>
        <w:ind w:firstLine="194"/>
        <w:spacing w:after="0" w:line="287" w:lineRule="auto"/>
        <w:rPr>
          <w:sz w:val="20"/>
          <w:szCs w:val="20"/>
          <w:color w:val="auto"/>
        </w:rPr>
      </w:pPr>
      <w:r>
        <w:rPr>
          <w:rFonts w:ascii="Times New Roman" w:cs="Times New Roman" w:eastAsia="Times New Roman" w:hAnsi="Times New Roman"/>
          <w:sz w:val="17"/>
          <w:szCs w:val="17"/>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Recurring Basis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methods and assumptions are used to estimate the fair value of each class of financial instruments for which it is practicable to estimate.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6" w:name="page27"/>
    <w:bookmarkEnd w:id="26"/>
    <w:p>
      <w:pPr>
        <w:ind w:left="620"/>
        <w:spacing w:after="0"/>
        <w:rPr>
          <w:sz w:val="20"/>
          <w:szCs w:val="20"/>
          <w:color w:val="auto"/>
        </w:rPr>
      </w:pPr>
      <w:r>
        <w:rPr>
          <w:rFonts w:ascii="Times New Roman" w:cs="Times New Roman" w:eastAsia="Times New Roman" w:hAnsi="Times New Roman"/>
          <w:sz w:val="17"/>
          <w:szCs w:val="17"/>
          <w:i w:val="1"/>
          <w:iCs w:val="1"/>
          <w:color w:val="auto"/>
        </w:rPr>
        <w:t>Cash and Cash Equivalents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fair value of the Company’s cash and cash equivalents approximates the carrying value of the Company’s cash and cash equivalents, due to the short maturity of the cash equivalents.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Investment in Leases, Financing Receivables, net</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fair value of the Company's investment in leases, financing receivables, net is based on the value of the underlying real estate property the Company owns under these leases. The initial fair value was the price paid by the Company to acquire the real estate. The initial fair value is then adjusted for changes in the commercial real estate price index and as such is a Level 3 measurement as defined under ASC 820.</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Investment in Leases, Sales-Type, Net</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fair value of the Company's investment in leases, sales-type, net was initially based on a third-party valuation report which utilized both market-based and income-based valuation approaches to value the underlying land related to the applicable lease at the lease reassessment date. Subsequent changes in the fair value from this date are based on changes in the commercial real estate price index. As such, this was determined to be a Level 3 measurement as defined under ASC 820.</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Real Estate Loans, net</w:t>
      </w:r>
    </w:p>
    <w:p>
      <w:pPr>
        <w:spacing w:after="0" w:line="234"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The Company estimates the fair value of its fixed-rate loan portfolio for disclosure purposes using a discounted cash flow methodology. Fair value is estimated by discounting the loans’ remaining contractual cash flows using current market rates as of the measurement date for loans with similar credit characteristics and remaining terms. As a result, the estimated fair value is primarily driven by movements in market interest rates since origination, along with the remaining maturity and payment structure of the loans. The Company's variable-rate loans reprice to market at regular intervals and therefore the Company believes the carrying amount approximates its fair value. The fair value measurement of the real estate loans is considered a Level 3 measurement as defined in ASC 820.</w:t>
      </w:r>
    </w:p>
    <w:p>
      <w:pPr>
        <w:spacing w:after="0" w:line="200" w:lineRule="exact"/>
        <w:rPr>
          <w:sz w:val="20"/>
          <w:szCs w:val="20"/>
          <w:color w:val="auto"/>
        </w:rPr>
      </w:pP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Deferred Compensation Plan Assets</w:t>
      </w:r>
    </w:p>
    <w:p>
      <w:pPr>
        <w:spacing w:after="0" w:line="247"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w:t>
      </w:r>
    </w:p>
    <w:p>
      <w:pPr>
        <w:spacing w:after="0" w:line="3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Long-term Debt</w:t>
      </w:r>
    </w:p>
    <w:p>
      <w:pPr>
        <w:spacing w:after="0" w:line="208"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fair values of the Senior Notes are estimated based on quoted prices in active markets and as such are Level 1 measurements as defined under ASC 820. The fair value of the obligations in our Credit Agreement is based on indicative pricing from market information (Level 2 inputs).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estimated fair values of the Company’s financial instruments are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00" w:type="dxa"/>
            <w:vAlign w:val="bottom"/>
          </w:tcPr>
          <w:p>
            <w:pPr>
              <w:spacing w:after="0"/>
              <w:rPr>
                <w:sz w:val="15"/>
                <w:szCs w:val="15"/>
                <w:color w:val="auto"/>
              </w:rPr>
            </w:pPr>
          </w:p>
        </w:tc>
      </w:tr>
      <w:tr>
        <w:trPr>
          <w:trHeight w:val="22"/>
        </w:trPr>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36"/>
        </w:trPr>
        <w:tc>
          <w:tcPr>
            <w:tcW w:w="5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540" w:type="dxa"/>
            <w:vAlign w:val="bottom"/>
          </w:tcPr>
          <w:p>
            <w:pPr>
              <w:spacing w:after="0"/>
              <w:rPr>
                <w:sz w:val="11"/>
                <w:szCs w:val="11"/>
                <w:color w:val="auto"/>
              </w:rPr>
            </w:pPr>
          </w:p>
        </w:tc>
        <w:tc>
          <w:tcPr>
            <w:tcW w:w="1020" w:type="dxa"/>
            <w:vAlign w:val="bottom"/>
            <w:gridSpan w:val="2"/>
          </w:tcPr>
          <w:p>
            <w:pPr>
              <w:jc w:val="center"/>
              <w:ind w:right="640"/>
              <w:spacing w:after="0" w:line="136" w:lineRule="exact"/>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1"/>
                <w:szCs w:val="11"/>
                <w:color w:val="auto"/>
              </w:rPr>
            </w:pPr>
          </w:p>
        </w:tc>
        <w:tc>
          <w:tcPr>
            <w:tcW w:w="1260" w:type="dxa"/>
            <w:vAlign w:val="bottom"/>
            <w:gridSpan w:val="2"/>
          </w:tcPr>
          <w:p>
            <w:pPr>
              <w:jc w:val="center"/>
              <w:ind w:right="400"/>
              <w:spacing w:after="0" w:line="136"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540" w:type="dxa"/>
            <w:vAlign w:val="bottom"/>
          </w:tcPr>
          <w:p>
            <w:pPr>
              <w:spacing w:after="0"/>
              <w:rPr>
                <w:sz w:val="11"/>
                <w:szCs w:val="11"/>
                <w:color w:val="auto"/>
              </w:rPr>
            </w:pPr>
          </w:p>
        </w:tc>
        <w:tc>
          <w:tcPr>
            <w:tcW w:w="900" w:type="dxa"/>
            <w:vAlign w:val="bottom"/>
          </w:tcPr>
          <w:p>
            <w:pPr>
              <w:jc w:val="right"/>
              <w:ind w:right="498"/>
              <w:spacing w:after="0" w:line="136"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87"/>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540" w:type="dxa"/>
            <w:vAlign w:val="bottom"/>
          </w:tcPr>
          <w:p>
            <w:pPr>
              <w:spacing w:after="0"/>
              <w:rPr>
                <w:sz w:val="16"/>
                <w:szCs w:val="16"/>
                <w:color w:val="auto"/>
              </w:rPr>
            </w:pPr>
          </w:p>
        </w:tc>
        <w:tc>
          <w:tcPr>
            <w:tcW w:w="10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540" w:type="dxa"/>
            <w:vAlign w:val="bottom"/>
          </w:tcPr>
          <w:p>
            <w:pPr>
              <w:spacing w:after="0"/>
              <w:rPr>
                <w:sz w:val="16"/>
                <w:szCs w:val="16"/>
                <w:color w:val="auto"/>
              </w:rPr>
            </w:pPr>
          </w:p>
        </w:tc>
        <w:tc>
          <w:tcPr>
            <w:tcW w:w="90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w w:val="91"/>
              </w:rPr>
              <w:t>Value</w:t>
            </w:r>
          </w:p>
        </w:tc>
      </w:tr>
      <w:tr>
        <w:trPr>
          <w:trHeight w:val="217"/>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71"/>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165,752</w:t>
            </w:r>
          </w:p>
        </w:tc>
        <w:tc>
          <w:tcPr>
            <w:tcW w:w="100" w:type="dxa"/>
            <w:vAlign w:val="bottom"/>
          </w:tcPr>
          <w:p>
            <w:pPr>
              <w:spacing w:after="0"/>
              <w:rPr>
                <w:sz w:val="23"/>
                <w:szCs w:val="23"/>
                <w:color w:val="auto"/>
              </w:rPr>
            </w:pPr>
          </w:p>
        </w:tc>
        <w:tc>
          <w:tcPr>
            <w:tcW w:w="54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165,752</w:t>
            </w:r>
          </w:p>
        </w:tc>
        <w:tc>
          <w:tcPr>
            <w:tcW w:w="100" w:type="dxa"/>
            <w:vAlign w:val="bottom"/>
          </w:tcPr>
          <w:p>
            <w:pPr>
              <w:spacing w:after="0"/>
              <w:rPr>
                <w:sz w:val="23"/>
                <w:szCs w:val="23"/>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224,314</w:t>
            </w:r>
          </w:p>
        </w:tc>
        <w:tc>
          <w:tcPr>
            <w:tcW w:w="100" w:type="dxa"/>
            <w:vAlign w:val="bottom"/>
          </w:tcPr>
          <w:p>
            <w:pPr>
              <w:spacing w:after="0"/>
              <w:rPr>
                <w:sz w:val="23"/>
                <w:szCs w:val="23"/>
                <w:color w:val="auto"/>
              </w:rPr>
            </w:pP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224,314</w:t>
            </w:r>
          </w:p>
        </w:tc>
      </w:tr>
      <w:tr>
        <w:trPr>
          <w:trHeight w:val="232"/>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Investment in leases, financing receivables, net</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2,550,915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2,385,589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2,557,504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2,150,560</w:t>
            </w:r>
          </w:p>
        </w:tc>
      </w:tr>
      <w:tr>
        <w:trPr>
          <w:trHeight w:val="232"/>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Investment in leases, sales-type, net</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245,121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297,066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248,421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268,107</w:t>
            </w:r>
          </w:p>
        </w:tc>
      </w:tr>
      <w:tr>
        <w:trPr>
          <w:trHeight w:val="271"/>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Real estate loans, net</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315,634</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317,634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247,999</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250,689</w:t>
            </w:r>
          </w:p>
        </w:tc>
      </w:tr>
      <w:tr>
        <w:trPr>
          <w:trHeight w:val="232"/>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Deferred compensation plan assets</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50,190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46,154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46,154</w:t>
            </w:r>
          </w:p>
        </w:tc>
      </w:tr>
      <w:tr>
        <w:trPr>
          <w:trHeight w:val="23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liabilities:</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2"/>
        </w:trPr>
        <w:tc>
          <w:tcPr>
            <w:tcW w:w="5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Long-term debt:</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2"/>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Credit Agreement and Term Loans</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1,008,130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1,008,130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931,624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931,624</w:t>
            </w:r>
          </w:p>
        </w:tc>
      </w:tr>
      <w:tr>
        <w:trPr>
          <w:trHeight w:val="232"/>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Senior Notes</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7,150,000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6,667,085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6,350,000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6,295,709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7" w:name="page28"/>
    <w:bookmarkEnd w:id="27"/>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Nonrecurring Basis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were no assets or liabilities measured at fair value on a nonrecurring basis during the nine months ended September 30, 2026 and 2025.</w:t>
      </w:r>
    </w:p>
    <w:p>
      <w:pPr>
        <w:spacing w:after="0" w:line="200" w:lineRule="exact"/>
        <w:rPr>
          <w:sz w:val="20"/>
          <w:szCs w:val="20"/>
          <w:color w:val="auto"/>
        </w:rPr>
      </w:pPr>
    </w:p>
    <w:p>
      <w:pPr>
        <w:spacing w:after="0" w:line="310" w:lineRule="exact"/>
        <w:rPr>
          <w:sz w:val="20"/>
          <w:szCs w:val="20"/>
          <w:color w:val="auto"/>
        </w:rPr>
      </w:pPr>
    </w:p>
    <w:p>
      <w:pPr>
        <w:ind w:right="8500" w:firstLine="3"/>
        <w:spacing w:after="0" w:line="524" w:lineRule="auto"/>
        <w:tabs>
          <w:tab w:leader="none" w:pos="301"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Litigation</w:t>
      </w:r>
    </w:p>
    <w:p>
      <w:pPr>
        <w:spacing w:after="0" w:line="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The majority of these matters are subject to indemnification and defense obligations of our tenants. The Company maintains what it believes is adequate insurance coverage to further mitigate the risks of such proceedings. However, such proceedings can be costly, time-consuming, and unpredictable and, therefore, no assurance can be given that the final outcome of such proceedings may not materially impact the Company’s financial condition, results of operations or liquidity. Further, no assurance can be given that the amount or scope of existing insurance coverage will be sufficient to cover losses arising from such matters.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commitments</w:t>
      </w:r>
    </w:p>
    <w:p>
      <w:pPr>
        <w:spacing w:after="0" w:line="23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September 30, 2026, the Company has entered into various commitments or call rights to finance/acquire future investments in gaming and related facilities for our tenants. These are detailed in the table below. Our tenants retain the option to decline our financing for certain projects and may seek alternative financing solutions. The inclusion of a commitment in this disclosure does not guarantee that the financing will be utilized by the tenant in circumstances where a tenant has the option. See Note 1 in the Notes to the Condensed Consolidated Financial Statements for further details.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40" w:type="dxa"/>
            <w:vAlign w:val="bottom"/>
            <w:shd w:val="clear" w:color="auto" w:fill="CCEEFF"/>
          </w:tcPr>
          <w:p>
            <w:pPr>
              <w:spacing w:after="0"/>
              <w:rPr>
                <w:sz w:val="17"/>
                <w:szCs w:val="17"/>
                <w:color w:val="auto"/>
              </w:rPr>
            </w:pPr>
          </w:p>
        </w:tc>
        <w:tc>
          <w:tcPr>
            <w:tcW w:w="2140" w:type="dxa"/>
            <w:vAlign w:val="bottom"/>
            <w:shd w:val="clear" w:color="auto" w:fill="CCEEFF"/>
          </w:tcPr>
          <w:p>
            <w:pPr>
              <w:jc w:val="center"/>
              <w:ind w:left="654"/>
              <w:spacing w:after="0"/>
              <w:rPr>
                <w:sz w:val="20"/>
                <w:szCs w:val="20"/>
                <w:color w:val="auto"/>
              </w:rPr>
            </w:pPr>
            <w:r>
              <w:rPr>
                <w:rFonts w:ascii="Times New Roman" w:cs="Times New Roman" w:eastAsia="Times New Roman" w:hAnsi="Times New Roman"/>
                <w:sz w:val="17"/>
                <w:szCs w:val="17"/>
                <w:color w:val="auto"/>
                <w:w w:val="99"/>
              </w:rPr>
              <w:t>Estimated</w:t>
            </w:r>
          </w:p>
        </w:tc>
        <w:tc>
          <w:tcPr>
            <w:tcW w:w="1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Amount funded at</w:t>
            </w:r>
          </w:p>
        </w:tc>
        <w:tc>
          <w:tcPr>
            <w:tcW w:w="0" w:type="dxa"/>
            <w:vAlign w:val="bottom"/>
          </w:tcPr>
          <w:p>
            <w:pPr>
              <w:spacing w:after="0"/>
              <w:rPr>
                <w:sz w:val="1"/>
                <w:szCs w:val="1"/>
                <w:color w:val="auto"/>
              </w:rPr>
            </w:pPr>
          </w:p>
        </w:tc>
      </w:tr>
      <w:tr>
        <w:trPr>
          <w:trHeight w:val="168"/>
        </w:trPr>
        <w:tc>
          <w:tcPr>
            <w:tcW w:w="7240" w:type="dxa"/>
            <w:vAlign w:val="bottom"/>
            <w:shd w:val="clear" w:color="auto" w:fill="CCEEFF"/>
          </w:tcPr>
          <w:p>
            <w:pPr>
              <w:spacing w:after="0"/>
              <w:rPr>
                <w:sz w:val="14"/>
                <w:szCs w:val="14"/>
                <w:color w:val="auto"/>
              </w:rPr>
            </w:pPr>
          </w:p>
        </w:tc>
        <w:tc>
          <w:tcPr>
            <w:tcW w:w="2140" w:type="dxa"/>
            <w:vAlign w:val="bottom"/>
            <w:shd w:val="clear" w:color="auto" w:fill="CCEEFF"/>
          </w:tcPr>
          <w:p>
            <w:pPr>
              <w:jc w:val="center"/>
              <w:ind w:left="654"/>
              <w:spacing w:after="0" w:line="167" w:lineRule="exact"/>
              <w:rPr>
                <w:sz w:val="20"/>
                <w:szCs w:val="20"/>
                <w:color w:val="auto"/>
              </w:rPr>
            </w:pPr>
            <w:r>
              <w:rPr>
                <w:rFonts w:ascii="Times New Roman" w:cs="Times New Roman" w:eastAsia="Times New Roman" w:hAnsi="Times New Roman"/>
                <w:sz w:val="17"/>
                <w:szCs w:val="17"/>
                <w:color w:val="auto"/>
              </w:rPr>
              <w:t>Commitment</w:t>
            </w:r>
          </w:p>
        </w:tc>
        <w:tc>
          <w:tcPr>
            <w:tcW w:w="1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240" w:type="dxa"/>
            <w:vAlign w:val="bottom"/>
            <w:tcBorders>
              <w:bottom w:val="single" w:sz="8" w:color="auto"/>
            </w:tcBorders>
            <w:shd w:val="clear" w:color="auto" w:fill="CCEEFF"/>
          </w:tcPr>
          <w:p>
            <w:pPr>
              <w:ind w:left="3600"/>
              <w:spacing w:after="0"/>
              <w:rPr>
                <w:sz w:val="20"/>
                <w:szCs w:val="20"/>
                <w:color w:val="auto"/>
              </w:rPr>
            </w:pPr>
            <w:r>
              <w:rPr>
                <w:rFonts w:ascii="Times New Roman" w:cs="Times New Roman" w:eastAsia="Times New Roman" w:hAnsi="Times New Roman"/>
                <w:sz w:val="17"/>
                <w:szCs w:val="17"/>
                <w:color w:val="auto"/>
              </w:rPr>
              <w:t>Description</w:t>
            </w:r>
          </w:p>
        </w:tc>
        <w:tc>
          <w:tcPr>
            <w:tcW w:w="2140" w:type="dxa"/>
            <w:vAlign w:val="bottom"/>
            <w:tcBorders>
              <w:bottom w:val="single" w:sz="8" w:color="auto"/>
            </w:tcBorders>
            <w:shd w:val="clear" w:color="auto" w:fill="CCEEFF"/>
          </w:tcPr>
          <w:p>
            <w:pPr>
              <w:jc w:val="center"/>
              <w:ind w:left="654"/>
              <w:spacing w:after="0"/>
              <w:rPr>
                <w:sz w:val="20"/>
                <w:szCs w:val="20"/>
                <w:color w:val="auto"/>
              </w:rPr>
            </w:pPr>
            <w:r>
              <w:rPr>
                <w:rFonts w:ascii="Times New Roman" w:cs="Times New Roman" w:eastAsia="Times New Roman" w:hAnsi="Times New Roman"/>
                <w:sz w:val="17"/>
                <w:szCs w:val="17"/>
                <w:color w:val="auto"/>
              </w:rPr>
              <w:t>amount</w:t>
            </w:r>
          </w:p>
        </w:tc>
        <w:tc>
          <w:tcPr>
            <w:tcW w:w="1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September 30, 2026</w:t>
            </w:r>
          </w:p>
        </w:tc>
        <w:tc>
          <w:tcPr>
            <w:tcW w:w="0" w:type="dxa"/>
            <w:vAlign w:val="bottom"/>
          </w:tcPr>
          <w:p>
            <w:pPr>
              <w:spacing w:after="0"/>
              <w:rPr>
                <w:sz w:val="1"/>
                <w:szCs w:val="1"/>
                <w:color w:val="auto"/>
              </w:rPr>
            </w:pPr>
          </w:p>
        </w:tc>
      </w:tr>
      <w:tr>
        <w:trPr>
          <w:trHeight w:val="225"/>
        </w:trPr>
        <w:tc>
          <w:tcPr>
            <w:tcW w:w="7240" w:type="dxa"/>
            <w:vAlign w:val="bottom"/>
          </w:tcPr>
          <w:p>
            <w:pPr>
              <w:ind w:left="20"/>
              <w:spacing w:after="0" w:line="225" w:lineRule="exact"/>
              <w:rPr>
                <w:sz w:val="20"/>
                <w:szCs w:val="20"/>
                <w:color w:val="auto"/>
              </w:rPr>
            </w:pPr>
            <w:r>
              <w:rPr>
                <w:rFonts w:ascii="Times New Roman" w:cs="Times New Roman" w:eastAsia="Times New Roman" w:hAnsi="Times New Roman"/>
                <w:sz w:val="17"/>
                <w:szCs w:val="17"/>
                <w:color w:val="auto"/>
              </w:rPr>
              <w:t xml:space="preserve">Funding associated with a landside move at Ameristar Casino Council Bluffs </w:t>
            </w:r>
            <w:r>
              <w:rPr>
                <w:rFonts w:ascii="Times New Roman" w:cs="Times New Roman" w:eastAsia="Times New Roman" w:hAnsi="Times New Roman"/>
                <w:sz w:val="22"/>
                <w:szCs w:val="22"/>
                <w:color w:val="auto"/>
                <w:vertAlign w:val="superscript"/>
              </w:rPr>
              <w:t>(1)</w:t>
            </w:r>
          </w:p>
        </w:tc>
        <w:tc>
          <w:tcPr>
            <w:tcW w:w="2140" w:type="dxa"/>
            <w:vAlign w:val="bottom"/>
          </w:tcPr>
          <w:p>
            <w:pPr>
              <w:jc w:val="center"/>
              <w:ind w:left="654"/>
              <w:spacing w:after="0"/>
              <w:rPr>
                <w:sz w:val="20"/>
                <w:szCs w:val="20"/>
                <w:color w:val="auto"/>
              </w:rPr>
            </w:pPr>
            <w:r>
              <w:rPr>
                <w:rFonts w:ascii="Times New Roman" w:cs="Times New Roman" w:eastAsia="Times New Roman" w:hAnsi="Times New Roman"/>
                <w:sz w:val="17"/>
                <w:szCs w:val="17"/>
                <w:color w:val="auto"/>
              </w:rPr>
              <w:t>$150 million</w:t>
            </w: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3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Potential transaction at the former Tropicana Las Vegas site with Bally's</w:t>
            </w:r>
          </w:p>
        </w:tc>
        <w:tc>
          <w:tcPr>
            <w:tcW w:w="2140" w:type="dxa"/>
            <w:vAlign w:val="bottom"/>
            <w:shd w:val="clear" w:color="auto" w:fill="CCEEFF"/>
          </w:tcPr>
          <w:p>
            <w:pPr>
              <w:jc w:val="center"/>
              <w:ind w:left="654"/>
              <w:spacing w:after="0"/>
              <w:rPr>
                <w:sz w:val="20"/>
                <w:szCs w:val="20"/>
                <w:color w:val="auto"/>
              </w:rPr>
            </w:pPr>
            <w:r>
              <w:rPr>
                <w:rFonts w:ascii="Times New Roman" w:cs="Times New Roman" w:eastAsia="Times New Roman" w:hAnsi="Times New Roman"/>
                <w:sz w:val="17"/>
                <w:szCs w:val="17"/>
                <w:color w:val="auto"/>
              </w:rPr>
              <w:t>$175 million</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$48.5 million</w:t>
            </w:r>
          </w:p>
        </w:tc>
        <w:tc>
          <w:tcPr>
            <w:tcW w:w="0" w:type="dxa"/>
            <w:vAlign w:val="bottom"/>
          </w:tcPr>
          <w:p>
            <w:pPr>
              <w:spacing w:after="0"/>
              <w:rPr>
                <w:sz w:val="1"/>
                <w:szCs w:val="1"/>
                <w:color w:val="auto"/>
              </w:rPr>
            </w:pPr>
          </w:p>
        </w:tc>
      </w:tr>
      <w:tr>
        <w:trPr>
          <w:trHeight w:val="232"/>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construction costs for Bally's Chicago</w:t>
            </w:r>
          </w:p>
        </w:tc>
        <w:tc>
          <w:tcPr>
            <w:tcW w:w="2140" w:type="dxa"/>
            <w:vAlign w:val="bottom"/>
          </w:tcPr>
          <w:p>
            <w:pPr>
              <w:jc w:val="center"/>
              <w:ind w:left="654"/>
              <w:spacing w:after="0"/>
              <w:rPr>
                <w:sz w:val="20"/>
                <w:szCs w:val="20"/>
                <w:color w:val="auto"/>
              </w:rPr>
            </w:pPr>
            <w:r>
              <w:rPr>
                <w:rFonts w:ascii="Times New Roman" w:cs="Times New Roman" w:eastAsia="Times New Roman" w:hAnsi="Times New Roman"/>
                <w:sz w:val="17"/>
                <w:szCs w:val="17"/>
                <w:color w:val="auto"/>
              </w:rPr>
              <w:t>$940 million</w:t>
            </w: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$640.7 million</w:t>
            </w:r>
          </w:p>
        </w:tc>
        <w:tc>
          <w:tcPr>
            <w:tcW w:w="0" w:type="dxa"/>
            <w:vAlign w:val="bottom"/>
          </w:tcPr>
          <w:p>
            <w:pPr>
              <w:spacing w:after="0"/>
              <w:rPr>
                <w:sz w:val="1"/>
                <w:szCs w:val="1"/>
                <w:color w:val="auto"/>
              </w:rPr>
            </w:pPr>
          </w:p>
        </w:tc>
      </w:tr>
      <w:tr>
        <w:trPr>
          <w:trHeight w:val="23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Ione Loan to fund a new casino development near Sacramento, California</w:t>
            </w:r>
          </w:p>
        </w:tc>
        <w:tc>
          <w:tcPr>
            <w:tcW w:w="2140" w:type="dxa"/>
            <w:vAlign w:val="bottom"/>
            <w:shd w:val="clear" w:color="auto" w:fill="CCEEFF"/>
          </w:tcPr>
          <w:p>
            <w:pPr>
              <w:jc w:val="center"/>
              <w:ind w:left="654"/>
              <w:spacing w:after="0"/>
              <w:rPr>
                <w:sz w:val="20"/>
                <w:szCs w:val="20"/>
                <w:color w:val="auto"/>
              </w:rPr>
            </w:pPr>
            <w:r>
              <w:rPr>
                <w:rFonts w:ascii="Times New Roman" w:cs="Times New Roman" w:eastAsia="Times New Roman" w:hAnsi="Times New Roman"/>
                <w:sz w:val="17"/>
                <w:szCs w:val="17"/>
                <w:color w:val="auto"/>
              </w:rPr>
              <w:t>$110 million</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$98.9 million</w:t>
            </w:r>
          </w:p>
        </w:tc>
        <w:tc>
          <w:tcPr>
            <w:tcW w:w="0" w:type="dxa"/>
            <w:vAlign w:val="bottom"/>
          </w:tcPr>
          <w:p>
            <w:pPr>
              <w:spacing w:after="0"/>
              <w:rPr>
                <w:sz w:val="1"/>
                <w:szCs w:val="1"/>
                <w:color w:val="auto"/>
              </w:rPr>
            </w:pPr>
          </w:p>
        </w:tc>
      </w:tr>
      <w:tr>
        <w:trPr>
          <w:trHeight w:val="232"/>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Funding associated with the future site and construction for Live! Casino &amp; Hotel Virginia</w:t>
            </w:r>
          </w:p>
        </w:tc>
        <w:tc>
          <w:tcPr>
            <w:tcW w:w="2140" w:type="dxa"/>
            <w:vAlign w:val="bottom"/>
          </w:tcPr>
          <w:p>
            <w:pPr>
              <w:jc w:val="center"/>
              <w:ind w:left="654"/>
              <w:spacing w:after="0"/>
              <w:rPr>
                <w:sz w:val="20"/>
                <w:szCs w:val="20"/>
                <w:color w:val="auto"/>
              </w:rPr>
            </w:pPr>
            <w:r>
              <w:rPr>
                <w:rFonts w:ascii="Times New Roman" w:cs="Times New Roman" w:eastAsia="Times New Roman" w:hAnsi="Times New Roman"/>
                <w:sz w:val="17"/>
                <w:szCs w:val="17"/>
                <w:color w:val="auto"/>
              </w:rPr>
              <w:t>$467 million</w:t>
            </w: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$48.6 million</w:t>
            </w:r>
          </w:p>
        </w:tc>
        <w:tc>
          <w:tcPr>
            <w:tcW w:w="0" w:type="dxa"/>
            <w:vAlign w:val="bottom"/>
          </w:tcPr>
          <w:p>
            <w:pPr>
              <w:spacing w:after="0"/>
              <w:rPr>
                <w:sz w:val="1"/>
                <w:szCs w:val="1"/>
                <w:color w:val="auto"/>
              </w:rPr>
            </w:pPr>
          </w:p>
        </w:tc>
      </w:tr>
      <w:tr>
        <w:trPr>
          <w:trHeight w:val="23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Delayed draw term loan for Dry Creek Rancheria Resort development</w:t>
            </w:r>
          </w:p>
        </w:tc>
        <w:tc>
          <w:tcPr>
            <w:tcW w:w="2140" w:type="dxa"/>
            <w:vAlign w:val="bottom"/>
            <w:shd w:val="clear" w:color="auto" w:fill="CCEEFF"/>
          </w:tcPr>
          <w:p>
            <w:pPr>
              <w:jc w:val="center"/>
              <w:ind w:left="654"/>
              <w:spacing w:after="0"/>
              <w:rPr>
                <w:sz w:val="20"/>
                <w:szCs w:val="20"/>
                <w:color w:val="auto"/>
              </w:rPr>
            </w:pPr>
            <w:r>
              <w:rPr>
                <w:rFonts w:ascii="Times New Roman" w:cs="Times New Roman" w:eastAsia="Times New Roman" w:hAnsi="Times New Roman"/>
                <w:sz w:val="17"/>
                <w:szCs w:val="17"/>
                <w:color w:val="auto"/>
              </w:rPr>
              <w:t>$180 million</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firstLine="3"/>
        <w:spacing w:after="0" w:line="271" w:lineRule="auto"/>
        <w:tabs>
          <w:tab w:leader="none" w:pos="24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agreed to fund, if requested by PENN at its sole discretion, on or before March 31, 2029, construction improvements in an amount not to exceed the greater of (i) the hard costs associated with the project and (ii) $150.0 million at a 7.10% capitalization rate.</w:t>
      </w:r>
    </w:p>
    <w:p>
      <w:pPr>
        <w:spacing w:after="0" w:line="1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10.</w:t>
        <w:tab/>
        <w:t>Revenue Recognition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 terms</w:t>
      </w:r>
    </w:p>
    <w:p>
      <w:pPr>
        <w:spacing w:after="0" w:line="288"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color w:val="auto"/>
        </w:rPr>
        <w:t>Under ASC 842, the Company is required at lease inception (and if applicable at a lease reassessment date) to determine the term of the lease. This requires concluding whether it is reasonably assured that our tenants will exercise their renewal options contained within the lease. The initial lease term is a key judgment that is utilized in the lease classification test to determine whether the lease is an operating lease, sales-type lease or direct financing lease. The Company currently has not included tenant renewal options in its determination of the initial lease term. The Company assesses whether to include tenant renewal options in its calculation of the lease term based on several factors, including but not limited to, whether its tenants' leases represent substantially all of the tenants' earnings and revenues, the ability of its tenants to sell their leased operations for fair value and whether the initial term of its leases is for a significant period of time.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8" w:name="page29"/>
    <w:bookmarkEnd w:id="28"/>
    <w:p>
      <w:pPr>
        <w:ind w:left="620"/>
        <w:spacing w:after="0"/>
        <w:rPr>
          <w:sz w:val="20"/>
          <w:szCs w:val="20"/>
          <w:color w:val="auto"/>
        </w:rPr>
      </w:pPr>
      <w:r>
        <w:rPr>
          <w:rFonts w:ascii="Times New Roman" w:cs="Times New Roman" w:eastAsia="Times New Roman" w:hAnsi="Times New Roman"/>
          <w:sz w:val="17"/>
          <w:szCs w:val="17"/>
          <w:color w:val="auto"/>
        </w:rPr>
        <w:t>Details of the Company's income from real estate for the three and nine months ended September 30, 2026 were as follows (in thousands):</w:t>
      </w:r>
    </w:p>
    <w:p>
      <w:pPr>
        <w:spacing w:after="0" w:line="35"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80" w:type="dxa"/>
            <w:vAlign w:val="bottom"/>
          </w:tcPr>
          <w:p>
            <w:pPr>
              <w:spacing w:after="0"/>
              <w:rPr>
                <w:sz w:val="13"/>
                <w:szCs w:val="13"/>
                <w:color w:val="auto"/>
              </w:rPr>
            </w:pPr>
          </w:p>
        </w:tc>
        <w:tc>
          <w:tcPr>
            <w:tcW w:w="15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September 30, 2026</w:t>
            </w:r>
          </w:p>
        </w:tc>
        <w:tc>
          <w:tcPr>
            <w:tcW w:w="180" w:type="dxa"/>
            <w:vAlign w:val="bottom"/>
          </w:tcPr>
          <w:p>
            <w:pPr>
              <w:spacing w:after="0"/>
              <w:rPr>
                <w:sz w:val="16"/>
                <w:szCs w:val="16"/>
                <w:color w:val="auto"/>
              </w:rPr>
            </w:pPr>
          </w:p>
        </w:tc>
        <w:tc>
          <w:tcPr>
            <w:tcW w:w="15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23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 base rent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347,863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1,016,106</w:t>
            </w:r>
          </w:p>
        </w:tc>
      </w:tr>
      <w:tr>
        <w:trPr>
          <w:trHeight w:val="232"/>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 base rent</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149,033</w:t>
            </w:r>
          </w:p>
        </w:tc>
      </w:tr>
      <w:tr>
        <w:trPr>
          <w:trHeight w:val="232"/>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Percentage rent and other rental revenue</w:t>
            </w: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53,384</w:t>
            </w:r>
          </w:p>
        </w:tc>
      </w:tr>
      <w:tr>
        <w:trPr>
          <w:trHeight w:val="232"/>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income on real estate loans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7,652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22,199</w:t>
            </w:r>
          </w:p>
        </w:tc>
      </w:tr>
      <w:tr>
        <w:trPr>
          <w:trHeight w:val="225"/>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cash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422,654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1,240,722</w:t>
            </w:r>
          </w:p>
        </w:tc>
      </w:tr>
      <w:tr>
        <w:trPr>
          <w:trHeight w:val="232"/>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Straight-line rent adjustments</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(6,252)</w:t>
            </w:r>
          </w:p>
        </w:tc>
      </w:tr>
      <w:tr>
        <w:trPr>
          <w:trHeight w:val="232"/>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Ground rent in revenue</w:t>
            </w: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29,370</w:t>
            </w:r>
          </w:p>
        </w:tc>
      </w:tr>
      <w:tr>
        <w:trPr>
          <w:trHeight w:val="232"/>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Accretion on financing receivables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7,374</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22,113</w:t>
            </w: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income from real estate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435,449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1,285,953</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As of September 30, 2026, the future minimum rental income from the Company's rental properties under non-cancelable operating leases, including any reasonably assured renewal periods, was as follows (in thousands):</w:t>
      </w:r>
    </w:p>
    <w:p>
      <w:pPr>
        <w:spacing w:after="0" w:line="11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Future Rental</w:t>
            </w: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Straight-Line Rent</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Future Base Ground</w:t>
            </w:r>
          </w:p>
        </w:tc>
        <w:tc>
          <w:tcPr>
            <w:tcW w:w="100" w:type="dxa"/>
            <w:vAlign w:val="bottom"/>
          </w:tcPr>
          <w:p>
            <w:pPr>
              <w:spacing w:after="0"/>
              <w:rPr>
                <w:sz w:val="13"/>
                <w:szCs w:val="13"/>
                <w:color w:val="auto"/>
              </w:rPr>
            </w:pPr>
          </w:p>
        </w:tc>
        <w:tc>
          <w:tcPr>
            <w:tcW w:w="14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6"/>
              </w:rPr>
              <w:t>Future Income to be</w:t>
            </w:r>
          </w:p>
        </w:tc>
        <w:tc>
          <w:tcPr>
            <w:tcW w:w="0" w:type="dxa"/>
            <w:vAlign w:val="bottom"/>
          </w:tcPr>
          <w:p>
            <w:pPr>
              <w:spacing w:after="0"/>
              <w:rPr>
                <w:sz w:val="1"/>
                <w:szCs w:val="1"/>
                <w:color w:val="auto"/>
              </w:rPr>
            </w:pPr>
          </w:p>
        </w:tc>
      </w:tr>
      <w:tr>
        <w:trPr>
          <w:trHeight w:val="14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19"/>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Recognized Related to</w:t>
            </w:r>
          </w:p>
        </w:tc>
        <w:tc>
          <w:tcPr>
            <w:tcW w:w="0" w:type="dxa"/>
            <w:vAlign w:val="bottom"/>
          </w:tcPr>
          <w:p>
            <w:pPr>
              <w:spacing w:after="0"/>
              <w:rPr>
                <w:sz w:val="1"/>
                <w:szCs w:val="1"/>
                <w:color w:val="auto"/>
              </w:rPr>
            </w:pPr>
          </w:p>
        </w:tc>
      </w:tr>
      <w:tr>
        <w:trPr>
          <w:trHeight w:val="142"/>
        </w:trPr>
        <w:tc>
          <w:tcPr>
            <w:tcW w:w="4020" w:type="dxa"/>
            <w:vAlign w:val="bottom"/>
            <w:gridSpan w:val="2"/>
            <w:vMerge w:val="continue"/>
          </w:tcPr>
          <w:p>
            <w:pPr>
              <w:spacing w:after="0"/>
              <w:rPr>
                <w:sz w:val="12"/>
                <w:szCs w:val="12"/>
                <w:color w:val="auto"/>
              </w:rPr>
            </w:pPr>
          </w:p>
        </w:tc>
        <w:tc>
          <w:tcPr>
            <w:tcW w:w="1380" w:type="dxa"/>
            <w:vAlign w:val="bottom"/>
            <w:gridSpan w:val="3"/>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Payments Receivable</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w w:val="97"/>
              </w:rPr>
              <w:t>Adjustments (1)</w:t>
            </w:r>
          </w:p>
        </w:tc>
        <w:tc>
          <w:tcPr>
            <w:tcW w:w="100" w:type="dxa"/>
            <w:vAlign w:val="bottom"/>
          </w:tcPr>
          <w:p>
            <w:pPr>
              <w:spacing w:after="0"/>
              <w:rPr>
                <w:sz w:val="12"/>
                <w:szCs w:val="12"/>
                <w:color w:val="auto"/>
              </w:rPr>
            </w:pPr>
          </w:p>
        </w:tc>
        <w:tc>
          <w:tcPr>
            <w:tcW w:w="12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Rents Receivable</w:t>
            </w:r>
          </w:p>
        </w:tc>
        <w:tc>
          <w:tcPr>
            <w:tcW w:w="100" w:type="dxa"/>
            <w:vAlign w:val="bottom"/>
          </w:tcPr>
          <w:p>
            <w:pPr>
              <w:spacing w:after="0"/>
              <w:rPr>
                <w:sz w:val="12"/>
                <w:szCs w:val="12"/>
                <w:color w:val="auto"/>
              </w:rPr>
            </w:pPr>
          </w:p>
        </w:tc>
        <w:tc>
          <w:tcPr>
            <w:tcW w:w="1400" w:type="dxa"/>
            <w:vAlign w:val="bottom"/>
          </w:tcPr>
          <w:p>
            <w:pPr>
              <w:jc w:val="center"/>
              <w:ind w:right="19"/>
              <w:spacing w:after="0" w:line="122" w:lineRule="exact"/>
              <w:rPr>
                <w:sz w:val="20"/>
                <w:szCs w:val="20"/>
                <w:color w:val="auto"/>
              </w:rPr>
            </w:pPr>
            <w:r>
              <w:rPr>
                <w:rFonts w:ascii="Times New Roman" w:cs="Times New Roman" w:eastAsia="Times New Roman" w:hAnsi="Times New Roman"/>
                <w:sz w:val="14"/>
                <w:szCs w:val="14"/>
                <w:b w:val="1"/>
                <w:bCs w:val="1"/>
                <w:color w:val="auto"/>
                <w:w w:val="97"/>
              </w:rPr>
              <w:t>Operating Leases</w:t>
            </w:r>
          </w:p>
        </w:tc>
        <w:tc>
          <w:tcPr>
            <w:tcW w:w="0" w:type="dxa"/>
            <w:vAlign w:val="bottom"/>
          </w:tcPr>
          <w:p>
            <w:pPr>
              <w:spacing w:after="0"/>
              <w:rPr>
                <w:sz w:val="1"/>
                <w:szCs w:val="1"/>
                <w:color w:val="auto"/>
              </w:rPr>
            </w:pPr>
          </w:p>
        </w:tc>
      </w:tr>
      <w:tr>
        <w:trPr>
          <w:trHeight w:val="32"/>
        </w:trPr>
        <w:tc>
          <w:tcPr>
            <w:tcW w:w="1540" w:type="dxa"/>
            <w:vAlign w:val="bottom"/>
            <w:tcBorders>
              <w:top w:val="single" w:sz="8" w:color="auto"/>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 (remainder of year)</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350,290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364,922</w:t>
            </w:r>
          </w:p>
        </w:tc>
        <w:tc>
          <w:tcPr>
            <w:tcW w:w="0" w:type="dxa"/>
            <w:vAlign w:val="bottom"/>
          </w:tcPr>
          <w:p>
            <w:pPr>
              <w:spacing w:after="0"/>
              <w:rPr>
                <w:sz w:val="1"/>
                <w:szCs w:val="1"/>
                <w:color w:val="auto"/>
              </w:rPr>
            </w:pPr>
          </w:p>
        </w:tc>
      </w:tr>
      <w:tr>
        <w:trPr>
          <w:trHeight w:val="232"/>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1,403,987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40,078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1,459,219</w:t>
            </w:r>
          </w:p>
        </w:tc>
        <w:tc>
          <w:tcPr>
            <w:tcW w:w="0" w:type="dxa"/>
            <w:vAlign w:val="bottom"/>
          </w:tcPr>
          <w:p>
            <w:pPr>
              <w:spacing w:after="0"/>
              <w:rPr>
                <w:sz w:val="1"/>
                <w:szCs w:val="1"/>
                <w:color w:val="auto"/>
              </w:rPr>
            </w:pPr>
          </w:p>
        </w:tc>
      </w:tr>
      <w:tr>
        <w:trPr>
          <w:trHeight w:val="232"/>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2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1,377,737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40,748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1,433,521</w:t>
            </w:r>
          </w:p>
        </w:tc>
        <w:tc>
          <w:tcPr>
            <w:tcW w:w="0" w:type="dxa"/>
            <w:vAlign w:val="bottom"/>
          </w:tcPr>
          <w:p>
            <w:pPr>
              <w:spacing w:after="0"/>
              <w:rPr>
                <w:sz w:val="1"/>
                <w:szCs w:val="1"/>
                <w:color w:val="auto"/>
              </w:rPr>
            </w:pPr>
          </w:p>
        </w:tc>
      </w:tr>
      <w:tr>
        <w:trPr>
          <w:trHeight w:val="232"/>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1,345,851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1,399,387</w:t>
            </w:r>
          </w:p>
        </w:tc>
        <w:tc>
          <w:tcPr>
            <w:tcW w:w="0" w:type="dxa"/>
            <w:vAlign w:val="bottom"/>
          </w:tcPr>
          <w:p>
            <w:pPr>
              <w:spacing w:after="0"/>
              <w:rPr>
                <w:sz w:val="1"/>
                <w:szCs w:val="1"/>
                <w:color w:val="auto"/>
              </w:rPr>
            </w:pPr>
          </w:p>
        </w:tc>
      </w:tr>
      <w:tr>
        <w:trPr>
          <w:trHeight w:val="232"/>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w:t>
            </w:r>
          </w:p>
        </w:tc>
        <w:tc>
          <w:tcPr>
            <w:tcW w:w="2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1,352,238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32,112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1,399,393</w:t>
            </w:r>
          </w:p>
        </w:tc>
        <w:tc>
          <w:tcPr>
            <w:tcW w:w="0" w:type="dxa"/>
            <w:vAlign w:val="bottom"/>
          </w:tcPr>
          <w:p>
            <w:pPr>
              <w:spacing w:after="0"/>
              <w:rPr>
                <w:sz w:val="1"/>
                <w:szCs w:val="1"/>
                <w:color w:val="auto"/>
              </w:rPr>
            </w:pPr>
          </w:p>
        </w:tc>
      </w:tr>
      <w:tr>
        <w:trPr>
          <w:trHeight w:val="232"/>
        </w:trPr>
        <w:tc>
          <w:tcPr>
            <w:tcW w:w="4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4,411,649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(23,766)</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58,508</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4,446,391</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10,241,752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10,502,833</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620" w:hanging="617"/>
        <w:spacing w:after="0" w:line="229" w:lineRule="auto"/>
        <w:tabs>
          <w:tab w:leader="none" w:pos="317"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a tenant improvement allowance that is being amortized over the life of a tenant lease and excludes deferred income on the Bally's Chicago Lease as the facility is under development and as such is not ready for its intended use.</w:t>
      </w:r>
    </w:p>
    <w:p>
      <w:pPr>
        <w:spacing w:after="0" w:line="12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 See Note 3 for the future contractual cash receipts to be received by the Company under its Investment in leases.</w:t>
      </w:r>
    </w:p>
    <w:p>
      <w:pPr>
        <w:spacing w:after="0" w:line="10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may periodically loan funds to casino owner-operators for the purchase of real estate. Interest income related to real estate loans is recorded as revenue from real estate within the Company's consolidated statements of income in the period earned. See Note 5 for further details.</w:t>
      </w:r>
    </w:p>
    <w:p>
      <w:pPr>
        <w:spacing w:after="0" w:line="30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11.</w:t>
        <w:tab/>
        <w:t>Earnings Per Share</w:t>
      </w:r>
    </w:p>
    <w:p>
      <w:pPr>
        <w:spacing w:after="0" w:line="21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The Company calculates earnings per share ("EPS") in accordance with ASC 260 -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xml:space="preserve"> ("ASC 260"</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Basic EPS is computed by dividing net income applicable to common stock by the weighted-average number of common shares outstanding during the period, excluding net income attributable to participating securities in accordance with the two class method. The Company's participating securities are related to certain employee equity awards that receive non-forfeitable dividends. Specifically, time-based restricted stock awards receive non-forfeitable dividends equivalent to what common shareholders receive during these awards' vesting periods. Diluted EPS for the Company's common stock is computed using the more dilutive of the two-class method or the treasury stock method. Diluted EPS reflects the additional dilution for all potentially-dilutive securities. The effect of the conversion of the LTIP Units and OP Units to common shares is excluded from the computation of basic and diluted earnings per share because the exchange of LTIP Units and OP Units into common stock is on a one-for-one basis and all net income attributable to the noncontrolling interest holders is recorded as income attributable to noncontrolling interests and thus is excluded from net income available to common shareholders. In accordance with ASC</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29" w:name="page30"/>
    <w:bookmarkEnd w:id="29"/>
    <w:p>
      <w:pPr>
        <w:spacing w:after="0" w:line="287" w:lineRule="auto"/>
        <w:rPr>
          <w:sz w:val="20"/>
          <w:szCs w:val="20"/>
          <w:color w:val="auto"/>
        </w:rPr>
      </w:pPr>
      <w:r>
        <w:rPr>
          <w:rFonts w:ascii="Times New Roman" w:cs="Times New Roman" w:eastAsia="Times New Roman" w:hAnsi="Times New Roman"/>
          <w:sz w:val="17"/>
          <w:szCs w:val="17"/>
          <w:color w:val="auto"/>
        </w:rPr>
        <w:t>260, the Company includes all performance-based restricted shares that would have vested based upon the Company’s performance at quarter-end in the calculation of diluted EPS.</w:t>
      </w:r>
    </w:p>
    <w:p>
      <w:pPr>
        <w:spacing w:after="0" w:line="17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reconciles the weighted-average common shares outstanding used in the calculation of basic EPS to the weighted-average common shares outstanding used in the calculation of diluted EPS for the three and nine months ended September 30, 2026 and 2025:</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5120" w:type="dxa"/>
            <w:vAlign w:val="bottom"/>
          </w:tcPr>
          <w:p>
            <w:pPr>
              <w:spacing w:after="0"/>
              <w:rPr>
                <w:sz w:val="15"/>
                <w:szCs w:val="15"/>
                <w:color w:val="auto"/>
              </w:rPr>
            </w:pPr>
          </w:p>
        </w:tc>
        <w:tc>
          <w:tcPr>
            <w:tcW w:w="35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580" w:type="dxa"/>
            <w:vAlign w:val="bottom"/>
            <w:gridSpan w:val="3"/>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r>
      <w:tr>
        <w:trPr>
          <w:trHeight w:val="22"/>
        </w:trPr>
        <w:tc>
          <w:tcPr>
            <w:tcW w:w="5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7"/>
        </w:trPr>
        <w:tc>
          <w:tcPr>
            <w:tcW w:w="5120" w:type="dxa"/>
            <w:vAlign w:val="bottom"/>
          </w:tcPr>
          <w:p>
            <w:pPr>
              <w:spacing w:after="0"/>
              <w:rPr>
                <w:sz w:val="15"/>
                <w:szCs w:val="15"/>
                <w:color w:val="auto"/>
              </w:rPr>
            </w:pPr>
          </w:p>
        </w:tc>
        <w:tc>
          <w:tcPr>
            <w:tcW w:w="14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4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4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5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3"/>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7"/>
        </w:trPr>
        <w:tc>
          <w:tcPr>
            <w:tcW w:w="5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2"/>
        </w:trPr>
        <w:tc>
          <w:tcPr>
            <w:tcW w:w="5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3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Determination of shares:</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32"/>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290,922</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283,008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286,650</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278,454</w:t>
            </w:r>
          </w:p>
        </w:tc>
      </w:tr>
      <w:tr>
        <w:trPr>
          <w:trHeight w:val="23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Assumed conversion of restricted stock awards (1)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32"/>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Assumed conversion of performance-based restricted stock awards</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r>
      <w:tr>
        <w:trPr>
          <w:trHeight w:val="23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Dilution attributable to equity forward contract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25"/>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291,072</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283,503</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286,774</w:t>
            </w: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278,801</w:t>
            </w:r>
          </w:p>
        </w:tc>
      </w:tr>
      <w:tr>
        <w:trPr>
          <w:trHeight w:val="20"/>
        </w:trPr>
        <w:tc>
          <w:tcPr>
            <w:tcW w:w="5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firstLine="622"/>
        <w:spacing w:after="0" w:line="287" w:lineRule="auto"/>
        <w:tabs>
          <w:tab w:leader="none" w:pos="86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awards which are participating securities are accounted for under the two-class method and excluded from the computation of diluted shares as they are a separate class.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calculation of basic and diluted EPS for the Company’s common stock for the three and nine months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2026 and 2025:</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2720" w:type="dxa"/>
            <w:vAlign w:val="bottom"/>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
        </w:trPr>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7"/>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gridSpan w:val="5"/>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7"/>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
        </w:trPr>
        <w:tc>
          <w:tcPr>
            <w:tcW w:w="5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Calculation of basic EPS:</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2"/>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shareholders</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207,636</w:t>
            </w:r>
          </w:p>
        </w:tc>
        <w:tc>
          <w:tcPr>
            <w:tcW w:w="10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241,191</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667,881</w:t>
            </w:r>
          </w:p>
        </w:tc>
        <w:tc>
          <w:tcPr>
            <w:tcW w:w="100" w:type="dxa"/>
            <w:vAlign w:val="bottom"/>
          </w:tcPr>
          <w:p>
            <w:pPr>
              <w:spacing w:after="0"/>
              <w:rPr>
                <w:sz w:val="20"/>
                <w:szCs w:val="20"/>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557,814</w:t>
            </w:r>
          </w:p>
        </w:tc>
      </w:tr>
      <w:tr>
        <w:trPr>
          <w:trHeight w:val="23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income allocated to participating securities</w:t>
            </w: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r>
      <w:tr>
        <w:trPr>
          <w:trHeight w:val="225"/>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for earnings per share purposes</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207,479</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240,981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667,406</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557,242</w:t>
            </w:r>
          </w:p>
        </w:tc>
      </w:tr>
      <w:tr>
        <w:trPr>
          <w:trHeight w:val="23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290,922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283,008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286,650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278,454</w:t>
            </w:r>
          </w:p>
        </w:tc>
      </w:tr>
      <w:tr>
        <w:trPr>
          <w:trHeight w:val="232"/>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EPS</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10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0.85</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Pr>
          <w:p>
            <w:pPr>
              <w:spacing w:after="0"/>
              <w:rPr>
                <w:sz w:val="20"/>
                <w:szCs w:val="20"/>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06"/>
        </w:trPr>
        <w:tc>
          <w:tcPr>
            <w:tcW w:w="5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2"/>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Calculation of diluted EPS: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for earnings per share purposes</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207,479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240,981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667,406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557,242</w:t>
            </w:r>
          </w:p>
        </w:tc>
      </w:tr>
      <w:tr>
        <w:trPr>
          <w:trHeight w:val="232"/>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weighted-average common shares outstanding</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290,960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283,355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286,677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278,683</w:t>
            </w:r>
          </w:p>
        </w:tc>
      </w:tr>
      <w:tr>
        <w:trPr>
          <w:trHeight w:val="23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06"/>
        </w:trPr>
        <w:tc>
          <w:tcPr>
            <w:tcW w:w="5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0"/>
        </w:trPr>
        <w:tc>
          <w:tcPr>
            <w:tcW w:w="51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Antidilutive securities excluded from the computation of diluted</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2"/>
        </w:trPr>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earnings per share</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0" w:name="page31"/>
    <w:bookmarkEnd w:id="30"/>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12.</w:t>
        <w:tab/>
        <w:t>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issuance</w:t>
      </w:r>
    </w:p>
    <w:p>
      <w:pPr>
        <w:spacing w:after="0" w:line="247"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On May 2, 2025, the Company entered into a new continuous equity offering program under which the Company may sell up to an aggregate of $1.25 billion of its common stock from time to time through a sales agent in "at the market" offerings (the "2025 ATM Program"). The issuance of securities through the 2025 ATM Program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2025 ATM Program. The 2025 ATM Program also allows the Company to enter into forward sale agreements. In no event will the aggregate number of shares sold under the 2025 ATM Program (whether under any forward sale agreement or through a sales agent), have an aggregate sales price in excess of $1.25 billion.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cash proceeds may or may not be received or cash may be owed to the forward purchaser.</w:t>
      </w:r>
    </w:p>
    <w:p>
      <w:pPr>
        <w:spacing w:after="0" w:line="216"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In connection with the 2025 ATM Program, the Company would engage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20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On June 1, 2026, the Company settled a forward sale agreement and issued 7,589,487 shares for a net sales price of $351.0 million inclusive of certain contractual adjustments. Reflecting the impact of this forward sale agreement, the Company has $886.7 million remaining for issuance under the 2025 ATM Program as of September 30,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Noncontrolling interests</w:t>
      </w:r>
    </w:p>
    <w:p>
      <w:pPr>
        <w:spacing w:after="0" w:line="234"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As partial consideration for the closing of various real property assets over the past few years, the Company's operating partnership has issued OP Units. Once vested, the OP Units are redeemable for cash, or at the Company's option, shares of common stock of the Company on a one-for-one basis. On June 30, 2026, 108,000 OP units were redeemed and an equal number of shares of the Company's common stock were issued. As partial consideration for the closing of the real property assets under the Bally's Master Lease II that occurred on February 11, 2026, the Company’s operating partnership issued 332,890 newly-issued OP units to affiliates of Bally's which were valued at $15.4 million. As of September 30, 2026, the Company holds a 96.9% controlling financial interest in the operating partnership.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Condensed Consolidated Balance Sheets. The Company paid $7.1 million and $21.2 million in distributions to the noncontrolling interest holders concurrently with the dividends paid to the Company's common shareholders, during the three and nine month periods ended September 30, 2026. The Company paid $6.5 million and $19.3 million in distributions to the noncontrolling interest holders concurrently with the dividends paid to the Company's common shareholders, during the three and nine month periods ended September 30, 2025.</w:t>
      </w:r>
    </w:p>
    <w:p>
      <w:pPr>
        <w:spacing w:after="0" w:line="200" w:lineRule="exact"/>
        <w:rPr>
          <w:sz w:val="20"/>
          <w:szCs w:val="20"/>
          <w:color w:val="auto"/>
        </w:rPr>
      </w:pPr>
    </w:p>
    <w:p>
      <w:pPr>
        <w:spacing w:after="0" w:line="203"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 Company’s net income or loss is allocated to noncontrolling interests based on the respective economic interests in the Operating Partnership associated with such noncontrolling interests and is removed from consolidated income or loss on the Condensed Consolidated Statements of Income in order to derive net income or loss attributable to common stockholders. The noncontrolling ownership percentage is calculated by dividing the economically participating LTIP Units and OP Units by the total economically participating units and shares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Accumulated Other Comprehensive Income (Loss)</w:t>
      </w:r>
    </w:p>
    <w:p>
      <w:pPr>
        <w:spacing w:after="0" w:line="24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As discussed in Note 2 in the Company's 10-K, the Company had derivative instruments designated as cash flow hedges which it terminated in connection with the August 2025 issuance of Senior Notes. The amount in other comprehensive income before reclassifications is being amortized as a reduction in interest expense over ten years, which was the life of the derivative instruments. The amount expected to be amortized out of other comprehensive income to interest expense over the next 12 months is $0.1 million.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lists the dividends declared and paid by the Company during the nine months ended September 30, 2026 and 2025:</w:t>
      </w:r>
    </w:p>
    <w:p>
      <w:pPr>
        <w:spacing w:after="0" w:line="48"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16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Declaration Date</w:t>
            </w: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Shareholder Record Date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Securities</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Dividend Per</w:t>
            </w:r>
          </w:p>
        </w:tc>
        <w:tc>
          <w:tcPr>
            <w:tcW w:w="18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5"/>
                <w:szCs w:val="15"/>
                <w:b w:val="1"/>
                <w:bCs w:val="1"/>
                <w:color w:val="auto"/>
              </w:rPr>
              <w:t>Period Covered</w:t>
            </w:r>
          </w:p>
        </w:tc>
        <w:tc>
          <w:tcPr>
            <w:tcW w:w="1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5"/>
                <w:szCs w:val="15"/>
                <w:b w:val="1"/>
                <w:bCs w:val="1"/>
                <w:color w:val="auto"/>
              </w:rPr>
              <w:t>Distribution Date</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Dividend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Class</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840" w:type="dxa"/>
            <w:vAlign w:val="bottom"/>
            <w:gridSpan w:val="2"/>
            <w:vMerge w:val="continue"/>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0" w:type="dxa"/>
            <w:vAlign w:val="bottom"/>
          </w:tcPr>
          <w:p>
            <w:pPr>
              <w:spacing w:after="0"/>
              <w:rPr>
                <w:sz w:val="1"/>
                <w:szCs w:val="1"/>
                <w:color w:val="auto"/>
              </w:rPr>
            </w:pPr>
          </w:p>
        </w:tc>
      </w:tr>
      <w:tr>
        <w:trPr>
          <w:trHeight w:val="183"/>
        </w:trPr>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w w:val="93"/>
              </w:rPr>
              <w:t>2026</w:t>
            </w: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1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5"/>
                <w:szCs w:val="15"/>
                <w:color w:val="auto"/>
              </w:rPr>
              <w:t>February 18, 2026</w:t>
            </w: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March 13, 2026</w:t>
            </w:r>
          </w:p>
        </w:tc>
        <w:tc>
          <w:tcPr>
            <w:tcW w:w="110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5"/>
                <w:szCs w:val="15"/>
                <w:color w:val="auto"/>
              </w:rPr>
              <w:t>Common</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$0.78</w:t>
            </w:r>
          </w:p>
        </w:tc>
        <w:tc>
          <w:tcPr>
            <w:tcW w:w="100" w:type="dxa"/>
            <w:vAlign w:val="bottom"/>
          </w:tcPr>
          <w:p>
            <w:pPr>
              <w:spacing w:after="0"/>
              <w:rPr>
                <w:sz w:val="14"/>
                <w:szCs w:val="14"/>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First Quarter 2026</w:t>
            </w:r>
          </w:p>
        </w:tc>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March 27, 2026</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$220,913</w:t>
            </w:r>
          </w:p>
        </w:tc>
        <w:tc>
          <w:tcPr>
            <w:tcW w:w="0" w:type="dxa"/>
            <w:vAlign w:val="bottom"/>
          </w:tcPr>
          <w:p>
            <w:pPr>
              <w:spacing w:after="0"/>
              <w:rPr>
                <w:sz w:val="1"/>
                <w:szCs w:val="1"/>
                <w:color w:val="auto"/>
              </w:rPr>
            </w:pPr>
          </w:p>
        </w:tc>
      </w:tr>
      <w:tr>
        <w:trPr>
          <w:trHeight w:val="203"/>
        </w:trPr>
        <w:tc>
          <w:tcPr>
            <w:tcW w:w="1700" w:type="dxa"/>
            <w:vAlign w:val="bottom"/>
            <w:gridSpan w:val="4"/>
            <w:vMerge w:val="continue"/>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Stock</w:t>
            </w: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70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May 20, 2026</w:t>
            </w:r>
          </w:p>
        </w:tc>
        <w:tc>
          <w:tcPr>
            <w:tcW w:w="1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June 12, 2026</w:t>
            </w:r>
          </w:p>
        </w:tc>
        <w:tc>
          <w:tcPr>
            <w:tcW w:w="1100" w:type="dxa"/>
            <w:vAlign w:val="bottom"/>
            <w:gridSpan w:val="2"/>
            <w:shd w:val="clear" w:color="auto" w:fill="CCEEFF"/>
          </w:tcPr>
          <w:p>
            <w:pPr>
              <w:jc w:val="center"/>
              <w:ind w:right="80"/>
              <w:spacing w:after="0" w:line="172" w:lineRule="exact"/>
              <w:rPr>
                <w:sz w:val="20"/>
                <w:szCs w:val="20"/>
                <w:color w:val="auto"/>
              </w:rPr>
            </w:pPr>
            <w:r>
              <w:rPr>
                <w:rFonts w:ascii="Times New Roman" w:cs="Times New Roman" w:eastAsia="Times New Roman" w:hAnsi="Times New Roman"/>
                <w:sz w:val="15"/>
                <w:szCs w:val="15"/>
                <w:color w:val="auto"/>
              </w:rPr>
              <w:t>Common</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$0.82</w:t>
            </w:r>
          </w:p>
        </w:tc>
        <w:tc>
          <w:tcPr>
            <w:tcW w:w="100" w:type="dxa"/>
            <w:vAlign w:val="bottom"/>
            <w:shd w:val="clear" w:color="auto" w:fill="CCEEFF"/>
          </w:tcPr>
          <w:p>
            <w:pPr>
              <w:spacing w:after="0"/>
              <w:rPr>
                <w:sz w:val="14"/>
                <w:szCs w:val="14"/>
                <w:color w:val="auto"/>
              </w:rPr>
            </w:pPr>
          </w:p>
        </w:tc>
        <w:tc>
          <w:tcPr>
            <w:tcW w:w="1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Second Quarter 2026</w:t>
            </w:r>
          </w:p>
        </w:tc>
        <w:tc>
          <w:tcPr>
            <w:tcW w:w="1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 26, 2026</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$238,465</w:t>
            </w:r>
          </w:p>
        </w:tc>
        <w:tc>
          <w:tcPr>
            <w:tcW w:w="0" w:type="dxa"/>
            <w:vAlign w:val="bottom"/>
          </w:tcPr>
          <w:p>
            <w:pPr>
              <w:spacing w:after="0"/>
              <w:rPr>
                <w:sz w:val="1"/>
                <w:szCs w:val="1"/>
                <w:color w:val="auto"/>
              </w:rPr>
            </w:pPr>
          </w:p>
        </w:tc>
      </w:tr>
      <w:tr>
        <w:trPr>
          <w:trHeight w:val="205"/>
        </w:trPr>
        <w:tc>
          <w:tcPr>
            <w:tcW w:w="1700" w:type="dxa"/>
            <w:vAlign w:val="bottom"/>
            <w:gridSpan w:val="4"/>
            <w:vMerge w:val="continue"/>
            <w:shd w:val="clear" w:color="auto" w:fill="CCEEFF"/>
          </w:tcPr>
          <w:p>
            <w:pPr>
              <w:spacing w:after="0"/>
              <w:rPr>
                <w:sz w:val="17"/>
                <w:szCs w:val="17"/>
                <w:color w:val="auto"/>
              </w:rPr>
            </w:pPr>
          </w:p>
        </w:tc>
        <w:tc>
          <w:tcPr>
            <w:tcW w:w="1840" w:type="dxa"/>
            <w:vAlign w:val="bottom"/>
            <w:gridSpan w:val="2"/>
            <w:vMerge w:val="continue"/>
            <w:shd w:val="clear" w:color="auto" w:fill="CCEEFF"/>
          </w:tcPr>
          <w:p>
            <w:pPr>
              <w:spacing w:after="0"/>
              <w:rPr>
                <w:sz w:val="17"/>
                <w:szCs w:val="17"/>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Stock</w:t>
            </w: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gridSpan w:val="2"/>
            <w:vMerge w:val="continue"/>
            <w:shd w:val="clear" w:color="auto" w:fill="CCEEFF"/>
          </w:tcPr>
          <w:p>
            <w:pPr>
              <w:spacing w:after="0"/>
              <w:rPr>
                <w:sz w:val="17"/>
                <w:szCs w:val="17"/>
                <w:color w:val="auto"/>
              </w:rPr>
            </w:pPr>
          </w:p>
        </w:tc>
        <w:tc>
          <w:tcPr>
            <w:tcW w:w="1860" w:type="dxa"/>
            <w:vAlign w:val="bottom"/>
            <w:gridSpan w:val="2"/>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5"/>
                <w:szCs w:val="15"/>
                <w:color w:val="auto"/>
              </w:rPr>
              <w:t>September 1, 2026</w:t>
            </w: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September 11, 2026</w:t>
            </w:r>
          </w:p>
        </w:tc>
        <w:tc>
          <w:tcPr>
            <w:tcW w:w="110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5"/>
                <w:szCs w:val="15"/>
                <w:color w:val="auto"/>
              </w:rPr>
              <w:t>Common</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$0.82</w:t>
            </w:r>
          </w:p>
        </w:tc>
        <w:tc>
          <w:tcPr>
            <w:tcW w:w="100" w:type="dxa"/>
            <w:vAlign w:val="bottom"/>
          </w:tcPr>
          <w:p>
            <w:pPr>
              <w:spacing w:after="0"/>
              <w:rPr>
                <w:sz w:val="14"/>
                <w:szCs w:val="14"/>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Third Quarter 2026</w:t>
            </w:r>
          </w:p>
        </w:tc>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September 25, 2026</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$238,557</w:t>
            </w:r>
          </w:p>
        </w:tc>
        <w:tc>
          <w:tcPr>
            <w:tcW w:w="0" w:type="dxa"/>
            <w:vAlign w:val="bottom"/>
          </w:tcPr>
          <w:p>
            <w:pPr>
              <w:spacing w:after="0"/>
              <w:rPr>
                <w:sz w:val="1"/>
                <w:szCs w:val="1"/>
                <w:color w:val="auto"/>
              </w:rPr>
            </w:pPr>
          </w:p>
        </w:tc>
      </w:tr>
      <w:tr>
        <w:trPr>
          <w:trHeight w:val="203"/>
        </w:trPr>
        <w:tc>
          <w:tcPr>
            <w:tcW w:w="1700" w:type="dxa"/>
            <w:vAlign w:val="bottom"/>
            <w:gridSpan w:val="4"/>
            <w:vMerge w:val="continue"/>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Stock</w:t>
            </w: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w w:val="93"/>
              </w:rPr>
              <w:t>2025</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170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February 13, 2025</w:t>
            </w:r>
          </w:p>
        </w:tc>
        <w:tc>
          <w:tcPr>
            <w:tcW w:w="1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14, 2025</w:t>
            </w:r>
          </w:p>
        </w:tc>
        <w:tc>
          <w:tcPr>
            <w:tcW w:w="1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Common</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$0.76</w:t>
            </w:r>
          </w:p>
        </w:tc>
        <w:tc>
          <w:tcPr>
            <w:tcW w:w="100" w:type="dxa"/>
            <w:vAlign w:val="bottom"/>
            <w:shd w:val="clear" w:color="auto" w:fill="CCEEFF"/>
          </w:tcPr>
          <w:p>
            <w:pPr>
              <w:spacing w:after="0"/>
              <w:rPr>
                <w:sz w:val="15"/>
                <w:szCs w:val="15"/>
                <w:color w:val="auto"/>
              </w:rPr>
            </w:pPr>
          </w:p>
        </w:tc>
        <w:tc>
          <w:tcPr>
            <w:tcW w:w="1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First Quarter 2025</w:t>
            </w:r>
          </w:p>
        </w:tc>
        <w:tc>
          <w:tcPr>
            <w:tcW w:w="1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 28, 2025</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$208,873</w:t>
            </w:r>
          </w:p>
        </w:tc>
        <w:tc>
          <w:tcPr>
            <w:tcW w:w="0" w:type="dxa"/>
            <w:vAlign w:val="bottom"/>
          </w:tcPr>
          <w:p>
            <w:pPr>
              <w:spacing w:after="0"/>
              <w:rPr>
                <w:sz w:val="1"/>
                <w:szCs w:val="1"/>
                <w:color w:val="auto"/>
              </w:rPr>
            </w:pPr>
          </w:p>
        </w:tc>
      </w:tr>
      <w:tr>
        <w:trPr>
          <w:trHeight w:val="205"/>
        </w:trPr>
        <w:tc>
          <w:tcPr>
            <w:tcW w:w="1700" w:type="dxa"/>
            <w:vAlign w:val="bottom"/>
            <w:gridSpan w:val="4"/>
            <w:vMerge w:val="continue"/>
            <w:shd w:val="clear" w:color="auto" w:fill="CCEEFF"/>
          </w:tcPr>
          <w:p>
            <w:pPr>
              <w:spacing w:after="0"/>
              <w:rPr>
                <w:sz w:val="17"/>
                <w:szCs w:val="17"/>
                <w:color w:val="auto"/>
              </w:rPr>
            </w:pPr>
          </w:p>
        </w:tc>
        <w:tc>
          <w:tcPr>
            <w:tcW w:w="1840" w:type="dxa"/>
            <w:vAlign w:val="bottom"/>
            <w:gridSpan w:val="2"/>
            <w:vMerge w:val="continue"/>
            <w:shd w:val="clear" w:color="auto" w:fill="CCEEFF"/>
          </w:tcPr>
          <w:p>
            <w:pPr>
              <w:spacing w:after="0"/>
              <w:rPr>
                <w:sz w:val="17"/>
                <w:szCs w:val="17"/>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Stock</w:t>
            </w: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gridSpan w:val="2"/>
            <w:vMerge w:val="continue"/>
            <w:shd w:val="clear" w:color="auto" w:fill="CCEEFF"/>
          </w:tcPr>
          <w:p>
            <w:pPr>
              <w:spacing w:after="0"/>
              <w:rPr>
                <w:sz w:val="17"/>
                <w:szCs w:val="17"/>
                <w:color w:val="auto"/>
              </w:rPr>
            </w:pPr>
          </w:p>
        </w:tc>
        <w:tc>
          <w:tcPr>
            <w:tcW w:w="1860" w:type="dxa"/>
            <w:vAlign w:val="bottom"/>
            <w:gridSpan w:val="2"/>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5"/>
                <w:szCs w:val="15"/>
                <w:color w:val="auto"/>
              </w:rPr>
              <w:t>May 15, 2025</w:t>
            </w: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June 13, 2025</w:t>
            </w:r>
          </w:p>
        </w:tc>
        <w:tc>
          <w:tcPr>
            <w:tcW w:w="110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5"/>
                <w:szCs w:val="15"/>
                <w:color w:val="auto"/>
              </w:rPr>
              <w:t>Common</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$0.78</w:t>
            </w:r>
          </w:p>
        </w:tc>
        <w:tc>
          <w:tcPr>
            <w:tcW w:w="100" w:type="dxa"/>
            <w:vAlign w:val="bottom"/>
          </w:tcPr>
          <w:p>
            <w:pPr>
              <w:spacing w:after="0"/>
              <w:rPr>
                <w:sz w:val="14"/>
                <w:szCs w:val="14"/>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Second Quarter 2025</w:t>
            </w:r>
          </w:p>
        </w:tc>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June 27, 2025</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$220,743</w:t>
            </w:r>
          </w:p>
        </w:tc>
        <w:tc>
          <w:tcPr>
            <w:tcW w:w="0" w:type="dxa"/>
            <w:vAlign w:val="bottom"/>
          </w:tcPr>
          <w:p>
            <w:pPr>
              <w:spacing w:after="0"/>
              <w:rPr>
                <w:sz w:val="1"/>
                <w:szCs w:val="1"/>
                <w:color w:val="auto"/>
              </w:rPr>
            </w:pPr>
          </w:p>
        </w:tc>
      </w:tr>
      <w:tr>
        <w:trPr>
          <w:trHeight w:val="203"/>
        </w:trPr>
        <w:tc>
          <w:tcPr>
            <w:tcW w:w="1700" w:type="dxa"/>
            <w:vAlign w:val="bottom"/>
            <w:gridSpan w:val="4"/>
            <w:vMerge w:val="continue"/>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Stock</w:t>
            </w: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70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August 28, 2025</w:t>
            </w:r>
          </w:p>
        </w:tc>
        <w:tc>
          <w:tcPr>
            <w:tcW w:w="1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12, 2025</w:t>
            </w:r>
          </w:p>
        </w:tc>
        <w:tc>
          <w:tcPr>
            <w:tcW w:w="1100" w:type="dxa"/>
            <w:vAlign w:val="bottom"/>
            <w:gridSpan w:val="2"/>
            <w:shd w:val="clear" w:color="auto" w:fill="CCEEFF"/>
          </w:tcPr>
          <w:p>
            <w:pPr>
              <w:jc w:val="center"/>
              <w:ind w:right="80"/>
              <w:spacing w:after="0" w:line="172" w:lineRule="exact"/>
              <w:rPr>
                <w:sz w:val="20"/>
                <w:szCs w:val="20"/>
                <w:color w:val="auto"/>
              </w:rPr>
            </w:pPr>
            <w:r>
              <w:rPr>
                <w:rFonts w:ascii="Times New Roman" w:cs="Times New Roman" w:eastAsia="Times New Roman" w:hAnsi="Times New Roman"/>
                <w:sz w:val="15"/>
                <w:szCs w:val="15"/>
                <w:color w:val="auto"/>
              </w:rPr>
              <w:t>Common</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$0.78</w:t>
            </w:r>
          </w:p>
        </w:tc>
        <w:tc>
          <w:tcPr>
            <w:tcW w:w="100" w:type="dxa"/>
            <w:vAlign w:val="bottom"/>
            <w:shd w:val="clear" w:color="auto" w:fill="CCEEFF"/>
          </w:tcPr>
          <w:p>
            <w:pPr>
              <w:spacing w:after="0"/>
              <w:rPr>
                <w:sz w:val="14"/>
                <w:szCs w:val="14"/>
                <w:color w:val="auto"/>
              </w:rPr>
            </w:pPr>
          </w:p>
        </w:tc>
        <w:tc>
          <w:tcPr>
            <w:tcW w:w="1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Third Quarter 2025</w:t>
            </w:r>
          </w:p>
        </w:tc>
        <w:tc>
          <w:tcPr>
            <w:tcW w:w="1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September 26, 2025</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$220,747</w:t>
            </w:r>
          </w:p>
        </w:tc>
        <w:tc>
          <w:tcPr>
            <w:tcW w:w="0" w:type="dxa"/>
            <w:vAlign w:val="bottom"/>
          </w:tcPr>
          <w:p>
            <w:pPr>
              <w:spacing w:after="0"/>
              <w:rPr>
                <w:sz w:val="1"/>
                <w:szCs w:val="1"/>
                <w:color w:val="auto"/>
              </w:rPr>
            </w:pPr>
          </w:p>
        </w:tc>
      </w:tr>
      <w:tr>
        <w:trPr>
          <w:trHeight w:val="205"/>
        </w:trPr>
        <w:tc>
          <w:tcPr>
            <w:tcW w:w="1700" w:type="dxa"/>
            <w:vAlign w:val="bottom"/>
            <w:gridSpan w:val="4"/>
            <w:vMerge w:val="continue"/>
            <w:shd w:val="clear" w:color="auto" w:fill="CCEEFF"/>
          </w:tcPr>
          <w:p>
            <w:pPr>
              <w:spacing w:after="0"/>
              <w:rPr>
                <w:sz w:val="17"/>
                <w:szCs w:val="17"/>
                <w:color w:val="auto"/>
              </w:rPr>
            </w:pPr>
          </w:p>
        </w:tc>
        <w:tc>
          <w:tcPr>
            <w:tcW w:w="1840" w:type="dxa"/>
            <w:vAlign w:val="bottom"/>
            <w:gridSpan w:val="2"/>
            <w:vMerge w:val="continue"/>
            <w:shd w:val="clear" w:color="auto" w:fill="CCEEFF"/>
          </w:tcPr>
          <w:p>
            <w:pPr>
              <w:spacing w:after="0"/>
              <w:rPr>
                <w:sz w:val="17"/>
                <w:szCs w:val="17"/>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Stock</w:t>
            </w: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gridSpan w:val="2"/>
            <w:vMerge w:val="continue"/>
            <w:shd w:val="clear" w:color="auto" w:fill="CCEEFF"/>
          </w:tcPr>
          <w:p>
            <w:pPr>
              <w:spacing w:after="0"/>
              <w:rPr>
                <w:sz w:val="17"/>
                <w:szCs w:val="17"/>
                <w:color w:val="auto"/>
              </w:rPr>
            </w:pPr>
          </w:p>
        </w:tc>
        <w:tc>
          <w:tcPr>
            <w:tcW w:w="1860" w:type="dxa"/>
            <w:vAlign w:val="bottom"/>
            <w:gridSpan w:val="2"/>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for the three and nine months ended September 30, 2026, dividend payments were made to GLPI restricted stock award holders in the amount of $0.2 million and $0.5 million. For the three and nine months ended September 30, 2025, dividend payments were made to GLPI restricted stock award holders in the amount of $0.2 million and $0.6 million.</w:t>
      </w:r>
    </w:p>
    <w:p>
      <w:pPr>
        <w:spacing w:after="0" w:line="18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13.</w:t>
        <w:tab/>
        <w:t>Stock-Based Compensation</w:t>
      </w:r>
    </w:p>
    <w:p>
      <w:pPr>
        <w:spacing w:after="0" w:line="243" w:lineRule="exact"/>
        <w:rPr>
          <w:sz w:val="20"/>
          <w:szCs w:val="20"/>
          <w:color w:val="auto"/>
        </w:rPr>
      </w:pPr>
    </w:p>
    <w:p>
      <w:pPr>
        <w:ind w:right="20" w:firstLine="212"/>
        <w:spacing w:after="0" w:line="251" w:lineRule="auto"/>
        <w:rPr>
          <w:sz w:val="20"/>
          <w:szCs w:val="20"/>
          <w:color w:val="auto"/>
        </w:rPr>
      </w:pPr>
      <w:r>
        <w:rPr>
          <w:rFonts w:ascii="Times New Roman" w:cs="Times New Roman" w:eastAsia="Times New Roman" w:hAnsi="Times New Roman"/>
          <w:sz w:val="17"/>
          <w:szCs w:val="17"/>
          <w:color w:val="auto"/>
        </w:rPr>
        <w:t xml:space="preserve">The Company accounts for stock compensation under ASC 718 -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xml:space="preserve">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and time-based LTIP awards are equivalent to the closing stock price on the day prior to grant. The Company utilizes a third party valuation firm to measure the fair value of performance-based restricted stock awards and performance-based LTIP awards at the grant date using a Monte Carlo simulation model.</w:t>
      </w:r>
    </w:p>
    <w:p>
      <w:pPr>
        <w:spacing w:after="0" w:line="18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September 30, 2026, there was $3.0 million of total unrecognized compensation cost for time-based restricted stock awards that will be recognized over the grants' remaining weighted average vesting period of 1.51 years. For the three and nine months ended September 30, 2026, the Company recognized $1.1 million and $4.2 million of compensation expense associated with these awards, compared to $0.8 million and $5.3 million for the three and nine months ended September 30, 2025, within general and administrative expenses on the Company's Condensed Consolidated Statements of Income and Comprehensive Income.</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contains information on time-based restricted stock award activity for the nine months ended September 30, 2026:</w:t>
      </w:r>
    </w:p>
    <w:p>
      <w:pPr>
        <w:spacing w:after="0" w:line="34" w:lineRule="exact"/>
        <w:rPr>
          <w:sz w:val="20"/>
          <w:szCs w:val="20"/>
          <w:color w:val="auto"/>
        </w:rPr>
      </w:pPr>
    </w:p>
    <w:tbl>
      <w:tblPr>
        <w:tblLayout w:type="fixed"/>
        <w:tblInd w:w="238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 of Award</w:t>
            </w:r>
          </w:p>
        </w:tc>
      </w:tr>
      <w:tr>
        <w:trPr>
          <w:trHeight w:val="188"/>
        </w:trPr>
        <w:tc>
          <w:tcPr>
            <w:tcW w:w="464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2025</w:t>
            </w:r>
          </w:p>
        </w:tc>
        <w:tc>
          <w:tcPr>
            <w:tcW w:w="1860" w:type="dxa"/>
            <w:vAlign w:val="bottom"/>
            <w:shd w:val="clear" w:color="auto" w:fill="CCEEFF"/>
          </w:tcPr>
          <w:p>
            <w:pPr>
              <w:jc w:val="center"/>
              <w:ind w:left="1060"/>
              <w:spacing w:after="0"/>
              <w:rPr>
                <w:sz w:val="20"/>
                <w:szCs w:val="20"/>
                <w:color w:val="auto"/>
              </w:rPr>
            </w:pPr>
            <w:r>
              <w:rPr>
                <w:rFonts w:ascii="Times New Roman" w:cs="Times New Roman" w:eastAsia="Times New Roman" w:hAnsi="Times New Roman"/>
                <w:sz w:val="17"/>
                <w:szCs w:val="17"/>
                <w:color w:val="auto"/>
              </w:rPr>
              <w:t>217,234</w:t>
            </w:r>
          </w:p>
        </w:tc>
      </w:tr>
      <w:tr>
        <w:trPr>
          <w:trHeight w:val="232"/>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860" w:type="dxa"/>
            <w:vAlign w:val="bottom"/>
          </w:tcPr>
          <w:p>
            <w:pPr>
              <w:jc w:val="center"/>
              <w:ind w:left="1060"/>
              <w:spacing w:after="0"/>
              <w:rPr>
                <w:sz w:val="20"/>
                <w:szCs w:val="20"/>
                <w:color w:val="auto"/>
              </w:rPr>
            </w:pPr>
            <w:r>
              <w:rPr>
                <w:rFonts w:ascii="Times New Roman" w:cs="Times New Roman" w:eastAsia="Times New Roman" w:hAnsi="Times New Roman"/>
                <w:sz w:val="17"/>
                <w:szCs w:val="17"/>
                <w:color w:val="auto"/>
              </w:rPr>
              <w:t>126,946</w:t>
            </w:r>
          </w:p>
        </w:tc>
      </w:tr>
      <w:tr>
        <w:trPr>
          <w:trHeight w:val="23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Released</w:t>
            </w:r>
          </w:p>
        </w:tc>
        <w:tc>
          <w:tcPr>
            <w:tcW w:w="1860" w:type="dxa"/>
            <w:vAlign w:val="bottom"/>
            <w:tcBorders>
              <w:bottom w:val="single" w:sz="8" w:color="auto"/>
            </w:tcBorders>
            <w:shd w:val="clear" w:color="auto" w:fill="CCEEFF"/>
          </w:tcPr>
          <w:p>
            <w:pPr>
              <w:jc w:val="center"/>
              <w:ind w:left="1040"/>
              <w:spacing w:after="0"/>
              <w:rPr>
                <w:sz w:val="20"/>
                <w:szCs w:val="20"/>
                <w:color w:val="auto"/>
              </w:rPr>
            </w:pPr>
            <w:r>
              <w:rPr>
                <w:rFonts w:ascii="Times New Roman" w:cs="Times New Roman" w:eastAsia="Times New Roman" w:hAnsi="Times New Roman"/>
                <w:sz w:val="17"/>
                <w:szCs w:val="17"/>
                <w:color w:val="auto"/>
                <w:w w:val="99"/>
              </w:rPr>
              <w:t>(152,862)</w:t>
            </w:r>
          </w:p>
        </w:tc>
      </w:tr>
      <w:tr>
        <w:trPr>
          <w:trHeight w:val="225"/>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September 30, 2026</w:t>
            </w:r>
          </w:p>
        </w:tc>
        <w:tc>
          <w:tcPr>
            <w:tcW w:w="1860" w:type="dxa"/>
            <w:vAlign w:val="bottom"/>
            <w:tcBorders>
              <w:bottom w:val="single" w:sz="8" w:color="auto"/>
            </w:tcBorders>
          </w:tcPr>
          <w:p>
            <w:pPr>
              <w:jc w:val="center"/>
              <w:ind w:left="1060"/>
              <w:spacing w:after="0"/>
              <w:rPr>
                <w:sz w:val="20"/>
                <w:szCs w:val="20"/>
                <w:color w:val="auto"/>
              </w:rPr>
            </w:pPr>
            <w:r>
              <w:rPr>
                <w:rFonts w:ascii="Times New Roman" w:cs="Times New Roman" w:eastAsia="Times New Roman" w:hAnsi="Times New Roman"/>
                <w:sz w:val="17"/>
                <w:szCs w:val="17"/>
                <w:color w:val="auto"/>
              </w:rPr>
              <w:t>191,318</w:t>
            </w:r>
          </w:p>
        </w:tc>
      </w:tr>
      <w:tr>
        <w:trPr>
          <w:trHeight w:val="20"/>
        </w:trPr>
        <w:tc>
          <w:tcPr>
            <w:tcW w:w="46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2" w:name="page33"/>
    <w:bookmarkEnd w:id="32"/>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Performance-based restricted stock awards have a three-year cliff vesting schedule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As of September 30, 2026, there was $6.7 million of total unrecognized compensation cost, which will be recognized over the performance-based restricted stock awards' remaining weighted average vesting period of 1.48 years. For the three and nine months ended September 30, 2026, the Company recognized $2.0 million and $6.0 million of compensation expense associated with these awards within general and administrative expenses on the Company's Condensed Consolidated Statements of Income and Comprehensive Income compared to $0.4 million and $6.6 million for the corresponding periods in the prior year.</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contains information on performance-based restricted stock award activity for the nine months ended September 30, 2026:</w:t>
      </w:r>
    </w:p>
    <w:p>
      <w:pPr>
        <w:spacing w:after="0" w:line="200" w:lineRule="exact"/>
        <w:rPr>
          <w:sz w:val="20"/>
          <w:szCs w:val="20"/>
          <w:color w:val="auto"/>
        </w:rPr>
      </w:pPr>
    </w:p>
    <w:p>
      <w:pPr>
        <w:spacing w:after="0" w:line="299"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Performance-Based Award</w:t>
            </w:r>
          </w:p>
        </w:tc>
      </w:tr>
      <w:tr>
        <w:trPr>
          <w:trHeight w:val="187"/>
        </w:trPr>
        <w:tc>
          <w:tcPr>
            <w:tcW w:w="4640" w:type="dxa"/>
            <w:vAlign w:val="bottom"/>
            <w:tcBorders>
              <w:bottom w:val="single" w:sz="8" w:color="CCEEFF"/>
            </w:tcBorders>
          </w:tcPr>
          <w:p>
            <w:pPr>
              <w:spacing w:after="0"/>
              <w:rPr>
                <w:sz w:val="16"/>
                <w:szCs w:val="16"/>
                <w:color w:val="auto"/>
              </w:rPr>
            </w:pPr>
          </w:p>
        </w:tc>
        <w:tc>
          <w:tcPr>
            <w:tcW w:w="24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3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2025</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1,162,000</w:t>
            </w:r>
          </w:p>
        </w:tc>
      </w:tr>
      <w:tr>
        <w:trPr>
          <w:trHeight w:val="232"/>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141,000</w:t>
            </w:r>
          </w:p>
        </w:tc>
      </w:tr>
      <w:tr>
        <w:trPr>
          <w:trHeight w:val="232"/>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Released</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(179,557)</w:t>
            </w:r>
          </w:p>
        </w:tc>
      </w:tr>
      <w:tr>
        <w:trPr>
          <w:trHeight w:val="232"/>
        </w:trPr>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Canceled</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(274,443)</w:t>
            </w:r>
          </w:p>
        </w:tc>
      </w:tr>
      <w:tr>
        <w:trPr>
          <w:trHeight w:val="250"/>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September 30, 2026</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849,000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As of September 30, 2026, there was $1.7 million of total unrecognized compensation cost for time-based LTIP awards that will be recognized over the grants' remaining weighted average vesting period of 2.08 years. For the three and nine months ended September 30, 2026, the Company recognized $0.2 million and $3.1 million of compensation expense associated with these awards within general and administrative expenses on the Company's Condensed Consolidated Statements of Income and Comprehensive Income compared to a benefit of $0.1 million and an expense of $2.8 million for the corresponding periods in the prior year.</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contains information on time-based LTIP award activity for the nine months ended September 30, 2026:</w:t>
      </w:r>
    </w:p>
    <w:p>
      <w:pPr>
        <w:spacing w:after="0" w:line="34"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16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Number of Time-Based LTIP</w:t>
            </w:r>
          </w:p>
        </w:tc>
      </w:tr>
      <w:tr>
        <w:trPr>
          <w:trHeight w:val="188"/>
        </w:trPr>
        <w:tc>
          <w:tcPr>
            <w:tcW w:w="414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Awards</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2025</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w:t>
            </w:r>
          </w:p>
        </w:tc>
      </w:tr>
      <w:tr>
        <w:trPr>
          <w:trHeight w:val="232"/>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96,000</w:t>
            </w:r>
          </w:p>
        </w:tc>
      </w:tr>
      <w:tr>
        <w:trPr>
          <w:trHeight w:val="23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Released</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(23,334)</w:t>
            </w:r>
          </w:p>
        </w:tc>
      </w:tr>
      <w:tr>
        <w:trPr>
          <w:trHeight w:val="225"/>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September 30, 2026</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142,666</w:t>
            </w:r>
          </w:p>
        </w:tc>
      </w:tr>
      <w:tr>
        <w:trPr>
          <w:trHeight w:val="20"/>
        </w:trPr>
        <w:tc>
          <w:tcPr>
            <w:tcW w:w="41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Performance-based LTIP awards have a three-year cliff vesting with the amount of LTIP awards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As of September 30, 2026, there was $10.2 million of total unrecognized compensation cost, which will be recognized over the performance-based LTIP awards' remaining weighted average vesting period of 1.95 years. For the three and nine months ended September 30, 2026, the Company recognized $1.4 million and $4.2 million of compensation expense associated with these awards within general and administrative expenses on the Company's Condensed Consolidated Statements of Income and Comprehensive Income compared to $0.4 million and $1.9 million for the corresponding periods in the prior year.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3" w:name="page34"/>
    <w:bookmarkEnd w:id="33"/>
    <w:p>
      <w:pPr>
        <w:ind w:left="620"/>
        <w:spacing w:after="0"/>
        <w:rPr>
          <w:sz w:val="20"/>
          <w:szCs w:val="20"/>
          <w:color w:val="auto"/>
        </w:rPr>
      </w:pPr>
      <w:r>
        <w:rPr>
          <w:rFonts w:ascii="Times New Roman" w:cs="Times New Roman" w:eastAsia="Times New Roman" w:hAnsi="Times New Roman"/>
          <w:sz w:val="17"/>
          <w:szCs w:val="17"/>
          <w:color w:val="auto"/>
        </w:rPr>
        <w:t>The following table contains information on performance-based LTIP award activity for the nine months ended September 30, 2026:</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Performance-Based LTIP</w:t>
            </w: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98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2025</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280,000</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Granted</w:t>
            </w:r>
          </w:p>
        </w:tc>
        <w:tc>
          <w:tcPr>
            <w:tcW w:w="16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384,000</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September 30, 2026</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664,000</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60" w:type="dxa"/>
            <w:vAlign w:val="bottom"/>
            <w:gridSpan w:val="5"/>
            <w:vMerge w:val="restart"/>
          </w:tcPr>
          <w:p>
            <w:pPr>
              <w:jc w:val="right"/>
              <w:ind w:right="443"/>
              <w:spacing w:after="0"/>
              <w:rPr>
                <w:sz w:val="20"/>
                <w:szCs w:val="20"/>
                <w:color w:val="auto"/>
              </w:rPr>
            </w:pPr>
            <w:r>
              <w:rPr>
                <w:rFonts w:ascii="Times New Roman" w:cs="Times New Roman" w:eastAsia="Times New Roman" w:hAnsi="Times New Roman"/>
                <w:sz w:val="17"/>
                <w:szCs w:val="17"/>
                <w:b w:val="1"/>
                <w:bCs w:val="1"/>
                <w:color w:val="auto"/>
              </w:rPr>
              <w:t>14.  Supplemental Disclosures of Cash Flow Information and Noncash Activities</w:t>
            </w: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46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62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Supplemental disclosures of cash flow information are as follows: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3"/>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2"/>
        </w:trPr>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98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5"/>
                <w:szCs w:val="15"/>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
        </w:trPr>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2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20" w:type="dxa"/>
            <w:vAlign w:val="bottom"/>
          </w:tcPr>
          <w:p>
            <w:pPr>
              <w:spacing w:after="0"/>
              <w:rPr>
                <w:sz w:val="20"/>
                <w:szCs w:val="20"/>
                <w:color w:val="auto"/>
              </w:rPr>
            </w:pPr>
          </w:p>
        </w:tc>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income taxes, net of refunds received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263</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4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2,097</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0" w:type="dxa"/>
            <w:vAlign w:val="bottom"/>
          </w:tcPr>
          <w:p>
            <w:pPr>
              <w:spacing w:after="0"/>
              <w:rPr>
                <w:sz w:val="1"/>
                <w:szCs w:val="1"/>
                <w:color w:val="auto"/>
              </w:rPr>
            </w:pPr>
          </w:p>
        </w:tc>
      </w:tr>
      <w:tr>
        <w:trPr>
          <w:trHeight w:val="232"/>
        </w:trPr>
        <w:tc>
          <w:tcPr>
            <w:tcW w:w="620" w:type="dxa"/>
            <w:vAlign w:val="bottom"/>
          </w:tcPr>
          <w:p>
            <w:pPr>
              <w:spacing w:after="0"/>
              <w:rPr>
                <w:sz w:val="20"/>
                <w:szCs w:val="20"/>
                <w:color w:val="auto"/>
              </w:rPr>
            </w:pP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auto"/>
              </w:rPr>
              <w:t>137,288</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128,456</w:t>
            </w:r>
          </w:p>
        </w:tc>
        <w:tc>
          <w:tcPr>
            <w:tcW w:w="4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314,672</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319,788</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Noncash Investing and Financing Activities</w:t>
      </w:r>
    </w:p>
    <w:p>
      <w:pPr>
        <w:spacing w:after="0" w:line="234" w:lineRule="exact"/>
        <w:rPr>
          <w:sz w:val="20"/>
          <w:szCs w:val="20"/>
          <w:color w:val="auto"/>
        </w:rPr>
      </w:pPr>
    </w:p>
    <w:p>
      <w:pPr>
        <w:ind w:right="20" w:firstLine="619"/>
        <w:spacing w:after="0" w:line="271" w:lineRule="auto"/>
        <w:rPr>
          <w:sz w:val="20"/>
          <w:szCs w:val="20"/>
          <w:color w:val="auto"/>
        </w:rPr>
      </w:pPr>
      <w:r>
        <w:rPr>
          <w:rFonts w:ascii="Times New Roman" w:cs="Times New Roman" w:eastAsia="Times New Roman" w:hAnsi="Times New Roman"/>
          <w:sz w:val="17"/>
          <w:szCs w:val="17"/>
          <w:color w:val="auto"/>
        </w:rPr>
        <w:t>During the nine months ended September 30, 2026, the Company applied $18.0 million of previously paid deposits toward the acquisition of property and equipment. These deposits were previously recorded in other assets, and their application represented a noncash investing activity.</w:t>
      </w:r>
    </w:p>
    <w:p>
      <w:pPr>
        <w:spacing w:after="0" w:line="190"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June 30, 2026, 108,000 OP units were converted into an equal number of common shares which resulted in the reclassification of $4.8 million from noncontrolling interests to common stock and additional paid-in capital on the Company's Condensed Consolidated Balance Sheet.</w:t>
      </w:r>
    </w:p>
    <w:p>
      <w:pPr>
        <w:spacing w:after="0" w:line="190"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On February 11, 2026, as partial consideration for the acquisition of the real property assets of Bally's Lincoln, the Company’s operating partnership issued 332,890 newly-issued OP units to an affiliate of Bally's which were valued at $15.4 million for accounting purposes at closing.</w:t>
      </w:r>
    </w:p>
    <w:p>
      <w:pPr>
        <w:spacing w:after="0" w:line="200" w:lineRule="exact"/>
        <w:rPr>
          <w:sz w:val="20"/>
          <w:szCs w:val="20"/>
          <w:color w:val="auto"/>
        </w:rPr>
      </w:pPr>
    </w:p>
    <w:p>
      <w:pPr>
        <w:spacing w:after="0" w:line="20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15.</w:t>
        <w:tab/>
        <w:t>Acquisitions</w:t>
      </w:r>
    </w:p>
    <w:p>
      <w:pPr>
        <w:spacing w:after="0" w:line="243"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color w:val="auto"/>
        </w:rPr>
        <w:t xml:space="preserve">The Company accounts for its acquisitions of real estate assets as asset acquisitions under ASC 805 -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Under asset acquisition accounting, incremental transaction costs incurred to acquire the purchased assets are also included as part of the asset cost.</w:t>
      </w:r>
    </w:p>
    <w:p>
      <w:pPr>
        <w:spacing w:after="0" w:line="16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As discussed in Note 1, on February 11, 2026, the Company completed the purchase of the real property assets of Bally’s Lincoln and the properties were leased back to Bally's subject to the terms of the Bally's Master Lease II. The Company paid cash of $688.0 million and issued 332,890 OP Units valued at $15.4 million based on the Company's closing stock price at the acquisition date. The purchase price allocation of these assets based on their fair values at the acquisition date are summarized below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860" w:type="dxa"/>
            <w:vAlign w:val="bottom"/>
          </w:tcPr>
          <w:p>
            <w:pPr>
              <w:spacing w:after="0"/>
              <w:rPr>
                <w:sz w:val="20"/>
                <w:szCs w:val="20"/>
                <w:color w:val="auto"/>
              </w:rPr>
            </w:pP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and improvements</w:t>
            </w: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443,587</w:t>
            </w:r>
          </w:p>
        </w:tc>
        <w:tc>
          <w:tcPr>
            <w:tcW w:w="4660" w:type="dxa"/>
            <w:vAlign w:val="bottom"/>
          </w:tcPr>
          <w:p>
            <w:pPr>
              <w:spacing w:after="0"/>
              <w:rPr>
                <w:sz w:val="20"/>
                <w:szCs w:val="20"/>
                <w:color w:val="auto"/>
              </w:rPr>
            </w:pPr>
          </w:p>
        </w:tc>
      </w:tr>
      <w:tr>
        <w:trPr>
          <w:trHeight w:val="232"/>
        </w:trPr>
        <w:tc>
          <w:tcPr>
            <w:tcW w:w="1860" w:type="dxa"/>
            <w:vAlign w:val="bottom"/>
          </w:tcPr>
          <w:p>
            <w:pPr>
              <w:spacing w:after="0"/>
              <w:rPr>
                <w:sz w:val="20"/>
                <w:szCs w:val="20"/>
                <w:color w:val="auto"/>
              </w:rPr>
            </w:pPr>
          </w:p>
        </w:tc>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Building and improvements</w:t>
            </w:r>
          </w:p>
        </w:tc>
        <w:tc>
          <w:tcPr>
            <w:tcW w:w="7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259,810</w:t>
            </w:r>
          </w:p>
        </w:tc>
        <w:tc>
          <w:tcPr>
            <w:tcW w:w="4660" w:type="dxa"/>
            <w:vAlign w:val="bottom"/>
          </w:tcPr>
          <w:p>
            <w:pPr>
              <w:spacing w:after="0"/>
              <w:rPr>
                <w:sz w:val="20"/>
                <w:szCs w:val="20"/>
                <w:color w:val="auto"/>
              </w:rPr>
            </w:pPr>
          </w:p>
        </w:tc>
      </w:tr>
      <w:tr>
        <w:trPr>
          <w:trHeight w:val="250"/>
        </w:trPr>
        <w:tc>
          <w:tcPr>
            <w:tcW w:w="1860" w:type="dxa"/>
            <w:vAlign w:val="bottom"/>
          </w:tcPr>
          <w:p>
            <w:pPr>
              <w:spacing w:after="0"/>
              <w:rPr>
                <w:sz w:val="21"/>
                <w:szCs w:val="21"/>
                <w:color w:val="auto"/>
              </w:rPr>
            </w:pPr>
          </w:p>
        </w:tc>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purchase price</w:t>
            </w:r>
          </w:p>
        </w:tc>
        <w:tc>
          <w:tcPr>
            <w:tcW w:w="78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703,397</w:t>
            </w:r>
          </w:p>
        </w:tc>
        <w:tc>
          <w:tcPr>
            <w:tcW w:w="4660" w:type="dxa"/>
            <w:vAlign w:val="bottom"/>
          </w:tcPr>
          <w:p>
            <w:pPr>
              <w:spacing w:after="0"/>
              <w:rPr>
                <w:sz w:val="21"/>
                <w:szCs w:val="21"/>
                <w:color w:val="auto"/>
              </w:rPr>
            </w:pPr>
          </w:p>
        </w:tc>
      </w:tr>
      <w:tr>
        <w:trPr>
          <w:trHeight w:val="20"/>
        </w:trPr>
        <w:tc>
          <w:tcPr>
            <w:tcW w:w="1860" w:type="dxa"/>
            <w:vAlign w:val="bottom"/>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797"/>
        </w:trPr>
        <w:tc>
          <w:tcPr>
            <w:tcW w:w="1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rPr>
              <w:t>34</w:t>
            </w:r>
          </w:p>
        </w:tc>
        <w:tc>
          <w:tcPr>
            <w:tcW w:w="4660" w:type="dxa"/>
            <w:vAlign w:val="bottom"/>
          </w:tcPr>
          <w:p>
            <w:pPr>
              <w:spacing w:after="0"/>
              <w:rPr>
                <w:sz w:val="24"/>
                <w:szCs w:val="24"/>
                <w:color w:val="auto"/>
              </w:rPr>
            </w:pPr>
          </w:p>
        </w:tc>
      </w:tr>
      <w:tr>
        <w:trPr>
          <w:trHeight w:val="108"/>
        </w:trPr>
        <w:tc>
          <w:tcPr>
            <w:tcW w:w="186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4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4" w:name="page35"/>
    <w:bookmarkEnd w:id="34"/>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16.</w:t>
        <w:tab/>
        <w:t>Subsequent Events</w:t>
      </w:r>
    </w:p>
    <w:p>
      <w:pPr>
        <w:spacing w:after="0" w:line="234"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On October 27, 2026, the Company entered into definitive agreements to form a joint venture with Prologis, Inc (NYSE: PLD) (“Prologis”) to develop the former Hollywood Casino Joliet site in Illinois. GLPI will contribute its owned land to the joint venture in three phases, and Prologis will serve as the managing member and developer of the site. Prologis intends to develop the site, subject to the review and approval by the City of Joliet, into a Class A warehouse and distribution park. The project is expected to be developed over approximately five years, with Prologis holding options over the development of phases two and three.</w:t>
      </w:r>
    </w:p>
    <w:p>
      <w:pPr>
        <w:spacing w:after="0" w:line="19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GLPI will receive a capital account credit of $61 million, assuming all three phases are developed, for its contribution of the land to the joint venture, and GLPI will hold an ownership interest in the completed project of approximately 20%, which could be increased to approximately 30%, should GLPI elect to contribute additional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4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the financial position and operating results of Gaming and Leisure Properties, Inc. for the three and nine months ended September 30, 2026 should be read in conjunction with the Financial Statements and related notes thereto and other financial information contained elsewhere in this Quarterly Report on Form 10-Q and the audited consolidated financial statements and related notes for the year ended December 31, 2025. All defined terms included herein have the same meaning as those set forth in the Notes to the Consolidated Financial Statements contained within this Quarterly Report on Form 10-Q.</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Forward-looking statements in this document are subject to known and unknown risks, uncertainties and other factors that may cause actual results, performance or achievements of Gaming and Leisure Properties, Inc. ("GLPI") and its subsidiaries (collectively with GLPI,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Forward-looking statements in this document include, but are not limited to, statements regarding our ability to grow our portfolio of gaming facilities.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239" w:lineRule="exact"/>
        <w:rPr>
          <w:sz w:val="20"/>
          <w:szCs w:val="20"/>
          <w:color w:val="auto"/>
        </w:rPr>
      </w:pPr>
    </w:p>
    <w:p>
      <w:pPr>
        <w:jc w:val="both"/>
        <w:ind w:left="620" w:hanging="307"/>
        <w:spacing w:after="0" w:line="241" w:lineRule="auto"/>
        <w:tabs>
          <w:tab w:leader="none" w:pos="615"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our or our partner’s ability to successfully complete construction of various casino projects currently under development for which we have agreed to provide construction development funding, including Bally’s Chicago, and the ability and willingness of our partners to meet and/or perform their respective obligations under the applicable construction financing and/or development documents;</w:t>
      </w:r>
    </w:p>
    <w:p>
      <w:pPr>
        <w:spacing w:after="0" w:line="215" w:lineRule="exact"/>
        <w:rPr>
          <w:rFonts w:ascii="Arial" w:cs="Arial" w:eastAsia="Arial" w:hAnsi="Arial"/>
          <w:sz w:val="21"/>
          <w:szCs w:val="21"/>
          <w:color w:val="auto"/>
        </w:rPr>
      </w:pPr>
    </w:p>
    <w:p>
      <w:pPr>
        <w:ind w:left="620" w:hanging="307"/>
        <w:spacing w:after="0" w:line="287"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that higher inflation rates and interest rates and uncertainty with respect to the future state of the economy could have on discretionary consumer spending, including the casino operations of our tenants;</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consequences related to United States ("U.S.") government, economic, monetary or trade policies and stimulus packages on inflation rates, interest rates and economic growth;</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geopolitical events, including recent conflicts in the Middle East, and their potential impact on U.S. Treasury yields and inflation rates;</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tenants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215" w:lineRule="exact"/>
        <w:rPr>
          <w:rFonts w:ascii="Times New Roman" w:cs="Times New Roman" w:eastAsia="Times New Roman" w:hAnsi="Times New Roman"/>
          <w:sz w:val="17"/>
          <w:szCs w:val="17"/>
          <w:color w:val="auto"/>
        </w:rPr>
      </w:pPr>
    </w:p>
    <w:p>
      <w:pPr>
        <w:ind w:left="620" w:hanging="307"/>
        <w:spacing w:after="0" w:line="235" w:lineRule="auto"/>
        <w:tabs>
          <w:tab w:leader="none" w:pos="615"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the availability of and the ability to identify suitable and attractive acquisition and development opportunities and the ability to acquire and lease the respective properties on favorable terms;</w:t>
      </w:r>
    </w:p>
    <w:p>
      <w:pPr>
        <w:spacing w:after="0" w:line="216" w:lineRule="exact"/>
        <w:rPr>
          <w:rFonts w:ascii="Arial" w:cs="Arial" w:eastAsia="Arial" w:hAnsi="Arial"/>
          <w:sz w:val="21"/>
          <w:szCs w:val="21"/>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and nature of our competition;</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receive, or delays in obtaining, the regulatory approvals required to own and/or operate our properties, or other delays or impediments to completing our planned acquisitions or projects;</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of a new pandemic or similar national health crisis, including its effect on the ability or desire of people to gather in large groups (including in casinos), which could impact our financial results, operations, outlooks, plans, goals, growth, cash flows, liquidity, and stock price;</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status as a real estate investment trust ("REIT"), given the highly technical and complex Internal Revenue Code (the "Code") provisions for which only limited judicial and administrative authorities exist,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6" w:name="page37"/>
    <w:bookmarkEnd w:id="36"/>
    <w:p>
      <w:pPr>
        <w:ind w:left="620"/>
        <w:spacing w:after="0" w:line="287" w:lineRule="auto"/>
        <w:rPr>
          <w:sz w:val="20"/>
          <w:szCs w:val="20"/>
          <w:color w:val="auto"/>
        </w:rPr>
      </w:pPr>
      <w:r>
        <w:rPr>
          <w:rFonts w:ascii="Times New Roman" w:cs="Times New Roman" w:eastAsia="Times New Roman" w:hAnsi="Times New Roman"/>
          <w:sz w:val="17"/>
          <w:szCs w:val="17"/>
          <w:color w:val="auto"/>
        </w:rPr>
        <w:t>where even a technical or inadvertent violation could jeopardize REIT qualification and where requirements may depend in part on the actions of third parties over which the Company has no control or only limited influence;</w:t>
      </w:r>
    </w:p>
    <w:p>
      <w:pPr>
        <w:spacing w:after="0" w:line="177" w:lineRule="exact"/>
        <w:rPr>
          <w:sz w:val="20"/>
          <w:szCs w:val="20"/>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satisfaction of certain asset, income, organizational, distribution, shareholder ownership and other requirements on a continuing basis in order for the Company to maintain its REIT status;</w:t>
      </w:r>
    </w:p>
    <w:p>
      <w:pPr>
        <w:spacing w:after="0" w:line="177"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and willingness of our tenants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19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tenants to comply with laws, rules and regulations in the operation of our properties, to deliver high quality services, to attract and retain qualified personnel and to attract customers;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generate sufficient cash flows to service and comply with financial covenants under our outstanding indebtedness;</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access capital through debt and equity markets in amounts and at rates and costs acceptable to GLPI, including for the satisfaction of our funding commitments to the extent drawn by our partners, acquisitions or refinancings due to maturities;</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tenants to decline our funding commitments by seeking alternative financing solutions and/or if our tenants do elect to utilize our funding commitments, the amounts drawn and the timing of these draws may be different than what the Company assumed;</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our credit rating;</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qualified personnel and our ability to retain our key management personnel;</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U.S. tax law and other federal, state or local laws, whether or not specific to real estate, REITs or the gaming, lodging or hospitality industries;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weather or climate events or conditions, natural disasters, acts of terrorism and other international hostilities, war (including the current conflict between Russia and Ukraine and conflicts in the Middle East) or political instability;</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historical financial statements included herein do not reflect what the business, financial position or results of operations of GLPI may be in the future;</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risks inherent in the real estate business, including potential liability relating to environmental matters and illiquidity of real estate investments; and</w:t>
      </w:r>
    </w:p>
    <w:p>
      <w:pPr>
        <w:spacing w:after="0" w:line="24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factors as discussed in the Company’s Annual Report on Form 10-K for the year ended December 31, 2025 ("the Annual Report"), in our Quarterly Report on Form 10-Q for the quarter ended June 30, 2026 (the "Q2 Form 10-Q") in this Quarterly Report on Form 10-Q and Current Reports on Form 8-K as filed with the United States Securities and Exchange Commission.</w:t>
      </w:r>
    </w:p>
    <w:p>
      <w:pPr>
        <w:spacing w:after="0" w:line="16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You should consider the areas of risk described above, as well as those set forth in the "Risk Factors" section in the Company’s Annual Report, the Q2 Form 10-Q and this Quarterly Report on Form 10-Q, in connection with considering any forward-looking statements that may be made by the Company generally. Other unknown or unpredictable factors may also cause actual results to differ materially from those projected by the forward-looking statements. Most of these factors are difficult to anticipate and are generally beyond the control of the Company.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57"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GLPI is a self-administered and self-managed REIT headquartered in Wyomissing, Pennsylvania. GLPI was incorporated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and then spun-off GLPI to holders of PENN's common and preferred stock in a tax-free distribution (the "Spin-Off").</w:t>
      </w:r>
    </w:p>
    <w:p>
      <w:pPr>
        <w:spacing w:after="0" w:line="200" w:lineRule="exact"/>
        <w:rPr>
          <w:sz w:val="20"/>
          <w:szCs w:val="20"/>
          <w:color w:val="auto"/>
        </w:rPr>
      </w:pPr>
    </w:p>
    <w:p>
      <w:pPr>
        <w:spacing w:after="0" w:line="323"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Since 2021, the Company has been structured as an umbrella partnership REIT under which substantially all of our business is conducted through GLP Capital, the day-to-day management of which is exclusively controlled by GLPI. GLPI has no material assets other than its investment in GLP Capital. GLPI issues equity from time to time and is obligated to contribute the net proceeds from those offerings to GLP Capital. As of September 30, 2026, GLPI holds a 96.9% controlling financial interest in the operating partnership.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Strategy</w:t>
      </w:r>
    </w:p>
    <w:p>
      <w:pPr>
        <w:spacing w:after="0" w:line="234"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We seek to provide an opportunity to invest in the growth opportunities afforded by the gaming industry, with the stability and cash flow opportunities of a REIT. Our primary business consists of acquiring, financing, and owning real estate property to be leased to gaming operators in triple-net lease arrangements. Under these arrangements,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 The Company also extends loans that produce fixed or variable returns which may convert into leased rent upon project completion or stabilization.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Property and lease information</w:t>
      </w:r>
    </w:p>
    <w:p>
      <w:pPr>
        <w:spacing w:after="0" w:line="23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The Company has disclosed the following key terms of its master leases and single-property leases in the tables below, along with the properties within each lease at September 30, 2026. We believe the following key terms are important for users of our financial statements to understand.</w:t>
      </w:r>
    </w:p>
    <w:p>
      <w:pPr>
        <w:spacing w:after="0" w:line="177" w:lineRule="exact"/>
        <w:rPr>
          <w:sz w:val="20"/>
          <w:szCs w:val="20"/>
          <w:color w:val="auto"/>
        </w:rPr>
      </w:pPr>
    </w:p>
    <w:p>
      <w:pPr>
        <w:jc w:val="both"/>
        <w:ind w:left="1240" w:hanging="309"/>
        <w:spacing w:after="0" w:line="248" w:lineRule="auto"/>
        <w:tabs>
          <w:tab w:leader="none" w:pos="12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Coverage ratio is a defined term in each respective lease agreement with our tenants and represents the ratio of Adjusted EBITDAR to rent expense for the properties contained within each lease. Adjusted EBITDAR is defined in each respective lease but is generally consistent with the Company's definition of Adjusted EBITDA as described in the </w:t>
      </w:r>
      <w:r>
        <w:rPr>
          <w:rFonts w:ascii="Times New Roman" w:cs="Times New Roman" w:eastAsia="Times New Roman" w:hAnsi="Times New Roman"/>
          <w:sz w:val="17"/>
          <w:szCs w:val="17"/>
          <w:i w:val="1"/>
          <w:iCs w:val="1"/>
          <w:color w:val="auto"/>
        </w:rPr>
        <w:t>Results of Operations</w:t>
      </w:r>
      <w:r>
        <w:rPr>
          <w:rFonts w:ascii="Times New Roman" w:cs="Times New Roman" w:eastAsia="Times New Roman" w:hAnsi="Times New Roman"/>
          <w:sz w:val="17"/>
          <w:szCs w:val="17"/>
          <w:color w:val="auto"/>
        </w:rPr>
        <w:t xml:space="preserve"> section of this </w:t>
      </w:r>
      <w:r>
        <w:rPr>
          <w:rFonts w:ascii="Times New Roman" w:cs="Times New Roman" w:eastAsia="Times New Roman" w:hAnsi="Times New Roman"/>
          <w:sz w:val="17"/>
          <w:szCs w:val="17"/>
          <w:i w:val="1"/>
          <w:iCs w:val="1"/>
          <w:color w:val="auto"/>
        </w:rPr>
        <w:t>Management's Discussion and Analysis</w:t>
      </w:r>
      <w:r>
        <w:rPr>
          <w:rFonts w:ascii="Times New Roman" w:cs="Times New Roman" w:eastAsia="Times New Roman" w:hAnsi="Times New Roman"/>
          <w:sz w:val="17"/>
          <w:szCs w:val="17"/>
          <w:color w:val="auto"/>
        </w:rPr>
        <w:t>, plus rent expense paid to GLPI.</w:t>
      </w:r>
    </w:p>
    <w:p>
      <w:pPr>
        <w:spacing w:after="0" w:line="197" w:lineRule="exact"/>
        <w:rPr>
          <w:rFonts w:ascii="Times New Roman" w:cs="Times New Roman" w:eastAsia="Times New Roman" w:hAnsi="Times New Roman"/>
          <w:sz w:val="17"/>
          <w:szCs w:val="17"/>
          <w:color w:val="auto"/>
        </w:rPr>
      </w:pPr>
    </w:p>
    <w:p>
      <w:pPr>
        <w:ind w:left="1240" w:hanging="309"/>
        <w:spacing w:after="0" w:line="271" w:lineRule="auto"/>
        <w:tabs>
          <w:tab w:leader="none" w:pos="12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leases have a minimum escalator coverage ratio governor as disclosed below. Before a rent escalation of up to 2% on the building base rent component of each lease can occur, the minimum coverage ratio for these leases needs to be 1.8 to 1 for the applicable lease year.</w:t>
      </w:r>
    </w:p>
    <w:p>
      <w:pPr>
        <w:spacing w:after="0" w:line="177" w:lineRule="exact"/>
        <w:rPr>
          <w:rFonts w:ascii="Times New Roman" w:cs="Times New Roman" w:eastAsia="Times New Roman" w:hAnsi="Times New Roman"/>
          <w:sz w:val="17"/>
          <w:szCs w:val="17"/>
          <w:color w:val="auto"/>
        </w:rPr>
      </w:pPr>
    </w:p>
    <w:p>
      <w:pPr>
        <w:jc w:val="both"/>
        <w:ind w:left="1240" w:hanging="309"/>
        <w:spacing w:after="0" w:line="243" w:lineRule="auto"/>
        <w:tabs>
          <w:tab w:leader="none" w:pos="12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reported coverage ratios below with respect to our tenants' rent coverage over the trailing twelve months were provided by our tenants for the most recently available time period. GLPI has not independently verified the accuracy of the tenants' information and therefore makes no representation as to its accuracy. Rent coverage ratios are not reported for ground leases and development projects nor on leases that have been in effect for less than twelve months.</w:t>
      </w:r>
    </w:p>
    <w:p>
      <w:pPr>
        <w:spacing w:after="0" w:line="200" w:lineRule="exact"/>
        <w:rPr>
          <w:rFonts w:ascii="Times New Roman" w:cs="Times New Roman" w:eastAsia="Times New Roman" w:hAnsi="Times New Roman"/>
          <w:sz w:val="17"/>
          <w:szCs w:val="17"/>
          <w:color w:val="auto"/>
        </w:rPr>
      </w:pPr>
    </w:p>
    <w:p>
      <w:pPr>
        <w:jc w:val="both"/>
        <w:ind w:left="1240" w:hanging="309"/>
        <w:spacing w:after="0" w:line="245" w:lineRule="auto"/>
        <w:tabs>
          <w:tab w:leader="none" w:pos="12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Amended PENN Master Lease, the Amended Pinnacle Master Lease, the Boyd Master Lease, and the Belterra Park Lease each include (i) a fixed rent component, a portion of which escalates annually by up to 2% if specified rent coverage thresholds are met, and (ii) a percentage rent component tied to property performance. The percentage rent component is recalculated periodically, every five years for the Amended PENN Master Lease and every two years for the other leases, based on 4% of the average annual net revenues of the applicable facilities in excess of a contractually defined baseline, subject to certain floors.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205105</wp:posOffset>
            </wp:positionH>
            <wp:positionV relativeFrom="page">
              <wp:posOffset>890905</wp:posOffset>
            </wp:positionV>
            <wp:extent cx="7146925" cy="147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6925" cy="147320"/>
                    </a:xfrm>
                    <a:prstGeom prst="rect">
                      <a:avLst/>
                    </a:prstGeom>
                    <a:noFill/>
                  </pic:spPr>
                </pic:pic>
              </a:graphicData>
            </a:graphic>
          </wp:anchor>
        </w:drawing>
        <w:t>Master Leases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720" w:type="dxa"/>
            <w:vAlign w:val="bottom"/>
            <w:gridSpan w:val="3"/>
          </w:tcPr>
          <w:p>
            <w:pPr>
              <w:ind w:left="1340"/>
              <w:spacing w:after="0"/>
              <w:rPr>
                <w:sz w:val="20"/>
                <w:szCs w:val="20"/>
                <w:color w:val="auto"/>
              </w:rPr>
            </w:pPr>
            <w:r>
              <w:rPr>
                <w:rFonts w:ascii="Times New Roman" w:cs="Times New Roman" w:eastAsia="Times New Roman" w:hAnsi="Times New Roman"/>
                <w:sz w:val="14"/>
                <w:szCs w:val="14"/>
                <w:b w:val="1"/>
                <w:bCs w:val="1"/>
                <w:color w:val="auto"/>
              </w:rPr>
              <w:t>Penn 2023 Master Lease</w:t>
            </w:r>
          </w:p>
        </w:tc>
        <w:tc>
          <w:tcPr>
            <w:tcW w:w="4780" w:type="dxa"/>
            <w:vAlign w:val="bottom"/>
            <w:gridSpan w:val="3"/>
          </w:tcPr>
          <w:p>
            <w:pPr>
              <w:ind w:left="1600"/>
              <w:spacing w:after="0"/>
              <w:rPr>
                <w:sz w:val="20"/>
                <w:szCs w:val="20"/>
                <w:color w:val="auto"/>
              </w:rPr>
            </w:pPr>
            <w:r>
              <w:rPr>
                <w:rFonts w:ascii="Times New Roman" w:cs="Times New Roman" w:eastAsia="Times New Roman" w:hAnsi="Times New Roman"/>
                <w:sz w:val="14"/>
                <w:szCs w:val="14"/>
                <w:b w:val="1"/>
                <w:bCs w:val="1"/>
                <w:color w:val="auto"/>
              </w:rPr>
              <w:t>Amended Penn Master Lease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17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PENN</w:t>
            </w:r>
          </w:p>
        </w:tc>
        <w:tc>
          <w:tcPr>
            <w:tcW w:w="106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PENN</w:t>
            </w:r>
          </w:p>
        </w:tc>
        <w:tc>
          <w:tcPr>
            <w:tcW w:w="1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178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Hollywood Casino Aurora</w:t>
            </w:r>
          </w:p>
        </w:tc>
        <w:tc>
          <w:tcPr>
            <w:tcW w:w="88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Aurora, IL</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Hollywood Casino Lawrenceburg</w:t>
            </w:r>
          </w:p>
        </w:tc>
        <w:tc>
          <w:tcPr>
            <w:tcW w:w="1020" w:type="dxa"/>
            <w:vAlign w:val="bottom"/>
          </w:tcPr>
          <w:p>
            <w:pPr>
              <w:spacing w:after="0"/>
              <w:rPr>
                <w:sz w:val="15"/>
                <w:szCs w:val="15"/>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Lawrenceburg, IN</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Hollywood Casino Joliet</w:t>
            </w:r>
          </w:p>
        </w:tc>
        <w:tc>
          <w:tcPr>
            <w:tcW w:w="8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Joliet, IL</w:t>
            </w:r>
          </w:p>
        </w:tc>
        <w:tc>
          <w:tcPr>
            <w:tcW w:w="2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Argosy Casino Alton</w:t>
            </w:r>
          </w:p>
        </w:tc>
        <w:tc>
          <w:tcPr>
            <w:tcW w:w="10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Alton, IL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8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Hollywood Casino Toledo</w:t>
            </w:r>
          </w:p>
        </w:tc>
        <w:tc>
          <w:tcPr>
            <w:tcW w:w="88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Toledo, OH</w:t>
            </w:r>
          </w:p>
        </w:tc>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Hollywood Casino at Charles Town Races</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Charles Town, WV</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6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Hollywood Casino Columbus</w:t>
            </w:r>
          </w:p>
        </w:tc>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Columbus, OH</w:t>
            </w:r>
          </w:p>
        </w:tc>
        <w:tc>
          <w:tcPr>
            <w:tcW w:w="31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Hollywood Casino at Penn National Race Course</w:t>
            </w:r>
          </w:p>
        </w:tc>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Grantville, PA</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 Resort</w:t>
            </w:r>
          </w:p>
        </w:tc>
        <w:tc>
          <w:tcPr>
            <w:tcW w:w="88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Henderson, NV</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Hollywood Casino Bangor</w:t>
            </w:r>
          </w:p>
        </w:tc>
        <w:tc>
          <w:tcPr>
            <w:tcW w:w="1020" w:type="dxa"/>
            <w:vAlign w:val="bottom"/>
          </w:tcPr>
          <w:p>
            <w:pPr>
              <w:spacing w:after="0"/>
              <w:rPr>
                <w:sz w:val="15"/>
                <w:szCs w:val="15"/>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Bangor, ME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6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Hollywood Casino at the Meadows</w:t>
            </w:r>
          </w:p>
        </w:tc>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Washington, PA</w:t>
            </w:r>
          </w:p>
        </w:tc>
        <w:tc>
          <w:tcPr>
            <w:tcW w:w="2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Zia Park Casino</w:t>
            </w:r>
          </w:p>
        </w:tc>
        <w:tc>
          <w:tcPr>
            <w:tcW w:w="10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Hobbs, NM</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Hollywood Casino Perryville</w:t>
            </w:r>
          </w:p>
        </w:tc>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Perryville, MD</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Hollywood Casino Gulf Coast</w:t>
            </w:r>
          </w:p>
        </w:tc>
        <w:tc>
          <w:tcPr>
            <w:tcW w:w="1020" w:type="dxa"/>
            <w:vAlign w:val="bottom"/>
          </w:tcPr>
          <w:p>
            <w:pPr>
              <w:spacing w:after="0"/>
              <w:rPr>
                <w:sz w:val="15"/>
                <w:szCs w:val="15"/>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Bay St. Louis, MS</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Argosy Casino Riverside</w:t>
            </w:r>
          </w:p>
        </w:tc>
        <w:tc>
          <w:tcPr>
            <w:tcW w:w="10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Riverside, MO</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Hollywood Casino Tunica</w:t>
            </w:r>
          </w:p>
        </w:tc>
        <w:tc>
          <w:tcPr>
            <w:tcW w:w="1020" w:type="dxa"/>
            <w:vAlign w:val="bottom"/>
          </w:tcPr>
          <w:p>
            <w:pPr>
              <w:spacing w:after="0"/>
              <w:rPr>
                <w:sz w:val="15"/>
                <w:szCs w:val="15"/>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Tunica, MS</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Boomtown Biloxi</w:t>
            </w:r>
          </w:p>
        </w:tc>
        <w:tc>
          <w:tcPr>
            <w:tcW w:w="10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Biloxi, MS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Hollywood Casino St. Louis</w:t>
            </w:r>
          </w:p>
        </w:tc>
        <w:tc>
          <w:tcPr>
            <w:tcW w:w="1020" w:type="dxa"/>
            <w:vAlign w:val="bottom"/>
          </w:tcPr>
          <w:p>
            <w:pPr>
              <w:spacing w:after="0"/>
              <w:rPr>
                <w:sz w:val="15"/>
                <w:szCs w:val="15"/>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Maryland Heights, MO</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1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Hollywood Gaming Casino at Dayton Raceway</w:t>
            </w:r>
          </w:p>
        </w:tc>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Dayton, OH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140" w:type="dxa"/>
            <w:vAlign w:val="bottom"/>
            <w:gridSpan w:val="2"/>
          </w:tcPr>
          <w:p>
            <w:pPr>
              <w:ind w:left="140"/>
              <w:spacing w:after="0" w:line="147" w:lineRule="exact"/>
              <w:rPr>
                <w:sz w:val="20"/>
                <w:szCs w:val="20"/>
                <w:color w:val="auto"/>
              </w:rPr>
            </w:pPr>
            <w:r>
              <w:rPr>
                <w:rFonts w:ascii="Times New Roman" w:cs="Times New Roman" w:eastAsia="Times New Roman" w:hAnsi="Times New Roman"/>
                <w:sz w:val="14"/>
                <w:szCs w:val="14"/>
                <w:color w:val="auto"/>
                <w:w w:val="98"/>
              </w:rPr>
              <w:t>Hollywood Gaming Casino at Mahoning Valley Race</w:t>
            </w: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Youngstown, OH</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Track</w:t>
            </w:r>
          </w:p>
        </w:tc>
        <w:tc>
          <w:tcPr>
            <w:tcW w:w="102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1st Jackpot Casino</w:t>
            </w:r>
          </w:p>
        </w:tc>
        <w:tc>
          <w:tcPr>
            <w:tcW w:w="10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Tunica, MS</w:t>
            </w:r>
          </w:p>
        </w:tc>
        <w:tc>
          <w:tcPr>
            <w:tcW w:w="0" w:type="dxa"/>
            <w:vAlign w:val="bottom"/>
          </w:tcPr>
          <w:p>
            <w:pPr>
              <w:spacing w:after="0"/>
              <w:rPr>
                <w:sz w:val="1"/>
                <w:szCs w:val="1"/>
                <w:color w:val="auto"/>
              </w:rPr>
            </w:pPr>
          </w:p>
        </w:tc>
      </w:tr>
      <w:tr>
        <w:trPr>
          <w:trHeight w:val="184"/>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17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1/1/2023</w:t>
            </w:r>
          </w:p>
        </w:tc>
        <w:tc>
          <w:tcPr>
            <w:tcW w:w="10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11/1/2013</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17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10/31/2033</w:t>
            </w:r>
          </w:p>
        </w:tc>
        <w:tc>
          <w:tcPr>
            <w:tcW w:w="106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10/31/2033</w:t>
            </w:r>
          </w:p>
        </w:tc>
        <w:tc>
          <w:tcPr>
            <w:tcW w:w="1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17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(3x5 years)</w:t>
            </w:r>
          </w:p>
        </w:tc>
        <w:tc>
          <w:tcPr>
            <w:tcW w:w="10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(3x5 years)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17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Master Lease with Cross Collateralization</w:t>
            </w:r>
          </w:p>
        </w:tc>
        <w:tc>
          <w:tcPr>
            <w:tcW w:w="17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17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17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17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4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Escalator Details</w:t>
            </w:r>
          </w:p>
        </w:tc>
        <w:tc>
          <w:tcPr>
            <w:tcW w:w="1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7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17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(1)</w:t>
            </w:r>
          </w:p>
        </w:tc>
        <w:tc>
          <w:tcPr>
            <w:tcW w:w="106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Coverage ratio at June 30, 2026</w:t>
            </w:r>
          </w:p>
        </w:tc>
        <w:tc>
          <w:tcPr>
            <w:tcW w:w="17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17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17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w:t>
            </w:r>
          </w:p>
        </w:tc>
        <w:tc>
          <w:tcPr>
            <w:tcW w:w="10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auto"/>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7"/>
              </w:rPr>
              <w:t>Percentage Rent Reset Details</w:t>
            </w:r>
          </w:p>
        </w:tc>
        <w:tc>
          <w:tcPr>
            <w:tcW w:w="96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17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years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17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November 2028</w:t>
            </w: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300" w:hanging="297"/>
        <w:spacing w:after="0"/>
        <w:tabs>
          <w:tab w:leader="none" w:pos="3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addition to the annual escalation, a one-time annualized increase of $1.4 million occurs on November 1, 2027.</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72"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205105</wp:posOffset>
            </wp:positionH>
            <wp:positionV relativeFrom="page">
              <wp:posOffset>661670</wp:posOffset>
            </wp:positionV>
            <wp:extent cx="7146925" cy="147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6925" cy="147320"/>
                    </a:xfrm>
                    <a:prstGeom prst="rect">
                      <a:avLst/>
                    </a:prstGeom>
                    <a:noFill/>
                  </pic:spPr>
                </pic:pic>
              </a:graphicData>
            </a:graphic>
          </wp:anchor>
        </w:drawing>
        <w:t>Master Leases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6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Amended Pinnacle Master Lease</w:t>
            </w:r>
          </w:p>
        </w:tc>
        <w:tc>
          <w:tcPr>
            <w:tcW w:w="32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Bally's Master Lease</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266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PENN</w:t>
            </w:r>
          </w:p>
        </w:tc>
        <w:tc>
          <w:tcPr>
            <w:tcW w:w="1200" w:type="dxa"/>
            <w:vAlign w:val="bottom"/>
            <w:tcBorders>
              <w:bottom w:val="single" w:sz="8" w:color="CCEEFF"/>
            </w:tcBorders>
            <w:shd w:val="clear" w:color="auto" w:fill="CCEEFF"/>
          </w:tcPr>
          <w:p>
            <w:pPr>
              <w:spacing w:after="0"/>
              <w:rPr>
                <w:sz w:val="16"/>
                <w:szCs w:val="16"/>
                <w:color w:val="auto"/>
              </w:rPr>
            </w:pPr>
          </w:p>
        </w:tc>
        <w:tc>
          <w:tcPr>
            <w:tcW w:w="3240" w:type="dxa"/>
            <w:vAlign w:val="bottom"/>
            <w:tcBorders>
              <w:bottom w:val="single" w:sz="8" w:color="CCEEFF"/>
            </w:tcBorders>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Bally's</w:t>
            </w: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2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Ameristar Black Hawk</w:t>
            </w:r>
          </w:p>
        </w:tc>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Black Hawk, CO</w:t>
            </w:r>
          </w:p>
        </w:tc>
        <w:tc>
          <w:tcPr>
            <w:tcW w:w="3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Bally's Evansville</w:t>
            </w: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Evansville, IN</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6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Ameristar East Chicago</w:t>
            </w:r>
          </w:p>
        </w:tc>
        <w:tc>
          <w:tcPr>
            <w:tcW w:w="1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East Chicago, IN</w:t>
            </w:r>
          </w:p>
        </w:tc>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Bally's Dover Casino Resort</w:t>
            </w:r>
          </w:p>
        </w:tc>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Dover, DE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Ameristar Council Bluffs</w:t>
            </w:r>
          </w:p>
        </w:tc>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Council Bluffs, IA</w:t>
            </w:r>
          </w:p>
        </w:tc>
        <w:tc>
          <w:tcPr>
            <w:tcW w:w="324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auto"/>
              </w:rPr>
              <w:t>Black Hawk (Black Hawk North, West and East</w:t>
            </w: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Black Hawk, CO</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casinos)</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6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L'Auberge Baton Rouge</w:t>
            </w:r>
          </w:p>
        </w:tc>
        <w:tc>
          <w:tcPr>
            <w:tcW w:w="1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Baton Rouge, LA</w:t>
            </w:r>
          </w:p>
        </w:tc>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Quad Cities Casino &amp; Hotel</w:t>
            </w:r>
          </w:p>
        </w:tc>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Rock Island, IL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Boomtown Bossier City</w:t>
            </w:r>
          </w:p>
        </w:tc>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Bossier City, LA</w:t>
            </w:r>
          </w:p>
        </w:tc>
        <w:tc>
          <w:tcPr>
            <w:tcW w:w="3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Bally's Tiverton Hotel &amp; Casino</w:t>
            </w: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Tiverton, RI</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6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L'Auberge Lake Charles</w:t>
            </w:r>
          </w:p>
        </w:tc>
        <w:tc>
          <w:tcPr>
            <w:tcW w:w="1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Lake Charles, LA</w:t>
            </w:r>
          </w:p>
        </w:tc>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Hard Rock Casino and Hotel Biloxi</w:t>
            </w:r>
          </w:p>
        </w:tc>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Biloxi, MS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Boomtown New Orleans</w:t>
            </w:r>
          </w:p>
        </w:tc>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New Orleans, LA</w:t>
            </w:r>
          </w:p>
        </w:tc>
        <w:tc>
          <w:tcPr>
            <w:tcW w:w="3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6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Ameristar Vicksburg</w:t>
            </w:r>
          </w:p>
        </w:tc>
        <w:tc>
          <w:tcPr>
            <w:tcW w:w="1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Vicksburg, MS</w:t>
            </w:r>
          </w:p>
        </w:tc>
        <w:tc>
          <w:tcPr>
            <w:tcW w:w="3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River City Casino &amp; Hotel</w:t>
            </w:r>
          </w:p>
        </w:tc>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St. Louis, MO</w:t>
            </w:r>
          </w:p>
        </w:tc>
        <w:tc>
          <w:tcPr>
            <w:tcW w:w="3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60" w:type="dxa"/>
            <w:vAlign w:val="bottom"/>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rPr>
              <w:t>Jackpot Properties (Cactus Petes and</w:t>
            </w:r>
          </w:p>
        </w:tc>
        <w:tc>
          <w:tcPr>
            <w:tcW w:w="1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Jackpot, NV</w:t>
            </w:r>
          </w:p>
        </w:tc>
        <w:tc>
          <w:tcPr>
            <w:tcW w:w="3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Horseshu)</w:t>
            </w:r>
          </w:p>
        </w:tc>
        <w:tc>
          <w:tcPr>
            <w:tcW w:w="1200" w:type="dxa"/>
            <w:vAlign w:val="bottom"/>
            <w:vMerge w:val="continue"/>
            <w:shd w:val="clear" w:color="auto" w:fill="CCEEFF"/>
          </w:tcPr>
          <w:p>
            <w:pPr>
              <w:spacing w:after="0"/>
              <w:rPr>
                <w:sz w:val="16"/>
                <w:szCs w:val="16"/>
                <w:color w:val="auto"/>
              </w:rPr>
            </w:pPr>
          </w:p>
        </w:tc>
        <w:tc>
          <w:tcPr>
            <w:tcW w:w="3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Plainridge Park Casino</w:t>
            </w:r>
          </w:p>
        </w:tc>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Plainridge, MA</w:t>
            </w:r>
          </w:p>
        </w:tc>
        <w:tc>
          <w:tcPr>
            <w:tcW w:w="3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4/28/2016</w:t>
            </w:r>
          </w:p>
        </w:tc>
        <w:tc>
          <w:tcPr>
            <w:tcW w:w="1200" w:type="dxa"/>
            <w:vAlign w:val="bottom"/>
            <w:tcBorders>
              <w:bottom w:val="single" w:sz="8" w:color="CCEEFF"/>
            </w:tcBorders>
            <w:shd w:val="clear" w:color="auto" w:fill="CCEEFF"/>
          </w:tcPr>
          <w:p>
            <w:pPr>
              <w:spacing w:after="0"/>
              <w:rPr>
                <w:sz w:val="16"/>
                <w:szCs w:val="16"/>
                <w:color w:val="auto"/>
              </w:rPr>
            </w:pPr>
          </w:p>
        </w:tc>
        <w:tc>
          <w:tcPr>
            <w:tcW w:w="3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6/3/2021</w:t>
            </w: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4/30/2031</w:t>
            </w:r>
          </w:p>
        </w:tc>
        <w:tc>
          <w:tcPr>
            <w:tcW w:w="1200" w:type="dxa"/>
            <w:vAlign w:val="bottom"/>
          </w:tcPr>
          <w:p>
            <w:pPr>
              <w:spacing w:after="0"/>
              <w:rPr>
                <w:sz w:val="15"/>
                <w:szCs w:val="15"/>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6/2/2036</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(4x5 years)</w:t>
            </w:r>
          </w:p>
        </w:tc>
        <w:tc>
          <w:tcPr>
            <w:tcW w:w="1200" w:type="dxa"/>
            <w:vAlign w:val="bottom"/>
            <w:tcBorders>
              <w:bottom w:val="single" w:sz="8" w:color="CCEEFF"/>
            </w:tcBorders>
            <w:shd w:val="clear" w:color="auto" w:fill="CCEEFF"/>
          </w:tcPr>
          <w:p>
            <w:pPr>
              <w:spacing w:after="0"/>
              <w:rPr>
                <w:sz w:val="16"/>
                <w:szCs w:val="16"/>
                <w:color w:val="auto"/>
              </w:rPr>
            </w:pPr>
          </w:p>
        </w:tc>
        <w:tc>
          <w:tcPr>
            <w:tcW w:w="3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(4x5 years)</w:t>
            </w: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Pr>
          <w:p>
            <w:pPr>
              <w:spacing w:after="0"/>
              <w:rPr>
                <w:sz w:val="15"/>
                <w:szCs w:val="15"/>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Master Lease with Cross Collateralization</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Borders>
              <w:bottom w:val="single" w:sz="8" w:color="CCEEFF"/>
            </w:tcBorders>
            <w:shd w:val="clear" w:color="auto" w:fill="CCEEFF"/>
          </w:tcPr>
          <w:p>
            <w:pPr>
              <w:spacing w:after="0"/>
              <w:rPr>
                <w:sz w:val="16"/>
                <w:szCs w:val="16"/>
                <w:color w:val="auto"/>
              </w:rPr>
            </w:pPr>
          </w:p>
        </w:tc>
        <w:tc>
          <w:tcPr>
            <w:tcW w:w="3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Pr>
          <w:p>
            <w:pPr>
              <w:spacing w:after="0"/>
              <w:rPr>
                <w:sz w:val="15"/>
                <w:szCs w:val="15"/>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0" w:type="dxa"/>
            <w:vAlign w:val="bottom"/>
            <w:tcBorders>
              <w:bottom w:val="single" w:sz="8" w:color="CCEEFF"/>
            </w:tcBorders>
            <w:shd w:val="clear" w:color="auto" w:fill="CCEEFF"/>
          </w:tcPr>
          <w:p>
            <w:pPr>
              <w:spacing w:after="0"/>
              <w:rPr>
                <w:sz w:val="16"/>
                <w:szCs w:val="16"/>
                <w:color w:val="auto"/>
              </w:rPr>
            </w:pPr>
          </w:p>
        </w:tc>
        <w:tc>
          <w:tcPr>
            <w:tcW w:w="3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 (1)</w:t>
            </w: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Pr>
          <w:p>
            <w:pPr>
              <w:spacing w:after="0"/>
              <w:rPr>
                <w:sz w:val="15"/>
                <w:szCs w:val="15"/>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6"/>
              </w:rPr>
              <w:t>Escalator Details</w:t>
            </w:r>
          </w:p>
        </w:tc>
        <w:tc>
          <w:tcPr>
            <w:tcW w:w="1760" w:type="dxa"/>
            <w:vAlign w:val="bottom"/>
            <w:tcBorders>
              <w:bottom w:val="single" w:sz="8" w:color="CCEEFF"/>
            </w:tcBorders>
            <w:gridSpan w:val="2"/>
            <w:shd w:val="clear" w:color="auto" w:fill="CCEEFF"/>
          </w:tcPr>
          <w:p>
            <w:pPr>
              <w:spacing w:after="0"/>
              <w:rPr>
                <w:sz w:val="16"/>
                <w:szCs w:val="16"/>
                <w:color w:val="auto"/>
              </w:rPr>
            </w:pPr>
          </w:p>
        </w:tc>
        <w:tc>
          <w:tcPr>
            <w:tcW w:w="26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3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0" w:type="dxa"/>
            <w:vAlign w:val="bottom"/>
          </w:tcPr>
          <w:p>
            <w:pPr>
              <w:spacing w:after="0"/>
              <w:rPr>
                <w:sz w:val="15"/>
                <w:szCs w:val="15"/>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Coverage ratio at June 30, 2026</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 (3)</w:t>
            </w:r>
          </w:p>
        </w:tc>
        <w:tc>
          <w:tcPr>
            <w:tcW w:w="1200" w:type="dxa"/>
            <w:vAlign w:val="bottom"/>
            <w:tcBorders>
              <w:bottom w:val="single" w:sz="8" w:color="CCEEFF"/>
            </w:tcBorders>
            <w:shd w:val="clear" w:color="auto" w:fill="CCEEFF"/>
          </w:tcPr>
          <w:p>
            <w:pPr>
              <w:spacing w:after="0"/>
              <w:rPr>
                <w:sz w:val="16"/>
                <w:szCs w:val="16"/>
                <w:color w:val="auto"/>
              </w:rPr>
            </w:pPr>
          </w:p>
        </w:tc>
        <w:tc>
          <w:tcPr>
            <w:tcW w:w="3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0" w:type="dxa"/>
            <w:vAlign w:val="bottom"/>
          </w:tcPr>
          <w:p>
            <w:pPr>
              <w:spacing w:after="0"/>
              <w:rPr>
                <w:sz w:val="15"/>
                <w:szCs w:val="15"/>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May</w:t>
            </w:r>
          </w:p>
        </w:tc>
        <w:tc>
          <w:tcPr>
            <w:tcW w:w="1200" w:type="dxa"/>
            <w:vAlign w:val="bottom"/>
            <w:tcBorders>
              <w:bottom w:val="single" w:sz="8" w:color="CCEEFF"/>
            </w:tcBorders>
            <w:shd w:val="clear" w:color="auto" w:fill="CCEEFF"/>
          </w:tcPr>
          <w:p>
            <w:pPr>
              <w:spacing w:after="0"/>
              <w:rPr>
                <w:sz w:val="16"/>
                <w:szCs w:val="16"/>
                <w:color w:val="auto"/>
              </w:rPr>
            </w:pPr>
          </w:p>
        </w:tc>
        <w:tc>
          <w:tcPr>
            <w:tcW w:w="3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June</w:t>
            </w: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8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Percentage Rent Reset Details</w:t>
            </w:r>
          </w:p>
        </w:tc>
        <w:tc>
          <w:tcPr>
            <w:tcW w:w="2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7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years</w:t>
            </w:r>
          </w:p>
        </w:tc>
        <w:tc>
          <w:tcPr>
            <w:tcW w:w="1200" w:type="dxa"/>
            <w:vAlign w:val="bottom"/>
            <w:tcBorders>
              <w:bottom w:val="single" w:sz="8" w:color="CCEEFF"/>
            </w:tcBorders>
            <w:shd w:val="clear" w:color="auto" w:fill="CCEEFF"/>
          </w:tcPr>
          <w:p>
            <w:pPr>
              <w:spacing w:after="0"/>
              <w:rPr>
                <w:sz w:val="16"/>
                <w:szCs w:val="16"/>
                <w:color w:val="auto"/>
              </w:rPr>
            </w:pPr>
          </w:p>
        </w:tc>
        <w:tc>
          <w:tcPr>
            <w:tcW w:w="3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2028</w:t>
            </w:r>
          </w:p>
        </w:tc>
        <w:tc>
          <w:tcPr>
            <w:tcW w:w="1200" w:type="dxa"/>
            <w:vAlign w:val="bottom"/>
          </w:tcPr>
          <w:p>
            <w:pPr>
              <w:spacing w:after="0"/>
              <w:rPr>
                <w:sz w:val="15"/>
                <w:szCs w:val="15"/>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20" w:hanging="617"/>
        <w:spacing w:after="0" w:line="222" w:lineRule="auto"/>
        <w:tabs>
          <w:tab w:leader="none" w:pos="256"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tenant's parent's net leverage is greater than 5.5 to 1, then the adjusted revenue to rent coverage for the last two consecutive test periods must be at least 1.35. If the tenant's parent's net leverage is equal to or less than 5.5 to 1, then the ratio shall be reduced to 1.2.</w:t>
      </w:r>
    </w:p>
    <w:p>
      <w:pPr>
        <w:spacing w:after="0" w:line="113" w:lineRule="exact"/>
        <w:rPr>
          <w:rFonts w:ascii="Times New Roman" w:cs="Times New Roman" w:eastAsia="Times New Roman" w:hAnsi="Times New Roman"/>
          <w:sz w:val="22"/>
          <w:szCs w:val="22"/>
          <w:color w:val="auto"/>
          <w:vertAlign w:val="superscript"/>
        </w:rPr>
      </w:pPr>
    </w:p>
    <w:p>
      <w:pPr>
        <w:ind w:left="620" w:hanging="617"/>
        <w:spacing w:after="0" w:line="229" w:lineRule="auto"/>
        <w:tabs>
          <w:tab w:leader="none" w:pos="243"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173" w:lineRule="exact"/>
        <w:rPr>
          <w:rFonts w:ascii="Times New Roman" w:cs="Times New Roman" w:eastAsia="Times New Roman" w:hAnsi="Times New Roman"/>
          <w:sz w:val="22"/>
          <w:szCs w:val="22"/>
          <w:color w:val="auto"/>
          <w:vertAlign w:val="superscript"/>
        </w:rPr>
      </w:pPr>
    </w:p>
    <w:p>
      <w:pPr>
        <w:ind w:left="240" w:hanging="237"/>
        <w:spacing w:after="0"/>
        <w:tabs>
          <w:tab w:leader="none" w:pos="24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Coverage ratio for escalation purposes excludes adjusted revenue and rent attributable to the Plainridge Park facility as well as certain other fixed rent amounts.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205105</wp:posOffset>
            </wp:positionH>
            <wp:positionV relativeFrom="page">
              <wp:posOffset>890905</wp:posOffset>
            </wp:positionV>
            <wp:extent cx="7146925" cy="147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6925" cy="147320"/>
                    </a:xfrm>
                    <a:prstGeom prst="rect">
                      <a:avLst/>
                    </a:prstGeom>
                    <a:noFill/>
                  </pic:spPr>
                </pic:pic>
              </a:graphicData>
            </a:graphic>
          </wp:anchor>
        </w:drawing>
        <w:t>Master Leases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60" w:type="dxa"/>
            <w:vAlign w:val="bottom"/>
            <w:gridSpan w:val="2"/>
          </w:tcPr>
          <w:p>
            <w:pPr>
              <w:ind w:left="1660"/>
              <w:spacing w:after="0"/>
              <w:rPr>
                <w:sz w:val="20"/>
                <w:szCs w:val="20"/>
                <w:color w:val="auto"/>
              </w:rPr>
            </w:pPr>
            <w:r>
              <w:rPr>
                <w:rFonts w:ascii="Times New Roman" w:cs="Times New Roman" w:eastAsia="Times New Roman" w:hAnsi="Times New Roman"/>
                <w:sz w:val="14"/>
                <w:szCs w:val="14"/>
                <w:b w:val="1"/>
                <w:bCs w:val="1"/>
                <w:color w:val="auto"/>
              </w:rPr>
              <w:t>Bally's Master Lease II</w:t>
            </w:r>
          </w:p>
        </w:tc>
        <w:tc>
          <w:tcPr>
            <w:tcW w:w="1520" w:type="dxa"/>
            <w:vAlign w:val="bottom"/>
          </w:tcPr>
          <w:p>
            <w:pPr>
              <w:spacing w:after="0"/>
              <w:rPr>
                <w:sz w:val="15"/>
                <w:szCs w:val="15"/>
                <w:color w:val="auto"/>
              </w:rPr>
            </w:pPr>
          </w:p>
        </w:tc>
        <w:tc>
          <w:tcPr>
            <w:tcW w:w="2900" w:type="dxa"/>
            <w:vAlign w:val="bottom"/>
          </w:tcPr>
          <w:p>
            <w:pPr>
              <w:jc w:val="right"/>
              <w:ind w:right="1151"/>
              <w:spacing w:after="0"/>
              <w:rPr>
                <w:sz w:val="20"/>
                <w:szCs w:val="20"/>
                <w:color w:val="auto"/>
              </w:rPr>
            </w:pPr>
            <w:r>
              <w:rPr>
                <w:rFonts w:ascii="Times New Roman" w:cs="Times New Roman" w:eastAsia="Times New Roman" w:hAnsi="Times New Roman"/>
                <w:sz w:val="14"/>
                <w:szCs w:val="14"/>
                <w:b w:val="1"/>
                <w:bCs w:val="1"/>
                <w:color w:val="auto"/>
                <w:w w:val="99"/>
              </w:rPr>
              <w:t>Casino Queen Master Lease</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86"/>
        </w:trPr>
        <w:tc>
          <w:tcPr>
            <w:tcW w:w="27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27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Bally's</w:t>
            </w:r>
          </w:p>
        </w:tc>
        <w:tc>
          <w:tcPr>
            <w:tcW w:w="13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jc w:val="right"/>
              <w:ind w:right="1771"/>
              <w:spacing w:after="0"/>
              <w:rPr>
                <w:sz w:val="20"/>
                <w:szCs w:val="20"/>
                <w:color w:val="auto"/>
              </w:rPr>
            </w:pPr>
            <w:r>
              <w:rPr>
                <w:rFonts w:ascii="Times New Roman" w:cs="Times New Roman" w:eastAsia="Times New Roman" w:hAnsi="Times New Roman"/>
                <w:sz w:val="14"/>
                <w:szCs w:val="14"/>
                <w:b w:val="1"/>
                <w:bCs w:val="1"/>
                <w:color w:val="auto"/>
              </w:rPr>
              <w:t>Bally's</w:t>
            </w:r>
          </w:p>
        </w:tc>
      </w:tr>
      <w:tr>
        <w:trPr>
          <w:trHeight w:val="184"/>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2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Bally's Kansas City</w:t>
            </w: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Kansas City, MO</w:t>
            </w:r>
          </w:p>
        </w:tc>
        <w:tc>
          <w:tcPr>
            <w:tcW w:w="1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Bally's Marquette</w:t>
            </w:r>
          </w:p>
        </w:tc>
        <w:tc>
          <w:tcPr>
            <w:tcW w:w="290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Marquette, IA</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7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Bally's Shreveport Casino &amp; Hotel</w:t>
            </w:r>
          </w:p>
        </w:tc>
        <w:tc>
          <w:tcPr>
            <w:tcW w:w="1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Shreveport, LA</w:t>
            </w:r>
          </w:p>
        </w:tc>
        <w:tc>
          <w:tcPr>
            <w:tcW w:w="1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Bally's Baton Rouge</w:t>
            </w:r>
          </w:p>
        </w:tc>
        <w:tc>
          <w:tcPr>
            <w:tcW w:w="290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Baton Rouge, LA</w:t>
            </w:r>
          </w:p>
        </w:tc>
      </w:tr>
      <w:tr>
        <w:trPr>
          <w:trHeight w:val="18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DraftKings at Casino Queen (4)</w:t>
            </w: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East St. Louis, IL</w:t>
            </w:r>
          </w:p>
        </w:tc>
        <w:tc>
          <w:tcPr>
            <w:tcW w:w="1520" w:type="dxa"/>
            <w:vAlign w:val="bottom"/>
          </w:tcPr>
          <w:p>
            <w:pPr>
              <w:spacing w:after="0"/>
              <w:rPr>
                <w:sz w:val="15"/>
                <w:szCs w:val="15"/>
                <w:color w:val="auto"/>
              </w:rPr>
            </w:pPr>
          </w:p>
        </w:tc>
        <w:tc>
          <w:tcPr>
            <w:tcW w:w="290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7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The Queen Baton Rouge (4)</w:t>
            </w:r>
          </w:p>
        </w:tc>
        <w:tc>
          <w:tcPr>
            <w:tcW w:w="1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Baton Rouge, LA</w:t>
            </w:r>
          </w:p>
        </w:tc>
        <w:tc>
          <w:tcPr>
            <w:tcW w:w="152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Bally's Lincoln Casino Resort</w:t>
            </w: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Lincoln, RI</w:t>
            </w:r>
          </w:p>
        </w:tc>
        <w:tc>
          <w:tcPr>
            <w:tcW w:w="1520" w:type="dxa"/>
            <w:vAlign w:val="bottom"/>
          </w:tcPr>
          <w:p>
            <w:pPr>
              <w:spacing w:after="0"/>
              <w:rPr>
                <w:sz w:val="15"/>
                <w:szCs w:val="15"/>
                <w:color w:val="auto"/>
              </w:rPr>
            </w:pPr>
          </w:p>
        </w:tc>
        <w:tc>
          <w:tcPr>
            <w:tcW w:w="290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86"/>
        </w:trPr>
        <w:tc>
          <w:tcPr>
            <w:tcW w:w="27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2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12/16/2024</w:t>
            </w:r>
          </w:p>
        </w:tc>
        <w:tc>
          <w:tcPr>
            <w:tcW w:w="13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jc w:val="right"/>
              <w:ind w:right="1591"/>
              <w:spacing w:after="0"/>
              <w:rPr>
                <w:sz w:val="20"/>
                <w:szCs w:val="20"/>
                <w:color w:val="auto"/>
              </w:rPr>
            </w:pPr>
            <w:r>
              <w:rPr>
                <w:rFonts w:ascii="Times New Roman" w:cs="Times New Roman" w:eastAsia="Times New Roman" w:hAnsi="Times New Roman"/>
                <w:sz w:val="14"/>
                <w:szCs w:val="14"/>
                <w:color w:val="auto"/>
              </w:rPr>
              <w:t>12/17/2021</w:t>
            </w:r>
          </w:p>
        </w:tc>
      </w:tr>
      <w:tr>
        <w:trPr>
          <w:trHeight w:val="184"/>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12/15/2039</w:t>
            </w:r>
          </w:p>
        </w:tc>
        <w:tc>
          <w:tcPr>
            <w:tcW w:w="1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900" w:type="dxa"/>
            <w:vAlign w:val="bottom"/>
          </w:tcPr>
          <w:p>
            <w:pPr>
              <w:jc w:val="right"/>
              <w:ind w:right="1591"/>
              <w:spacing w:after="0"/>
              <w:rPr>
                <w:sz w:val="20"/>
                <w:szCs w:val="20"/>
                <w:color w:val="auto"/>
              </w:rPr>
            </w:pPr>
            <w:r>
              <w:rPr>
                <w:rFonts w:ascii="Times New Roman" w:cs="Times New Roman" w:eastAsia="Times New Roman" w:hAnsi="Times New Roman"/>
                <w:sz w:val="14"/>
                <w:szCs w:val="14"/>
                <w:color w:val="auto"/>
              </w:rPr>
              <w:t>12/31/2036</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86"/>
        </w:trPr>
        <w:tc>
          <w:tcPr>
            <w:tcW w:w="27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2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(4x5 years)</w:t>
            </w:r>
          </w:p>
        </w:tc>
        <w:tc>
          <w:tcPr>
            <w:tcW w:w="13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jc w:val="right"/>
              <w:ind w:right="1591"/>
              <w:spacing w:after="0"/>
              <w:rPr>
                <w:sz w:val="20"/>
                <w:szCs w:val="20"/>
                <w:color w:val="auto"/>
              </w:rPr>
            </w:pPr>
            <w:r>
              <w:rPr>
                <w:rFonts w:ascii="Times New Roman" w:cs="Times New Roman" w:eastAsia="Times New Roman" w:hAnsi="Times New Roman"/>
                <w:sz w:val="14"/>
                <w:szCs w:val="14"/>
                <w:color w:val="auto"/>
              </w:rPr>
              <w:t>20 (4x5 years)</w:t>
            </w:r>
          </w:p>
        </w:tc>
      </w:tr>
      <w:tr>
        <w:trPr>
          <w:trHeight w:val="184"/>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900" w:type="dxa"/>
            <w:vAlign w:val="bottom"/>
          </w:tcPr>
          <w:p>
            <w:pPr>
              <w:jc w:val="right"/>
              <w:ind w:right="1591"/>
              <w:spacing w:after="0"/>
              <w:rPr>
                <w:sz w:val="20"/>
                <w:szCs w:val="20"/>
                <w:color w:val="auto"/>
              </w:rPr>
            </w:pPr>
            <w:r>
              <w:rPr>
                <w:rFonts w:ascii="Times New Roman" w:cs="Times New Roman" w:eastAsia="Times New Roman" w:hAnsi="Times New Roman"/>
                <w:sz w:val="14"/>
                <w:szCs w:val="14"/>
                <w:color w:val="auto"/>
              </w:rPr>
              <w:t>(5)</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86"/>
        </w:trPr>
        <w:tc>
          <w:tcPr>
            <w:tcW w:w="27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Master Lease with Cross Collateralization</w:t>
            </w:r>
          </w:p>
        </w:tc>
        <w:tc>
          <w:tcPr>
            <w:tcW w:w="2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jc w:val="right"/>
              <w:ind w:right="1591"/>
              <w:spacing w:after="0"/>
              <w:rPr>
                <w:sz w:val="20"/>
                <w:szCs w:val="20"/>
                <w:color w:val="auto"/>
              </w:rPr>
            </w:pPr>
            <w:r>
              <w:rPr>
                <w:rFonts w:ascii="Times New Roman" w:cs="Times New Roman" w:eastAsia="Times New Roman" w:hAnsi="Times New Roman"/>
                <w:sz w:val="14"/>
                <w:szCs w:val="14"/>
                <w:color w:val="auto"/>
              </w:rPr>
              <w:t>Yes</w:t>
            </w:r>
          </w:p>
        </w:tc>
      </w:tr>
      <w:tr>
        <w:trPr>
          <w:trHeight w:val="184"/>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900" w:type="dxa"/>
            <w:vAlign w:val="bottom"/>
          </w:tcPr>
          <w:p>
            <w:pPr>
              <w:jc w:val="right"/>
              <w:ind w:right="1591"/>
              <w:spacing w:after="0"/>
              <w:rPr>
                <w:sz w:val="20"/>
                <w:szCs w:val="20"/>
                <w:color w:val="auto"/>
              </w:rPr>
            </w:pPr>
            <w:r>
              <w:rPr>
                <w:rFonts w:ascii="Times New Roman" w:cs="Times New Roman" w:eastAsia="Times New Roman" w:hAnsi="Times New Roman"/>
                <w:sz w:val="14"/>
                <w:szCs w:val="14"/>
                <w:color w:val="auto"/>
              </w:rPr>
              <w:t>Yes</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86"/>
        </w:trPr>
        <w:tc>
          <w:tcPr>
            <w:tcW w:w="27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2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 (1)</w:t>
            </w:r>
          </w:p>
        </w:tc>
        <w:tc>
          <w:tcPr>
            <w:tcW w:w="13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jc w:val="right"/>
              <w:ind w:right="1591"/>
              <w:spacing w:after="0"/>
              <w:rPr>
                <w:sz w:val="20"/>
                <w:szCs w:val="20"/>
                <w:color w:val="auto"/>
              </w:rPr>
            </w:pPr>
            <w:r>
              <w:rPr>
                <w:rFonts w:ascii="Times New Roman" w:cs="Times New Roman" w:eastAsia="Times New Roman" w:hAnsi="Times New Roman"/>
                <w:sz w:val="14"/>
                <w:szCs w:val="14"/>
                <w:color w:val="auto"/>
              </w:rPr>
              <w:t>1.35 (1)</w:t>
            </w:r>
          </w:p>
        </w:tc>
      </w:tr>
      <w:tr>
        <w:trPr>
          <w:trHeight w:val="184"/>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900" w:type="dxa"/>
            <w:vAlign w:val="bottom"/>
          </w:tcPr>
          <w:p>
            <w:pPr>
              <w:jc w:val="right"/>
              <w:ind w:right="1591"/>
              <w:spacing w:after="0"/>
              <w:rPr>
                <w:sz w:val="20"/>
                <w:szCs w:val="20"/>
                <w:color w:val="auto"/>
              </w:rPr>
            </w:pPr>
            <w:r>
              <w:rPr>
                <w:rFonts w:ascii="Times New Roman" w:cs="Times New Roman" w:eastAsia="Times New Roman" w:hAnsi="Times New Roman"/>
                <w:sz w:val="14"/>
                <w:szCs w:val="14"/>
                <w:color w:val="auto"/>
              </w:rPr>
              <w:t>Yes</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6"/>
              </w:rPr>
              <w:t>Escalator Details</w:t>
            </w:r>
          </w:p>
        </w:tc>
        <w:tc>
          <w:tcPr>
            <w:tcW w:w="1740" w:type="dxa"/>
            <w:vAlign w:val="bottom"/>
            <w:tcBorders>
              <w:bottom w:val="single" w:sz="8" w:color="CCEEFF"/>
            </w:tcBorders>
            <w:gridSpan w:val="2"/>
            <w:shd w:val="clear" w:color="auto" w:fill="CCEEFF"/>
          </w:tcPr>
          <w:p>
            <w:pPr>
              <w:spacing w:after="0"/>
              <w:rPr>
                <w:sz w:val="16"/>
                <w:szCs w:val="16"/>
                <w:color w:val="auto"/>
              </w:rPr>
            </w:pPr>
          </w:p>
        </w:tc>
        <w:tc>
          <w:tcPr>
            <w:tcW w:w="27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spacing w:after="0"/>
              <w:rPr>
                <w:sz w:val="16"/>
                <w:szCs w:val="16"/>
                <w:color w:val="auto"/>
              </w:rPr>
            </w:pPr>
          </w:p>
        </w:tc>
      </w:tr>
      <w:tr>
        <w:trPr>
          <w:trHeight w:val="184"/>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900" w:type="dxa"/>
            <w:vAlign w:val="bottom"/>
          </w:tcPr>
          <w:p>
            <w:pPr>
              <w:jc w:val="right"/>
              <w:ind w:right="1591"/>
              <w:spacing w:after="0"/>
              <w:rPr>
                <w:sz w:val="20"/>
                <w:szCs w:val="20"/>
                <w:color w:val="auto"/>
              </w:rPr>
            </w:pPr>
            <w:r>
              <w:rPr>
                <w:rFonts w:ascii="Times New Roman" w:cs="Times New Roman" w:eastAsia="Times New Roman" w:hAnsi="Times New Roman"/>
                <w:sz w:val="14"/>
                <w:szCs w:val="14"/>
                <w:color w:val="auto"/>
              </w:rPr>
              <w:t>(3)</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86"/>
        </w:trPr>
        <w:tc>
          <w:tcPr>
            <w:tcW w:w="27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Coverage ratio at June 30, 2026</w:t>
            </w:r>
          </w:p>
        </w:tc>
        <w:tc>
          <w:tcPr>
            <w:tcW w:w="2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 (6)</w:t>
            </w:r>
          </w:p>
        </w:tc>
        <w:tc>
          <w:tcPr>
            <w:tcW w:w="13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jc w:val="right"/>
              <w:ind w:right="1591"/>
              <w:spacing w:after="0"/>
              <w:rPr>
                <w:sz w:val="20"/>
                <w:szCs w:val="20"/>
                <w:color w:val="auto"/>
              </w:rPr>
            </w:pPr>
            <w:r>
              <w:rPr>
                <w:rFonts w:ascii="Times New Roman" w:cs="Times New Roman" w:eastAsia="Times New Roman" w:hAnsi="Times New Roman"/>
                <w:sz w:val="14"/>
                <w:szCs w:val="14"/>
                <w:color w:val="auto"/>
              </w:rPr>
              <w:t>N/A</w:t>
            </w:r>
          </w:p>
        </w:tc>
      </w:tr>
      <w:tr>
        <w:trPr>
          <w:trHeight w:val="184"/>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900" w:type="dxa"/>
            <w:vAlign w:val="bottom"/>
          </w:tcPr>
          <w:p>
            <w:pPr>
              <w:jc w:val="right"/>
              <w:ind w:right="1591"/>
              <w:spacing w:after="0"/>
              <w:rPr>
                <w:sz w:val="20"/>
                <w:szCs w:val="20"/>
                <w:color w:val="auto"/>
              </w:rPr>
            </w:pPr>
            <w:r>
              <w:rPr>
                <w:rFonts w:ascii="Times New Roman" w:cs="Times New Roman" w:eastAsia="Times New Roman" w:hAnsi="Times New Roman"/>
                <w:sz w:val="14"/>
                <w:szCs w:val="14"/>
                <w:color w:val="auto"/>
              </w:rPr>
              <w:t>N/A</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86"/>
        </w:trPr>
        <w:tc>
          <w:tcPr>
            <w:tcW w:w="27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2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December</w:t>
            </w:r>
          </w:p>
        </w:tc>
        <w:tc>
          <w:tcPr>
            <w:tcW w:w="13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jc w:val="right"/>
              <w:ind w:right="1591"/>
              <w:spacing w:after="0"/>
              <w:rPr>
                <w:sz w:val="20"/>
                <w:szCs w:val="20"/>
                <w:color w:val="auto"/>
              </w:rPr>
            </w:pPr>
            <w:r>
              <w:rPr>
                <w:rFonts w:ascii="Times New Roman" w:cs="Times New Roman" w:eastAsia="Times New Roman" w:hAnsi="Times New Roman"/>
                <w:sz w:val="14"/>
                <w:szCs w:val="14"/>
                <w:color w:val="auto"/>
              </w:rPr>
              <w:t>December</w:t>
            </w:r>
          </w:p>
        </w:tc>
      </w:tr>
      <w:tr>
        <w:trPr>
          <w:trHeight w:val="155"/>
        </w:trPr>
        <w:tc>
          <w:tcPr>
            <w:tcW w:w="276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Percentage Rent Reset Details</w:t>
            </w:r>
          </w:p>
        </w:tc>
        <w:tc>
          <w:tcPr>
            <w:tcW w:w="2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90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186"/>
        </w:trPr>
        <w:tc>
          <w:tcPr>
            <w:tcW w:w="27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2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jc w:val="right"/>
              <w:ind w:right="1591"/>
              <w:spacing w:after="0"/>
              <w:rPr>
                <w:sz w:val="20"/>
                <w:szCs w:val="20"/>
                <w:color w:val="auto"/>
              </w:rPr>
            </w:pPr>
            <w:r>
              <w:rPr>
                <w:rFonts w:ascii="Times New Roman" w:cs="Times New Roman" w:eastAsia="Times New Roman" w:hAnsi="Times New Roman"/>
                <w:sz w:val="14"/>
                <w:szCs w:val="14"/>
                <w:color w:val="auto"/>
              </w:rPr>
              <w:t>N/A</w:t>
            </w:r>
          </w:p>
        </w:tc>
      </w:tr>
      <w:tr>
        <w:trPr>
          <w:trHeight w:val="184"/>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900" w:type="dxa"/>
            <w:vAlign w:val="bottom"/>
          </w:tcPr>
          <w:p>
            <w:pPr>
              <w:jc w:val="right"/>
              <w:ind w:right="1591"/>
              <w:spacing w:after="0"/>
              <w:rPr>
                <w:sz w:val="20"/>
                <w:szCs w:val="20"/>
                <w:color w:val="auto"/>
              </w:rPr>
            </w:pPr>
            <w:r>
              <w:rPr>
                <w:rFonts w:ascii="Times New Roman" w:cs="Times New Roman" w:eastAsia="Times New Roman" w:hAnsi="Times New Roman"/>
                <w:sz w:val="14"/>
                <w:szCs w:val="14"/>
                <w:color w:val="auto"/>
              </w:rPr>
              <w:t>N/A</w:t>
            </w:r>
          </w:p>
        </w:tc>
      </w:tr>
    </w:tbl>
    <w:p>
      <w:pPr>
        <w:spacing w:after="0" w:line="238" w:lineRule="exact"/>
        <w:rPr>
          <w:sz w:val="20"/>
          <w:szCs w:val="20"/>
          <w:color w:val="auto"/>
        </w:rPr>
      </w:pPr>
    </w:p>
    <w:p>
      <w:pPr>
        <w:ind w:left="620" w:hanging="617"/>
        <w:spacing w:after="0" w:line="227" w:lineRule="auto"/>
        <w:tabs>
          <w:tab w:leader="none" w:pos="256"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tenant's parent's net leverage is greater than 5.5 to 1, then the adjusted revenue to rent coverage for the last two consecutive test periods must be at least 1.35. If the tenant's parent's net leverage is equal to or less than 5.5 to 1, then the ratio shall be reduced to 1.2. For the Casino Queen Master Lease the test begins on the first anniversary after both development projects are completed and open to the public.</w:t>
      </w:r>
    </w:p>
    <w:p>
      <w:pPr>
        <w:spacing w:after="0" w:line="112" w:lineRule="exact"/>
        <w:rPr>
          <w:rFonts w:ascii="Times New Roman" w:cs="Times New Roman" w:eastAsia="Times New Roman" w:hAnsi="Times New Roman"/>
          <w:sz w:val="22"/>
          <w:szCs w:val="22"/>
          <w:color w:val="auto"/>
          <w:vertAlign w:val="superscript"/>
        </w:rPr>
      </w:pPr>
    </w:p>
    <w:p>
      <w:pPr>
        <w:ind w:left="620" w:hanging="617"/>
        <w:spacing w:after="0" w:line="229" w:lineRule="auto"/>
        <w:tabs>
          <w:tab w:leader="none" w:pos="243"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203" w:lineRule="exact"/>
        <w:rPr>
          <w:rFonts w:ascii="Times New Roman" w:cs="Times New Roman" w:eastAsia="Times New Roman" w:hAnsi="Times New Roman"/>
          <w:sz w:val="22"/>
          <w:szCs w:val="22"/>
          <w:color w:val="auto"/>
          <w:vertAlign w:val="superscript"/>
        </w:rPr>
      </w:pPr>
    </w:p>
    <w:p>
      <w:pPr>
        <w:ind w:left="620" w:hanging="617"/>
        <w:spacing w:after="0"/>
        <w:tabs>
          <w:tab w:leader="none" w:pos="294"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Rent increases by 0.5% for the first six years. Beginning in the seventh lease year through the remainder of the lease term, if the CPI increases by at least 0.25% for any lease year then annual rent shall be increased by 1.25%, and if the CPI is less than 0.25% then rent will remain unchanged for such lease year.</w:t>
      </w:r>
    </w:p>
    <w:p>
      <w:pPr>
        <w:spacing w:after="0" w:line="312" w:lineRule="exact"/>
        <w:rPr>
          <w:rFonts w:ascii="Times New Roman" w:cs="Times New Roman" w:eastAsia="Times New Roman" w:hAnsi="Times New Roman"/>
          <w:sz w:val="22"/>
          <w:szCs w:val="22"/>
          <w:color w:val="auto"/>
          <w:vertAlign w:val="superscript"/>
        </w:rPr>
      </w:pPr>
    </w:p>
    <w:p>
      <w:pPr>
        <w:ind w:left="620" w:hanging="617"/>
        <w:spacing w:after="0" w:line="222" w:lineRule="auto"/>
        <w:tabs>
          <w:tab w:leader="none" w:pos="2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Effective July 1, 2025, these properties were transferred to Bally's Master Lease II and the associated annual rental income of $28.9 million was reallocated from the Casino Queen Master Lease to Bally's Master Lease II.</w:t>
      </w:r>
    </w:p>
    <w:p>
      <w:pPr>
        <w:spacing w:after="0" w:line="100" w:lineRule="exact"/>
        <w:rPr>
          <w:rFonts w:ascii="Times New Roman" w:cs="Times New Roman" w:eastAsia="Times New Roman" w:hAnsi="Times New Roman"/>
          <w:sz w:val="22"/>
          <w:szCs w:val="22"/>
          <w:color w:val="auto"/>
          <w:vertAlign w:val="superscript"/>
        </w:rPr>
      </w:pPr>
    </w:p>
    <w:p>
      <w:pPr>
        <w:ind w:left="620" w:hanging="617"/>
        <w:spacing w:after="0" w:line="222" w:lineRule="auto"/>
        <w:tabs>
          <w:tab w:leader="none" w:pos="243"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a default were to occur under the Casino Queen Master Lease, the Company has the right under the terms of the lease to elect to amend Bally’s Master Lease II and place the assets into it, which carries a corporate guarantee.</w:t>
      </w:r>
    </w:p>
    <w:p>
      <w:pPr>
        <w:spacing w:after="0" w:line="174" w:lineRule="exact"/>
        <w:rPr>
          <w:rFonts w:ascii="Times New Roman" w:cs="Times New Roman" w:eastAsia="Times New Roman" w:hAnsi="Times New Roman"/>
          <w:sz w:val="22"/>
          <w:szCs w:val="22"/>
          <w:color w:val="auto"/>
          <w:vertAlign w:val="superscript"/>
        </w:rPr>
      </w:pPr>
    </w:p>
    <w:p>
      <w:pPr>
        <w:ind w:left="240" w:hanging="237"/>
        <w:spacing w:after="0"/>
        <w:tabs>
          <w:tab w:leader="none" w:pos="24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Coverage ratio above is pro forma for the acquisition of the real estate assets of Bally's Twin River Lincoln Casino Resort which closed on February 11, 2026.</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205105</wp:posOffset>
            </wp:positionH>
            <wp:positionV relativeFrom="page">
              <wp:posOffset>890905</wp:posOffset>
            </wp:positionV>
            <wp:extent cx="7146925" cy="147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6925" cy="147320"/>
                    </a:xfrm>
                    <a:prstGeom prst="rect">
                      <a:avLst/>
                    </a:prstGeom>
                    <a:noFill/>
                  </pic:spPr>
                </pic:pic>
              </a:graphicData>
            </a:graphic>
          </wp:anchor>
        </w:drawing>
        <w:t>Master Leases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20" w:type="dxa"/>
            <w:vAlign w:val="bottom"/>
          </w:tcPr>
          <w:p>
            <w:pPr>
              <w:jc w:val="right"/>
              <w:ind w:right="1111"/>
              <w:spacing w:after="0"/>
              <w:rPr>
                <w:sz w:val="20"/>
                <w:szCs w:val="20"/>
                <w:color w:val="auto"/>
              </w:rPr>
            </w:pPr>
            <w:r>
              <w:rPr>
                <w:rFonts w:ascii="Times New Roman" w:cs="Times New Roman" w:eastAsia="Times New Roman" w:hAnsi="Times New Roman"/>
                <w:sz w:val="14"/>
                <w:szCs w:val="14"/>
                <w:b w:val="1"/>
                <w:bCs w:val="1"/>
                <w:color w:val="auto"/>
              </w:rPr>
              <w:t>Boyd Master Lease</w:t>
            </w:r>
          </w:p>
        </w:tc>
        <w:tc>
          <w:tcPr>
            <w:tcW w:w="4460" w:type="dxa"/>
            <w:vAlign w:val="bottom"/>
            <w:gridSpan w:val="2"/>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Caesars Amended and Restated Master Lease</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6"/>
        </w:trPr>
        <w:tc>
          <w:tcPr>
            <w:tcW w:w="27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1640" w:type="dxa"/>
            <w:vAlign w:val="bottom"/>
            <w:tcBorders>
              <w:bottom w:val="single" w:sz="8" w:color="CCEEFF"/>
            </w:tcBorders>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jc w:val="right"/>
              <w:ind w:right="1511"/>
              <w:spacing w:after="0"/>
              <w:rPr>
                <w:sz w:val="20"/>
                <w:szCs w:val="20"/>
                <w:color w:val="auto"/>
              </w:rPr>
            </w:pPr>
            <w:r>
              <w:rPr>
                <w:rFonts w:ascii="Times New Roman" w:cs="Times New Roman" w:eastAsia="Times New Roman" w:hAnsi="Times New Roman"/>
                <w:sz w:val="14"/>
                <w:szCs w:val="14"/>
                <w:b w:val="1"/>
                <w:bCs w:val="1"/>
                <w:color w:val="auto"/>
              </w:rPr>
              <w:t>Boyd</w:t>
            </w:r>
          </w:p>
        </w:tc>
        <w:tc>
          <w:tcPr>
            <w:tcW w:w="1980" w:type="dxa"/>
            <w:vAlign w:val="bottom"/>
            <w:tcBorders>
              <w:bottom w:val="single" w:sz="8" w:color="CCEEFF"/>
            </w:tcBorders>
            <w:shd w:val="clear" w:color="auto" w:fill="CCEEFF"/>
          </w:tcPr>
          <w:p>
            <w:pPr>
              <w:spacing w:after="0"/>
              <w:rPr>
                <w:sz w:val="16"/>
                <w:szCs w:val="16"/>
                <w:color w:val="auto"/>
              </w:rPr>
            </w:pPr>
          </w:p>
        </w:tc>
        <w:tc>
          <w:tcPr>
            <w:tcW w:w="2480" w:type="dxa"/>
            <w:vAlign w:val="bottom"/>
            <w:tcBorders>
              <w:bottom w:val="single" w:sz="8" w:color="CCEEFF"/>
            </w:tcBorders>
            <w:shd w:val="clear" w:color="auto" w:fill="CCEEFF"/>
          </w:tcPr>
          <w:p>
            <w:pPr>
              <w:jc w:val="right"/>
              <w:ind w:right="1771"/>
              <w:spacing w:after="0"/>
              <w:rPr>
                <w:sz w:val="20"/>
                <w:szCs w:val="20"/>
                <w:color w:val="auto"/>
              </w:rPr>
            </w:pPr>
            <w:r>
              <w:rPr>
                <w:rFonts w:ascii="Times New Roman" w:cs="Times New Roman" w:eastAsia="Times New Roman" w:hAnsi="Times New Roman"/>
                <w:sz w:val="14"/>
                <w:szCs w:val="14"/>
                <w:b w:val="1"/>
                <w:bCs w:val="1"/>
                <w:color w:val="auto"/>
              </w:rPr>
              <w:t>Caesars</w:t>
            </w:r>
          </w:p>
        </w:tc>
      </w:tr>
      <w:tr>
        <w:trPr>
          <w:trHeight w:val="184"/>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1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Belterra Casino Resort</w:t>
            </w:r>
          </w:p>
        </w:tc>
        <w:tc>
          <w:tcPr>
            <w:tcW w:w="24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Florence, IN</w:t>
            </w:r>
          </w:p>
        </w:tc>
        <w:tc>
          <w:tcPr>
            <w:tcW w:w="1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Tropicana Atlantic City</w:t>
            </w:r>
          </w:p>
        </w:tc>
        <w:tc>
          <w:tcPr>
            <w:tcW w:w="24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Atlantic City, NJ</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Ameristar Kansas City</w:t>
            </w:r>
          </w:p>
        </w:tc>
        <w:tc>
          <w:tcPr>
            <w:tcW w:w="24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Kansas City, MO</w:t>
            </w:r>
          </w:p>
        </w:tc>
        <w:tc>
          <w:tcPr>
            <w:tcW w:w="1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Tropicana Laughlin</w:t>
            </w:r>
          </w:p>
        </w:tc>
        <w:tc>
          <w:tcPr>
            <w:tcW w:w="24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Laughlin, NV</w:t>
            </w:r>
          </w:p>
        </w:tc>
      </w:tr>
      <w:tr>
        <w:trPr>
          <w:trHeight w:val="18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Ameristar St. Charles</w:t>
            </w:r>
          </w:p>
        </w:tc>
        <w:tc>
          <w:tcPr>
            <w:tcW w:w="24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St. Charles, MO</w:t>
            </w:r>
          </w:p>
        </w:tc>
        <w:tc>
          <w:tcPr>
            <w:tcW w:w="1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Trop Casino Greenville</w:t>
            </w:r>
          </w:p>
        </w:tc>
        <w:tc>
          <w:tcPr>
            <w:tcW w:w="24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Greenville, MS</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Isle Casino Hotel Bettendorf</w:t>
            </w:r>
          </w:p>
        </w:tc>
        <w:tc>
          <w:tcPr>
            <w:tcW w:w="24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Bettendorf, IA</w:t>
            </w:r>
          </w:p>
        </w:tc>
      </w:tr>
      <w:tr>
        <w:trPr>
          <w:trHeight w:val="18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Isle Casino Hotel Waterloo</w:t>
            </w:r>
          </w:p>
        </w:tc>
        <w:tc>
          <w:tcPr>
            <w:tcW w:w="24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Waterloo, IA</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6"/>
        </w:trPr>
        <w:tc>
          <w:tcPr>
            <w:tcW w:w="27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1640" w:type="dxa"/>
            <w:vAlign w:val="bottom"/>
            <w:tcBorders>
              <w:bottom w:val="single" w:sz="8" w:color="CCEEFF"/>
            </w:tcBorders>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10/15/2018</w:t>
            </w:r>
          </w:p>
        </w:tc>
        <w:tc>
          <w:tcPr>
            <w:tcW w:w="1980" w:type="dxa"/>
            <w:vAlign w:val="bottom"/>
            <w:tcBorders>
              <w:bottom w:val="single" w:sz="8" w:color="CCEEFF"/>
            </w:tcBorders>
            <w:shd w:val="clear" w:color="auto" w:fill="CCEEFF"/>
          </w:tcPr>
          <w:p>
            <w:pPr>
              <w:spacing w:after="0"/>
              <w:rPr>
                <w:sz w:val="16"/>
                <w:szCs w:val="16"/>
                <w:color w:val="auto"/>
              </w:rPr>
            </w:pPr>
          </w:p>
        </w:tc>
        <w:tc>
          <w:tcPr>
            <w:tcW w:w="2480" w:type="dxa"/>
            <w:vAlign w:val="bottom"/>
            <w:tcBorders>
              <w:bottom w:val="single" w:sz="8" w:color="CCEEFF"/>
            </w:tcBorders>
            <w:shd w:val="clear" w:color="auto" w:fill="CCEEFF"/>
          </w:tcPr>
          <w:p>
            <w:pPr>
              <w:jc w:val="right"/>
              <w:ind w:right="1571"/>
              <w:spacing w:after="0"/>
              <w:rPr>
                <w:sz w:val="20"/>
                <w:szCs w:val="20"/>
                <w:color w:val="auto"/>
              </w:rPr>
            </w:pPr>
            <w:r>
              <w:rPr>
                <w:rFonts w:ascii="Times New Roman" w:cs="Times New Roman" w:eastAsia="Times New Roman" w:hAnsi="Times New Roman"/>
                <w:sz w:val="14"/>
                <w:szCs w:val="14"/>
                <w:color w:val="auto"/>
              </w:rPr>
              <w:t>10/1/2018</w:t>
            </w:r>
          </w:p>
        </w:tc>
      </w:tr>
      <w:tr>
        <w:trPr>
          <w:trHeight w:val="184"/>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1640" w:type="dxa"/>
            <w:vAlign w:val="bottom"/>
          </w:tcPr>
          <w:p>
            <w:pPr>
              <w:spacing w:after="0"/>
              <w:rPr>
                <w:sz w:val="15"/>
                <w:szCs w:val="15"/>
                <w:color w:val="auto"/>
              </w:rPr>
            </w:pPr>
          </w:p>
        </w:tc>
        <w:tc>
          <w:tcPr>
            <w:tcW w:w="242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4/30/2031</w:t>
            </w:r>
          </w:p>
        </w:tc>
        <w:tc>
          <w:tcPr>
            <w:tcW w:w="1980" w:type="dxa"/>
            <w:vAlign w:val="bottom"/>
          </w:tcPr>
          <w:p>
            <w:pPr>
              <w:spacing w:after="0"/>
              <w:rPr>
                <w:sz w:val="15"/>
                <w:szCs w:val="15"/>
                <w:color w:val="auto"/>
              </w:rPr>
            </w:pPr>
          </w:p>
        </w:tc>
        <w:tc>
          <w:tcPr>
            <w:tcW w:w="2480" w:type="dxa"/>
            <w:vAlign w:val="bottom"/>
          </w:tcPr>
          <w:p>
            <w:pPr>
              <w:jc w:val="right"/>
              <w:ind w:right="1571"/>
              <w:spacing w:after="0"/>
              <w:rPr>
                <w:sz w:val="20"/>
                <w:szCs w:val="20"/>
                <w:color w:val="auto"/>
              </w:rPr>
            </w:pPr>
            <w:r>
              <w:rPr>
                <w:rFonts w:ascii="Times New Roman" w:cs="Times New Roman" w:eastAsia="Times New Roman" w:hAnsi="Times New Roman"/>
                <w:sz w:val="14"/>
                <w:szCs w:val="14"/>
                <w:color w:val="auto"/>
              </w:rPr>
              <w:t>9/30/2038</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6"/>
        </w:trPr>
        <w:tc>
          <w:tcPr>
            <w:tcW w:w="27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1640" w:type="dxa"/>
            <w:vAlign w:val="bottom"/>
            <w:tcBorders>
              <w:bottom w:val="single" w:sz="8" w:color="CCEEFF"/>
            </w:tcBorders>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20 (4x5 years)</w:t>
            </w:r>
          </w:p>
        </w:tc>
        <w:tc>
          <w:tcPr>
            <w:tcW w:w="1980" w:type="dxa"/>
            <w:vAlign w:val="bottom"/>
            <w:tcBorders>
              <w:bottom w:val="single" w:sz="8" w:color="CCEEFF"/>
            </w:tcBorders>
            <w:shd w:val="clear" w:color="auto" w:fill="CCEEFF"/>
          </w:tcPr>
          <w:p>
            <w:pPr>
              <w:spacing w:after="0"/>
              <w:rPr>
                <w:sz w:val="16"/>
                <w:szCs w:val="16"/>
                <w:color w:val="auto"/>
              </w:rPr>
            </w:pPr>
          </w:p>
        </w:tc>
        <w:tc>
          <w:tcPr>
            <w:tcW w:w="2480" w:type="dxa"/>
            <w:vAlign w:val="bottom"/>
            <w:tcBorders>
              <w:bottom w:val="single" w:sz="8" w:color="CCEEFF"/>
            </w:tcBorders>
            <w:shd w:val="clear" w:color="auto" w:fill="CCEEFF"/>
          </w:tcPr>
          <w:p>
            <w:pPr>
              <w:jc w:val="right"/>
              <w:ind w:right="1571"/>
              <w:spacing w:after="0"/>
              <w:rPr>
                <w:sz w:val="20"/>
                <w:szCs w:val="20"/>
                <w:color w:val="auto"/>
              </w:rPr>
            </w:pPr>
            <w:r>
              <w:rPr>
                <w:rFonts w:ascii="Times New Roman" w:cs="Times New Roman" w:eastAsia="Times New Roman" w:hAnsi="Times New Roman"/>
                <w:sz w:val="14"/>
                <w:szCs w:val="14"/>
                <w:color w:val="auto"/>
              </w:rPr>
              <w:t>20 (4x5 years)</w:t>
            </w:r>
          </w:p>
        </w:tc>
      </w:tr>
      <w:tr>
        <w:trPr>
          <w:trHeight w:val="184"/>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1640" w:type="dxa"/>
            <w:vAlign w:val="bottom"/>
          </w:tcPr>
          <w:p>
            <w:pPr>
              <w:spacing w:after="0"/>
              <w:rPr>
                <w:sz w:val="15"/>
                <w:szCs w:val="15"/>
                <w:color w:val="auto"/>
              </w:rPr>
            </w:pPr>
          </w:p>
        </w:tc>
        <w:tc>
          <w:tcPr>
            <w:tcW w:w="242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No</w:t>
            </w:r>
          </w:p>
        </w:tc>
        <w:tc>
          <w:tcPr>
            <w:tcW w:w="1980" w:type="dxa"/>
            <w:vAlign w:val="bottom"/>
          </w:tcPr>
          <w:p>
            <w:pPr>
              <w:spacing w:after="0"/>
              <w:rPr>
                <w:sz w:val="15"/>
                <w:szCs w:val="15"/>
                <w:color w:val="auto"/>
              </w:rPr>
            </w:pPr>
          </w:p>
        </w:tc>
        <w:tc>
          <w:tcPr>
            <w:tcW w:w="2480" w:type="dxa"/>
            <w:vAlign w:val="bottom"/>
          </w:tcPr>
          <w:p>
            <w:pPr>
              <w:jc w:val="right"/>
              <w:ind w:right="1571"/>
              <w:spacing w:after="0"/>
              <w:rPr>
                <w:sz w:val="20"/>
                <w:szCs w:val="20"/>
                <w:color w:val="auto"/>
              </w:rPr>
            </w:pPr>
            <w:r>
              <w:rPr>
                <w:rFonts w:ascii="Times New Roman" w:cs="Times New Roman" w:eastAsia="Times New Roman" w:hAnsi="Times New Roman"/>
                <w:sz w:val="14"/>
                <w:szCs w:val="14"/>
                <w:color w:val="auto"/>
              </w:rPr>
              <w:t>Yes</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6"/>
        </w:trPr>
        <w:tc>
          <w:tcPr>
            <w:tcW w:w="27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Master Lease with Cross Collateralization</w:t>
            </w:r>
          </w:p>
        </w:tc>
        <w:tc>
          <w:tcPr>
            <w:tcW w:w="1640" w:type="dxa"/>
            <w:vAlign w:val="bottom"/>
            <w:tcBorders>
              <w:bottom w:val="single" w:sz="8" w:color="CCEEFF"/>
            </w:tcBorders>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Yes</w:t>
            </w:r>
          </w:p>
        </w:tc>
        <w:tc>
          <w:tcPr>
            <w:tcW w:w="1980" w:type="dxa"/>
            <w:vAlign w:val="bottom"/>
            <w:tcBorders>
              <w:bottom w:val="single" w:sz="8" w:color="CCEEFF"/>
            </w:tcBorders>
            <w:shd w:val="clear" w:color="auto" w:fill="CCEEFF"/>
          </w:tcPr>
          <w:p>
            <w:pPr>
              <w:spacing w:after="0"/>
              <w:rPr>
                <w:sz w:val="16"/>
                <w:szCs w:val="16"/>
                <w:color w:val="auto"/>
              </w:rPr>
            </w:pPr>
          </w:p>
        </w:tc>
        <w:tc>
          <w:tcPr>
            <w:tcW w:w="2480" w:type="dxa"/>
            <w:vAlign w:val="bottom"/>
            <w:tcBorders>
              <w:bottom w:val="single" w:sz="8" w:color="CCEEFF"/>
            </w:tcBorders>
            <w:shd w:val="clear" w:color="auto" w:fill="CCEEFF"/>
          </w:tcPr>
          <w:p>
            <w:pPr>
              <w:jc w:val="right"/>
              <w:ind w:right="1571"/>
              <w:spacing w:after="0"/>
              <w:rPr>
                <w:sz w:val="20"/>
                <w:szCs w:val="20"/>
                <w:color w:val="auto"/>
              </w:rPr>
            </w:pPr>
            <w:r>
              <w:rPr>
                <w:rFonts w:ascii="Times New Roman" w:cs="Times New Roman" w:eastAsia="Times New Roman" w:hAnsi="Times New Roman"/>
                <w:sz w:val="14"/>
                <w:szCs w:val="14"/>
                <w:color w:val="auto"/>
              </w:rPr>
              <w:t>Yes</w:t>
            </w:r>
          </w:p>
        </w:tc>
      </w:tr>
      <w:tr>
        <w:trPr>
          <w:trHeight w:val="184"/>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1640" w:type="dxa"/>
            <w:vAlign w:val="bottom"/>
          </w:tcPr>
          <w:p>
            <w:pPr>
              <w:spacing w:after="0"/>
              <w:rPr>
                <w:sz w:val="15"/>
                <w:szCs w:val="15"/>
                <w:color w:val="auto"/>
              </w:rPr>
            </w:pPr>
          </w:p>
        </w:tc>
        <w:tc>
          <w:tcPr>
            <w:tcW w:w="242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Yes</w:t>
            </w:r>
          </w:p>
        </w:tc>
        <w:tc>
          <w:tcPr>
            <w:tcW w:w="1980" w:type="dxa"/>
            <w:vAlign w:val="bottom"/>
          </w:tcPr>
          <w:p>
            <w:pPr>
              <w:spacing w:after="0"/>
              <w:rPr>
                <w:sz w:val="15"/>
                <w:szCs w:val="15"/>
                <w:color w:val="auto"/>
              </w:rPr>
            </w:pPr>
          </w:p>
        </w:tc>
        <w:tc>
          <w:tcPr>
            <w:tcW w:w="2480" w:type="dxa"/>
            <w:vAlign w:val="bottom"/>
          </w:tcPr>
          <w:p>
            <w:pPr>
              <w:jc w:val="right"/>
              <w:ind w:right="1571"/>
              <w:spacing w:after="0"/>
              <w:rPr>
                <w:sz w:val="20"/>
                <w:szCs w:val="20"/>
                <w:color w:val="auto"/>
              </w:rPr>
            </w:pPr>
            <w:r>
              <w:rPr>
                <w:rFonts w:ascii="Times New Roman" w:cs="Times New Roman" w:eastAsia="Times New Roman" w:hAnsi="Times New Roman"/>
                <w:sz w:val="14"/>
                <w:szCs w:val="14"/>
                <w:color w:val="auto"/>
              </w:rPr>
              <w:t>Yes</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6"/>
        </w:trPr>
        <w:tc>
          <w:tcPr>
            <w:tcW w:w="27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1640" w:type="dxa"/>
            <w:vAlign w:val="bottom"/>
            <w:tcBorders>
              <w:bottom w:val="single" w:sz="8" w:color="CCEEFF"/>
            </w:tcBorders>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1.4</w:t>
            </w:r>
          </w:p>
        </w:tc>
        <w:tc>
          <w:tcPr>
            <w:tcW w:w="1980" w:type="dxa"/>
            <w:vAlign w:val="bottom"/>
            <w:tcBorders>
              <w:bottom w:val="single" w:sz="8" w:color="CCEEFF"/>
            </w:tcBorders>
            <w:shd w:val="clear" w:color="auto" w:fill="CCEEFF"/>
          </w:tcPr>
          <w:p>
            <w:pPr>
              <w:spacing w:after="0"/>
              <w:rPr>
                <w:sz w:val="16"/>
                <w:szCs w:val="16"/>
                <w:color w:val="auto"/>
              </w:rPr>
            </w:pPr>
          </w:p>
        </w:tc>
        <w:tc>
          <w:tcPr>
            <w:tcW w:w="2480" w:type="dxa"/>
            <w:vAlign w:val="bottom"/>
            <w:tcBorders>
              <w:bottom w:val="single" w:sz="8" w:color="CCEEFF"/>
            </w:tcBorders>
            <w:shd w:val="clear" w:color="auto" w:fill="CCEEFF"/>
          </w:tcPr>
          <w:p>
            <w:pPr>
              <w:jc w:val="right"/>
              <w:ind w:right="1571"/>
              <w:spacing w:after="0"/>
              <w:rPr>
                <w:sz w:val="20"/>
                <w:szCs w:val="20"/>
                <w:color w:val="auto"/>
              </w:rPr>
            </w:pPr>
            <w:r>
              <w:rPr>
                <w:rFonts w:ascii="Times New Roman" w:cs="Times New Roman" w:eastAsia="Times New Roman" w:hAnsi="Times New Roman"/>
                <w:sz w:val="14"/>
                <w:szCs w:val="14"/>
                <w:color w:val="auto"/>
              </w:rPr>
              <w:t>1.2</w:t>
            </w:r>
          </w:p>
        </w:tc>
      </w:tr>
      <w:tr>
        <w:trPr>
          <w:trHeight w:val="184"/>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1640" w:type="dxa"/>
            <w:vAlign w:val="bottom"/>
          </w:tcPr>
          <w:p>
            <w:pPr>
              <w:spacing w:after="0"/>
              <w:rPr>
                <w:sz w:val="15"/>
                <w:szCs w:val="15"/>
                <w:color w:val="auto"/>
              </w:rPr>
            </w:pPr>
          </w:p>
        </w:tc>
        <w:tc>
          <w:tcPr>
            <w:tcW w:w="242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Yes</w:t>
            </w:r>
          </w:p>
        </w:tc>
        <w:tc>
          <w:tcPr>
            <w:tcW w:w="1980" w:type="dxa"/>
            <w:vAlign w:val="bottom"/>
          </w:tcPr>
          <w:p>
            <w:pPr>
              <w:spacing w:after="0"/>
              <w:rPr>
                <w:sz w:val="15"/>
                <w:szCs w:val="15"/>
                <w:color w:val="auto"/>
              </w:rPr>
            </w:pPr>
          </w:p>
        </w:tc>
        <w:tc>
          <w:tcPr>
            <w:tcW w:w="2480" w:type="dxa"/>
            <w:vAlign w:val="bottom"/>
          </w:tcPr>
          <w:p>
            <w:pPr>
              <w:jc w:val="right"/>
              <w:ind w:right="1571"/>
              <w:spacing w:after="0"/>
              <w:rPr>
                <w:sz w:val="20"/>
                <w:szCs w:val="20"/>
                <w:color w:val="auto"/>
              </w:rPr>
            </w:pPr>
            <w:r>
              <w:rPr>
                <w:rFonts w:ascii="Times New Roman" w:cs="Times New Roman" w:eastAsia="Times New Roman" w:hAnsi="Times New Roman"/>
                <w:sz w:val="14"/>
                <w:szCs w:val="14"/>
                <w:color w:val="auto"/>
              </w:rPr>
              <w:t>Yes</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6"/>
              </w:rPr>
              <w:t>Escalator Details</w:t>
            </w:r>
          </w:p>
        </w:tc>
        <w:tc>
          <w:tcPr>
            <w:tcW w:w="1700" w:type="dxa"/>
            <w:vAlign w:val="bottom"/>
            <w:tcBorders>
              <w:bottom w:val="single" w:sz="8" w:color="CCEEFF"/>
            </w:tcBorders>
            <w:gridSpan w:val="2"/>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2480" w:type="dxa"/>
            <w:vAlign w:val="bottom"/>
            <w:tcBorders>
              <w:bottom w:val="single" w:sz="8" w:color="CCEEFF"/>
            </w:tcBorders>
            <w:shd w:val="clear" w:color="auto" w:fill="CCEEFF"/>
          </w:tcPr>
          <w:p>
            <w:pPr>
              <w:spacing w:after="0"/>
              <w:rPr>
                <w:sz w:val="16"/>
                <w:szCs w:val="16"/>
                <w:color w:val="auto"/>
              </w:rPr>
            </w:pPr>
          </w:p>
        </w:tc>
      </w:tr>
      <w:tr>
        <w:trPr>
          <w:trHeight w:val="184"/>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1640" w:type="dxa"/>
            <w:vAlign w:val="bottom"/>
          </w:tcPr>
          <w:p>
            <w:pPr>
              <w:spacing w:after="0"/>
              <w:rPr>
                <w:sz w:val="15"/>
                <w:szCs w:val="15"/>
                <w:color w:val="auto"/>
              </w:rPr>
            </w:pPr>
          </w:p>
        </w:tc>
        <w:tc>
          <w:tcPr>
            <w:tcW w:w="242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2 %</w:t>
            </w:r>
          </w:p>
        </w:tc>
        <w:tc>
          <w:tcPr>
            <w:tcW w:w="1980" w:type="dxa"/>
            <w:vAlign w:val="bottom"/>
          </w:tcPr>
          <w:p>
            <w:pPr>
              <w:spacing w:after="0"/>
              <w:rPr>
                <w:sz w:val="15"/>
                <w:szCs w:val="15"/>
                <w:color w:val="auto"/>
              </w:rPr>
            </w:pPr>
          </w:p>
        </w:tc>
        <w:tc>
          <w:tcPr>
            <w:tcW w:w="2480" w:type="dxa"/>
            <w:vAlign w:val="bottom"/>
          </w:tcPr>
          <w:p>
            <w:pPr>
              <w:jc w:val="right"/>
              <w:ind w:right="1571"/>
              <w:spacing w:after="0"/>
              <w:rPr>
                <w:sz w:val="20"/>
                <w:szCs w:val="20"/>
                <w:color w:val="auto"/>
              </w:rPr>
            </w:pPr>
            <w:r>
              <w:rPr>
                <w:rFonts w:ascii="Times New Roman" w:cs="Times New Roman" w:eastAsia="Times New Roman" w:hAnsi="Times New Roman"/>
                <w:sz w:val="14"/>
                <w:szCs w:val="14"/>
                <w:color w:val="auto"/>
              </w:rPr>
              <w:t>2 %</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6"/>
        </w:trPr>
        <w:tc>
          <w:tcPr>
            <w:tcW w:w="27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Coverage ratio at June 30, 2026</w:t>
            </w:r>
          </w:p>
        </w:tc>
        <w:tc>
          <w:tcPr>
            <w:tcW w:w="1640" w:type="dxa"/>
            <w:vAlign w:val="bottom"/>
            <w:tcBorders>
              <w:bottom w:val="single" w:sz="8" w:color="CCEEFF"/>
            </w:tcBorders>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2.46</w:t>
            </w:r>
          </w:p>
        </w:tc>
        <w:tc>
          <w:tcPr>
            <w:tcW w:w="1980" w:type="dxa"/>
            <w:vAlign w:val="bottom"/>
            <w:tcBorders>
              <w:bottom w:val="single" w:sz="8" w:color="CCEEFF"/>
            </w:tcBorders>
            <w:shd w:val="clear" w:color="auto" w:fill="CCEEFF"/>
          </w:tcPr>
          <w:p>
            <w:pPr>
              <w:spacing w:after="0"/>
              <w:rPr>
                <w:sz w:val="16"/>
                <w:szCs w:val="16"/>
                <w:color w:val="auto"/>
              </w:rPr>
            </w:pPr>
          </w:p>
        </w:tc>
        <w:tc>
          <w:tcPr>
            <w:tcW w:w="2480" w:type="dxa"/>
            <w:vAlign w:val="bottom"/>
            <w:tcBorders>
              <w:bottom w:val="single" w:sz="8" w:color="CCEEFF"/>
            </w:tcBorders>
            <w:shd w:val="clear" w:color="auto" w:fill="CCEEFF"/>
          </w:tcPr>
          <w:p>
            <w:pPr>
              <w:jc w:val="right"/>
              <w:ind w:right="1571"/>
              <w:spacing w:after="0"/>
              <w:rPr>
                <w:sz w:val="20"/>
                <w:szCs w:val="20"/>
                <w:color w:val="auto"/>
              </w:rPr>
            </w:pPr>
            <w:r>
              <w:rPr>
                <w:rFonts w:ascii="Times New Roman" w:cs="Times New Roman" w:eastAsia="Times New Roman" w:hAnsi="Times New Roman"/>
                <w:sz w:val="14"/>
                <w:szCs w:val="14"/>
                <w:color w:val="auto"/>
              </w:rPr>
              <w:t>1.61</w:t>
            </w:r>
          </w:p>
        </w:tc>
      </w:tr>
      <w:tr>
        <w:trPr>
          <w:trHeight w:val="184"/>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1640" w:type="dxa"/>
            <w:vAlign w:val="bottom"/>
          </w:tcPr>
          <w:p>
            <w:pPr>
              <w:spacing w:after="0"/>
              <w:rPr>
                <w:sz w:val="15"/>
                <w:szCs w:val="15"/>
                <w:color w:val="auto"/>
              </w:rPr>
            </w:pPr>
          </w:p>
        </w:tc>
        <w:tc>
          <w:tcPr>
            <w:tcW w:w="242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1.8</w:t>
            </w:r>
          </w:p>
        </w:tc>
        <w:tc>
          <w:tcPr>
            <w:tcW w:w="1980" w:type="dxa"/>
            <w:vAlign w:val="bottom"/>
          </w:tcPr>
          <w:p>
            <w:pPr>
              <w:spacing w:after="0"/>
              <w:rPr>
                <w:sz w:val="15"/>
                <w:szCs w:val="15"/>
                <w:color w:val="auto"/>
              </w:rPr>
            </w:pPr>
          </w:p>
        </w:tc>
        <w:tc>
          <w:tcPr>
            <w:tcW w:w="2480" w:type="dxa"/>
            <w:vAlign w:val="bottom"/>
          </w:tcPr>
          <w:p>
            <w:pPr>
              <w:jc w:val="right"/>
              <w:ind w:right="1571"/>
              <w:spacing w:after="0"/>
              <w:rPr>
                <w:sz w:val="20"/>
                <w:szCs w:val="20"/>
                <w:color w:val="auto"/>
              </w:rPr>
            </w:pPr>
            <w:r>
              <w:rPr>
                <w:rFonts w:ascii="Times New Roman" w:cs="Times New Roman" w:eastAsia="Times New Roman" w:hAnsi="Times New Roman"/>
                <w:sz w:val="14"/>
                <w:szCs w:val="14"/>
                <w:color w:val="auto"/>
              </w:rPr>
              <w:t>N/A</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6"/>
        </w:trPr>
        <w:tc>
          <w:tcPr>
            <w:tcW w:w="27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1640" w:type="dxa"/>
            <w:vAlign w:val="bottom"/>
            <w:tcBorders>
              <w:bottom w:val="single" w:sz="8" w:color="CCEEFF"/>
            </w:tcBorders>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May</w:t>
            </w:r>
          </w:p>
        </w:tc>
        <w:tc>
          <w:tcPr>
            <w:tcW w:w="1980" w:type="dxa"/>
            <w:vAlign w:val="bottom"/>
            <w:tcBorders>
              <w:bottom w:val="single" w:sz="8" w:color="CCEEFF"/>
            </w:tcBorders>
            <w:shd w:val="clear" w:color="auto" w:fill="CCEEFF"/>
          </w:tcPr>
          <w:p>
            <w:pPr>
              <w:spacing w:after="0"/>
              <w:rPr>
                <w:sz w:val="16"/>
                <w:szCs w:val="16"/>
                <w:color w:val="auto"/>
              </w:rPr>
            </w:pPr>
          </w:p>
        </w:tc>
        <w:tc>
          <w:tcPr>
            <w:tcW w:w="2480" w:type="dxa"/>
            <w:vAlign w:val="bottom"/>
            <w:tcBorders>
              <w:bottom w:val="single" w:sz="8" w:color="CCEEFF"/>
            </w:tcBorders>
            <w:shd w:val="clear" w:color="auto" w:fill="CCEEFF"/>
          </w:tcPr>
          <w:p>
            <w:pPr>
              <w:jc w:val="right"/>
              <w:ind w:right="1571"/>
              <w:spacing w:after="0"/>
              <w:rPr>
                <w:sz w:val="20"/>
                <w:szCs w:val="20"/>
                <w:color w:val="auto"/>
              </w:rPr>
            </w:pPr>
            <w:r>
              <w:rPr>
                <w:rFonts w:ascii="Times New Roman" w:cs="Times New Roman" w:eastAsia="Times New Roman" w:hAnsi="Times New Roman"/>
                <w:sz w:val="14"/>
                <w:szCs w:val="14"/>
                <w:color w:val="auto"/>
              </w:rPr>
              <w:t>October</w:t>
            </w:r>
          </w:p>
        </w:tc>
      </w:tr>
      <w:tr>
        <w:trPr>
          <w:trHeight w:val="155"/>
        </w:trPr>
        <w:tc>
          <w:tcPr>
            <w:tcW w:w="272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Percentage Rent Reset Details</w:t>
            </w:r>
          </w:p>
        </w:tc>
        <w:tc>
          <w:tcPr>
            <w:tcW w:w="16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186"/>
        </w:trPr>
        <w:tc>
          <w:tcPr>
            <w:tcW w:w="27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1640" w:type="dxa"/>
            <w:vAlign w:val="bottom"/>
            <w:tcBorders>
              <w:bottom w:val="single" w:sz="8" w:color="CCEEFF"/>
            </w:tcBorders>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2 years</w:t>
            </w:r>
          </w:p>
        </w:tc>
        <w:tc>
          <w:tcPr>
            <w:tcW w:w="1980" w:type="dxa"/>
            <w:vAlign w:val="bottom"/>
            <w:tcBorders>
              <w:bottom w:val="single" w:sz="8" w:color="CCEEFF"/>
            </w:tcBorders>
            <w:shd w:val="clear" w:color="auto" w:fill="CCEEFF"/>
          </w:tcPr>
          <w:p>
            <w:pPr>
              <w:spacing w:after="0"/>
              <w:rPr>
                <w:sz w:val="16"/>
                <w:szCs w:val="16"/>
                <w:color w:val="auto"/>
              </w:rPr>
            </w:pPr>
          </w:p>
        </w:tc>
        <w:tc>
          <w:tcPr>
            <w:tcW w:w="2480" w:type="dxa"/>
            <w:vAlign w:val="bottom"/>
            <w:tcBorders>
              <w:bottom w:val="single" w:sz="8" w:color="CCEEFF"/>
            </w:tcBorders>
            <w:shd w:val="clear" w:color="auto" w:fill="CCEEFF"/>
          </w:tcPr>
          <w:p>
            <w:pPr>
              <w:jc w:val="right"/>
              <w:ind w:right="1571"/>
              <w:spacing w:after="0"/>
              <w:rPr>
                <w:sz w:val="20"/>
                <w:szCs w:val="20"/>
                <w:color w:val="auto"/>
              </w:rPr>
            </w:pPr>
            <w:r>
              <w:rPr>
                <w:rFonts w:ascii="Times New Roman" w:cs="Times New Roman" w:eastAsia="Times New Roman" w:hAnsi="Times New Roman"/>
                <w:sz w:val="14"/>
                <w:szCs w:val="14"/>
                <w:color w:val="auto"/>
              </w:rPr>
              <w:t>N/A</w:t>
            </w:r>
          </w:p>
        </w:tc>
      </w:tr>
      <w:tr>
        <w:trPr>
          <w:trHeight w:val="184"/>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1640" w:type="dxa"/>
            <w:vAlign w:val="bottom"/>
          </w:tcPr>
          <w:p>
            <w:pPr>
              <w:spacing w:after="0"/>
              <w:rPr>
                <w:sz w:val="15"/>
                <w:szCs w:val="15"/>
                <w:color w:val="auto"/>
              </w:rPr>
            </w:pPr>
          </w:p>
        </w:tc>
        <w:tc>
          <w:tcPr>
            <w:tcW w:w="242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May 2028</w:t>
            </w:r>
          </w:p>
        </w:tc>
        <w:tc>
          <w:tcPr>
            <w:tcW w:w="1980" w:type="dxa"/>
            <w:vAlign w:val="bottom"/>
          </w:tcPr>
          <w:p>
            <w:pPr>
              <w:spacing w:after="0"/>
              <w:rPr>
                <w:sz w:val="15"/>
                <w:szCs w:val="15"/>
                <w:color w:val="auto"/>
              </w:rPr>
            </w:pPr>
          </w:p>
        </w:tc>
        <w:tc>
          <w:tcPr>
            <w:tcW w:w="2480" w:type="dxa"/>
            <w:vAlign w:val="bottom"/>
          </w:tcPr>
          <w:p>
            <w:pPr>
              <w:jc w:val="right"/>
              <w:ind w:right="1571"/>
              <w:spacing w:after="0"/>
              <w:rPr>
                <w:sz w:val="20"/>
                <w:szCs w:val="20"/>
                <w:color w:val="auto"/>
              </w:rPr>
            </w:pPr>
            <w:r>
              <w:rPr>
                <w:rFonts w:ascii="Times New Roman" w:cs="Times New Roman" w:eastAsia="Times New Roman" w:hAnsi="Times New Roman"/>
                <w:sz w:val="14"/>
                <w:szCs w:val="14"/>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205105</wp:posOffset>
            </wp:positionH>
            <wp:positionV relativeFrom="page">
              <wp:posOffset>890905</wp:posOffset>
            </wp:positionV>
            <wp:extent cx="7146925" cy="147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6925" cy="147320"/>
                    </a:xfrm>
                    <a:prstGeom prst="rect">
                      <a:avLst/>
                    </a:prstGeom>
                    <a:noFill/>
                  </pic:spPr>
                </pic:pic>
              </a:graphicData>
            </a:graphic>
          </wp:anchor>
        </w:drawing>
        <w:t>Master Leases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10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Pennsylvania Live! Master Lease</w:t>
            </w:r>
          </w:p>
        </w:tc>
        <w:tc>
          <w:tcPr>
            <w:tcW w:w="440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Strategic Gaming Leases (1)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28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Cordish</w:t>
            </w:r>
          </w:p>
        </w:tc>
        <w:tc>
          <w:tcPr>
            <w:tcW w:w="130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1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7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28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Live! Casino &amp; Hotel Philadelphia</w:t>
            </w:r>
          </w:p>
        </w:tc>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Philadelphia, PA</w:t>
            </w:r>
          </w:p>
        </w:tc>
        <w:tc>
          <w:tcPr>
            <w:tcW w:w="2760" w:type="dxa"/>
            <w:vAlign w:val="bottom"/>
          </w:tcPr>
          <w:p>
            <w:pPr>
              <w:ind w:left="360"/>
              <w:spacing w:after="0" w:line="147" w:lineRule="exact"/>
              <w:rPr>
                <w:sz w:val="20"/>
                <w:szCs w:val="20"/>
                <w:color w:val="auto"/>
              </w:rPr>
            </w:pPr>
            <w:r>
              <w:rPr>
                <w:rFonts w:ascii="Times New Roman" w:cs="Times New Roman" w:eastAsia="Times New Roman" w:hAnsi="Times New Roman"/>
                <w:sz w:val="14"/>
                <w:szCs w:val="14"/>
                <w:color w:val="auto"/>
              </w:rPr>
              <w:t>Silverado Franklin Hotel &amp; Gaming</w:t>
            </w: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Deadwood, SD</w:t>
            </w:r>
          </w:p>
        </w:tc>
        <w:tc>
          <w:tcPr>
            <w:tcW w:w="0" w:type="dxa"/>
            <w:vAlign w:val="bottom"/>
          </w:tcPr>
          <w:p>
            <w:pPr>
              <w:spacing w:after="0"/>
              <w:rPr>
                <w:sz w:val="1"/>
                <w:szCs w:val="1"/>
                <w:color w:val="auto"/>
              </w:rPr>
            </w:pPr>
          </w:p>
        </w:tc>
      </w:tr>
      <w:tr>
        <w:trPr>
          <w:trHeight w:val="183"/>
        </w:trPr>
        <w:tc>
          <w:tcPr>
            <w:tcW w:w="2740" w:type="dxa"/>
            <w:vAlign w:val="bottom"/>
            <w:gridSpan w:val="4"/>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2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Complex</w:t>
            </w: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Live! Casino Pittsburgh</w:t>
            </w:r>
          </w:p>
        </w:tc>
        <w:tc>
          <w:tcPr>
            <w:tcW w:w="1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Greensburg, PA</w:t>
            </w:r>
          </w:p>
        </w:tc>
        <w:tc>
          <w:tcPr>
            <w:tcW w:w="2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Deadwood Mountain Grand Casino</w:t>
            </w:r>
          </w:p>
        </w:tc>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Deadwood, SD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Baldini's Casino</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Sparks, NV</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8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Sunland Park Race Track &amp; Casino</w:t>
            </w:r>
          </w:p>
        </w:tc>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Sunland Park, NM</w:t>
            </w:r>
          </w:p>
        </w:tc>
        <w:tc>
          <w:tcPr>
            <w:tcW w:w="0" w:type="dxa"/>
            <w:vAlign w:val="bottom"/>
          </w:tcPr>
          <w:p>
            <w:pPr>
              <w:spacing w:after="0"/>
              <w:rPr>
                <w:sz w:val="1"/>
                <w:szCs w:val="1"/>
                <w:color w:val="auto"/>
              </w:rPr>
            </w:pPr>
          </w:p>
        </w:tc>
      </w:tr>
      <w:tr>
        <w:trPr>
          <w:trHeight w:val="184"/>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3/1/2022</w:t>
            </w:r>
          </w:p>
        </w:tc>
        <w:tc>
          <w:tcPr>
            <w:tcW w:w="1300" w:type="dxa"/>
            <w:vAlign w:val="bottom"/>
          </w:tcPr>
          <w:p>
            <w:pPr>
              <w:spacing w:after="0"/>
              <w:rPr>
                <w:sz w:val="15"/>
                <w:szCs w:val="15"/>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5/16/2024</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2/28/2061</w:t>
            </w:r>
          </w:p>
        </w:tc>
        <w:tc>
          <w:tcPr>
            <w:tcW w:w="130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5/31/2049</w:t>
            </w:r>
          </w:p>
        </w:tc>
        <w:tc>
          <w:tcPr>
            <w:tcW w:w="1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(1x11 years, 1x10 years)</w:t>
            </w:r>
          </w:p>
        </w:tc>
        <w:tc>
          <w:tcPr>
            <w:tcW w:w="1300" w:type="dxa"/>
            <w:vAlign w:val="bottom"/>
          </w:tcPr>
          <w:p>
            <w:pPr>
              <w:spacing w:after="0"/>
              <w:rPr>
                <w:sz w:val="15"/>
                <w:szCs w:val="15"/>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(2x10 years)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No</w:t>
            </w:r>
          </w:p>
        </w:tc>
        <w:tc>
          <w:tcPr>
            <w:tcW w:w="130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Master Lease with Cross Collateralization</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00" w:type="dxa"/>
            <w:vAlign w:val="bottom"/>
          </w:tcPr>
          <w:p>
            <w:pPr>
              <w:spacing w:after="0"/>
              <w:rPr>
                <w:sz w:val="15"/>
                <w:szCs w:val="15"/>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0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300" w:type="dxa"/>
            <w:vAlign w:val="bottom"/>
          </w:tcPr>
          <w:p>
            <w:pPr>
              <w:spacing w:after="0"/>
              <w:rPr>
                <w:sz w:val="15"/>
                <w:szCs w:val="15"/>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(2)</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0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4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Escalator Details</w:t>
            </w:r>
          </w:p>
        </w:tc>
        <w:tc>
          <w:tcPr>
            <w:tcW w:w="2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7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130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(2)</w:t>
            </w:r>
          </w:p>
        </w:tc>
        <w:tc>
          <w:tcPr>
            <w:tcW w:w="1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Coverage ratio at June 30, 2026</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300" w:type="dxa"/>
            <w:vAlign w:val="bottom"/>
          </w:tcPr>
          <w:p>
            <w:pPr>
              <w:spacing w:after="0"/>
              <w:rPr>
                <w:sz w:val="15"/>
                <w:szCs w:val="15"/>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 (3)</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0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w:t>
            </w:r>
          </w:p>
        </w:tc>
        <w:tc>
          <w:tcPr>
            <w:tcW w:w="1300" w:type="dxa"/>
            <w:vAlign w:val="bottom"/>
          </w:tcPr>
          <w:p>
            <w:pPr>
              <w:spacing w:after="0"/>
              <w:rPr>
                <w:sz w:val="15"/>
                <w:szCs w:val="15"/>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auto"/>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7"/>
              </w:rPr>
              <w:t>Percentage Rent Reset Details</w:t>
            </w:r>
          </w:p>
        </w:tc>
        <w:tc>
          <w:tcPr>
            <w:tcW w:w="960" w:type="dxa"/>
            <w:vAlign w:val="bottom"/>
            <w:tcBorders>
              <w:bottom w:val="single" w:sz="8" w:color="CCEEFF"/>
            </w:tcBorders>
            <w:shd w:val="clear" w:color="auto" w:fill="CCEEFF"/>
          </w:tcPr>
          <w:p>
            <w:pPr>
              <w:spacing w:after="0"/>
              <w:rPr>
                <w:sz w:val="16"/>
                <w:szCs w:val="16"/>
                <w:color w:val="auto"/>
              </w:rPr>
            </w:pPr>
          </w:p>
        </w:tc>
        <w:tc>
          <w:tcPr>
            <w:tcW w:w="28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00" w:type="dxa"/>
            <w:vAlign w:val="bottom"/>
          </w:tcPr>
          <w:p>
            <w:pPr>
              <w:spacing w:after="0"/>
              <w:rPr>
                <w:sz w:val="15"/>
                <w:szCs w:val="15"/>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00" w:type="dxa"/>
            <w:vAlign w:val="bottom"/>
            <w:shd w:val="clear" w:color="auto" w:fill="CCEEFF"/>
          </w:tcPr>
          <w:p>
            <w:pPr>
              <w:spacing w:after="0"/>
              <w:rPr>
                <w:sz w:val="15"/>
                <w:szCs w:val="15"/>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300" w:hanging="297"/>
        <w:spacing w:after="0"/>
        <w:tabs>
          <w:tab w:leader="none" w:pos="30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Consists of two leases that are cross collateralized and co-terminus with each other.</w:t>
      </w:r>
    </w:p>
    <w:p>
      <w:pPr>
        <w:spacing w:after="0" w:line="112" w:lineRule="exact"/>
        <w:rPr>
          <w:rFonts w:ascii="Times New Roman" w:cs="Times New Roman" w:eastAsia="Times New Roman" w:hAnsi="Times New Roman"/>
          <w:sz w:val="22"/>
          <w:szCs w:val="22"/>
          <w:color w:val="auto"/>
          <w:vertAlign w:val="superscript"/>
        </w:rPr>
      </w:pPr>
    </w:p>
    <w:p>
      <w:pPr>
        <w:ind w:left="620" w:hanging="617"/>
        <w:spacing w:after="0" w:line="222" w:lineRule="auto"/>
        <w:tabs>
          <w:tab w:leader="none" w:pos="243"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default adjusted revenue to rent coverage declines to 1.25 if the tenant's adjusted revenues total $75 million or more. Annual rent escalates at 2% beginning in year three of the lease and in year 11 escalates based on the greater of 2% or CPI, capped at 2.5%.</w:t>
      </w:r>
    </w:p>
    <w:p>
      <w:pPr>
        <w:spacing w:after="0" w:line="83" w:lineRule="exact"/>
        <w:rPr>
          <w:rFonts w:ascii="Times New Roman" w:cs="Times New Roman" w:eastAsia="Times New Roman" w:hAnsi="Times New Roman"/>
          <w:sz w:val="22"/>
          <w:szCs w:val="22"/>
          <w:color w:val="auto"/>
          <w:vertAlign w:val="superscript"/>
        </w:rPr>
      </w:pPr>
    </w:p>
    <w:p>
      <w:pPr>
        <w:ind w:left="240" w:hanging="237"/>
        <w:spacing w:after="0"/>
        <w:tabs>
          <w:tab w:leader="none" w:pos="24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Coverage ratio above is pro forma for the acquisition of the real estate assets of Sunland Park which closed on October 15,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jc w:val="center"/>
        <w:ind w:right="503"/>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598170</wp:posOffset>
            </wp:positionH>
            <wp:positionV relativeFrom="page">
              <wp:posOffset>719455</wp:posOffset>
            </wp:positionV>
            <wp:extent cx="6024880" cy="147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24880" cy="147320"/>
                    </a:xfrm>
                    <a:prstGeom prst="rect">
                      <a:avLst/>
                    </a:prstGeom>
                    <a:noFill/>
                  </pic:spPr>
                </pic:pic>
              </a:graphicData>
            </a:graphic>
          </wp:anchor>
        </w:drawing>
        <w:t>Single Property Leases</w:t>
      </w:r>
    </w:p>
    <w:p>
      <w:pPr>
        <w:spacing w:after="0" w:line="58" w:lineRule="exact"/>
        <w:rPr>
          <w:sz w:val="20"/>
          <w:szCs w:val="20"/>
          <w:color w:val="auto"/>
        </w:rPr>
      </w:pPr>
    </w:p>
    <w:tbl>
      <w:tblPr>
        <w:tblLayout w:type="fixed"/>
        <w:tblInd w:w="617"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940" w:type="dxa"/>
            <w:vAlign w:val="bottom"/>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w w:val="97"/>
              </w:rPr>
              <w:t>Belterra Park Lease</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Horseshoe St Louis Lease</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Morgantown Lease</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86"/>
        </w:trPr>
        <w:tc>
          <w:tcPr>
            <w:tcW w:w="27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294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w w:val="96"/>
              </w:rPr>
              <w:t>Boyd</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Caesars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PENN</w:t>
            </w:r>
          </w:p>
        </w:tc>
      </w:tr>
      <w:tr>
        <w:trPr>
          <w:trHeight w:val="184"/>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294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98"/>
              </w:rPr>
              <w:t>Belterra Park Gaming &amp; Entertainment Center</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Horseshoe St. Louis</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Hollywood Casino Morgantown</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940" w:type="dxa"/>
            <w:vAlign w:val="bottom"/>
            <w:tcBorders>
              <w:bottom w:val="single" w:sz="8" w:color="CCEEFF"/>
            </w:tcBorders>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8"/>
              </w:rPr>
              <w:t>Cincinnati, OH</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St. Louis, MO</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Morgantown, PA</w:t>
            </w:r>
          </w:p>
        </w:tc>
      </w:tr>
      <w:tr>
        <w:trPr>
          <w:trHeight w:val="184"/>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294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7"/>
              </w:rPr>
              <w:t>10/15/2018</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9/29/2020</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10/1/2020</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86"/>
        </w:trPr>
        <w:tc>
          <w:tcPr>
            <w:tcW w:w="27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294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7"/>
              </w:rPr>
              <w:t>04/30/2031</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10/31/2033</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10/31/2040</w:t>
            </w:r>
          </w:p>
        </w:tc>
      </w:tr>
      <w:tr>
        <w:trPr>
          <w:trHeight w:val="184"/>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294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98"/>
              </w:rPr>
              <w:t>20 (4x5 years)</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20 (4x5 years)</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30 (6x5 years)</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86"/>
        </w:trPr>
        <w:tc>
          <w:tcPr>
            <w:tcW w:w="27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2940" w:type="dxa"/>
            <w:vAlign w:val="bottom"/>
            <w:tcBorders>
              <w:bottom w:val="single" w:sz="8" w:color="CCEEFF"/>
            </w:tcBorders>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3"/>
              </w:rPr>
              <w:t>No</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r>
      <w:tr>
        <w:trPr>
          <w:trHeight w:val="184"/>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294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91"/>
              </w:rPr>
              <w:t>Yes</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86"/>
        </w:trPr>
        <w:tc>
          <w:tcPr>
            <w:tcW w:w="27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294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rPr>
              <w:t>1.4</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r>
      <w:tr>
        <w:trPr>
          <w:trHeight w:val="184"/>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294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91"/>
              </w:rPr>
              <w:t>Yes</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55"/>
        </w:trPr>
        <w:tc>
          <w:tcPr>
            <w:tcW w:w="2700" w:type="dxa"/>
            <w:vAlign w:val="bottom"/>
            <w:gridSpan w:val="4"/>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Escalator Details</w:t>
            </w:r>
          </w:p>
        </w:tc>
        <w:tc>
          <w:tcPr>
            <w:tcW w:w="294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auto"/>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94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r>
      <w:tr>
        <w:trPr>
          <w:trHeight w:val="206"/>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294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6"/>
              </w:rPr>
              <w:t>2%</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 xml:space="preserve">1.75% </w:t>
            </w:r>
            <w:r>
              <w:rPr>
                <w:rFonts w:ascii="Times New Roman" w:cs="Times New Roman" w:eastAsia="Times New Roman" w:hAnsi="Times New Roman"/>
                <w:sz w:val="17"/>
                <w:szCs w:val="17"/>
                <w:color w:val="auto"/>
                <w:w w:val="94"/>
                <w:vertAlign w:val="superscript"/>
              </w:rPr>
              <w:t>(1)</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 xml:space="preserve">1.25% </w:t>
            </w:r>
            <w:r>
              <w:rPr>
                <w:rFonts w:ascii="Times New Roman" w:cs="Times New Roman" w:eastAsia="Times New Roman" w:hAnsi="Times New Roman"/>
                <w:sz w:val="17"/>
                <w:szCs w:val="17"/>
                <w:color w:val="auto"/>
                <w:w w:val="94"/>
                <w:vertAlign w:val="superscript"/>
              </w:rPr>
              <w:t>(2)</w:t>
            </w:r>
          </w:p>
        </w:tc>
      </w:tr>
      <w:tr>
        <w:trPr>
          <w:trHeight w:val="186"/>
        </w:trPr>
        <w:tc>
          <w:tcPr>
            <w:tcW w:w="27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Coverage ratio at June 30, 2026</w:t>
            </w:r>
          </w:p>
        </w:tc>
        <w:tc>
          <w:tcPr>
            <w:tcW w:w="2940" w:type="dxa"/>
            <w:vAlign w:val="bottom"/>
            <w:tcBorders>
              <w:bottom w:val="single" w:sz="8" w:color="CCEEFF"/>
            </w:tcBorders>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7"/>
              </w:rPr>
              <w:t>3.27</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2.03</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r>
      <w:tr>
        <w:trPr>
          <w:trHeight w:val="184"/>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294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rPr>
              <w:t>1.8</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86"/>
        </w:trPr>
        <w:tc>
          <w:tcPr>
            <w:tcW w:w="27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294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rPr>
              <w:t>May</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October</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December</w:t>
            </w:r>
          </w:p>
        </w:tc>
      </w:tr>
      <w:tr>
        <w:trPr>
          <w:trHeight w:val="155"/>
        </w:trPr>
        <w:tc>
          <w:tcPr>
            <w:tcW w:w="270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Percentage Rent Reset Details</w:t>
            </w:r>
          </w:p>
        </w:tc>
        <w:tc>
          <w:tcPr>
            <w:tcW w:w="29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186"/>
        </w:trPr>
        <w:tc>
          <w:tcPr>
            <w:tcW w:w="27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2940" w:type="dxa"/>
            <w:vAlign w:val="bottom"/>
            <w:tcBorders>
              <w:bottom w:val="single" w:sz="8" w:color="CCEEFF"/>
            </w:tcBorders>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9"/>
              </w:rPr>
              <w:t>2 years</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r>
      <w:tr>
        <w:trPr>
          <w:trHeight w:val="184"/>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294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97"/>
              </w:rPr>
              <w:t>May 2028</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r>
    </w:tbl>
    <w:p>
      <w:pPr>
        <w:spacing w:after="0" w:line="298" w:lineRule="exact"/>
        <w:rPr>
          <w:sz w:val="20"/>
          <w:szCs w:val="20"/>
          <w:color w:val="auto"/>
        </w:rPr>
      </w:pPr>
    </w:p>
    <w:p>
      <w:pPr>
        <w:ind w:left="237" w:hanging="237"/>
        <w:spacing w:after="0"/>
        <w:tabs>
          <w:tab w:leader="none" w:pos="237"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sixth and seventh lease years, after which time the annual escalation becomes 2% for the remaining term of the lease.</w:t>
      </w:r>
    </w:p>
    <w:p>
      <w:pPr>
        <w:spacing w:after="0" w:line="215" w:lineRule="exact"/>
        <w:rPr>
          <w:rFonts w:ascii="Times New Roman" w:cs="Times New Roman" w:eastAsia="Times New Roman" w:hAnsi="Times New Roman"/>
          <w:sz w:val="22"/>
          <w:szCs w:val="22"/>
          <w:color w:val="auto"/>
          <w:vertAlign w:val="superscript"/>
        </w:rPr>
      </w:pPr>
    </w:p>
    <w:p>
      <w:pPr>
        <w:ind w:left="617" w:hanging="617"/>
        <w:spacing w:after="0" w:line="229" w:lineRule="auto"/>
        <w:tabs>
          <w:tab w:leader="none" w:pos="265"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CPI increase is at least 0.5% for any lease year, the rent for such lease year shall increase by 1.25% of rent as of the immediately preceding lease year, and if the CPI increase is less than 0.5% for such lease year, then the rent shall not increase for such lease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37"/>
          </w:cols>
          <w:pgMar w:left="323" w:top="1146" w:right="339" w:bottom="1440" w:gutter="0" w:footer="0" w:header="0"/>
        </w:sectPr>
      </w:pPr>
    </w:p>
    <w:bookmarkStart w:id="44" w:name="page45"/>
    <w:bookmarkEnd w:id="44"/>
    <w:p>
      <w:pPr>
        <w:ind w:left="4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598170</wp:posOffset>
            </wp:positionH>
            <wp:positionV relativeFrom="page">
              <wp:posOffset>719455</wp:posOffset>
            </wp:positionV>
            <wp:extent cx="5288280" cy="147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88280" cy="147320"/>
                    </a:xfrm>
                    <a:prstGeom prst="rect">
                      <a:avLst/>
                    </a:prstGeom>
                    <a:noFill/>
                  </pic:spPr>
                </pic:pic>
              </a:graphicData>
            </a:graphic>
          </wp:anchor>
        </w:drawing>
        <w:t>Single Property Leases</w:t>
      </w:r>
    </w:p>
    <w:p>
      <w:pPr>
        <w:spacing w:after="0" w:line="58"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60" w:type="dxa"/>
            <w:vAlign w:val="bottom"/>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w w:val="98"/>
              </w:rPr>
              <w:t>MD Live! Lease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Tropicana Lease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Tioga Downs Lease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0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2060" w:type="dxa"/>
            <w:vAlign w:val="bottom"/>
            <w:vMerge w:val="restart"/>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w w:val="95"/>
              </w:rPr>
              <w:t>Cordish</w:t>
            </w:r>
          </w:p>
        </w:tc>
        <w:tc>
          <w:tcPr>
            <w:tcW w:w="1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Bally's</w:t>
            </w:r>
          </w:p>
        </w:tc>
        <w:tc>
          <w:tcPr>
            <w:tcW w:w="176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American Racing and</w:t>
            </w:r>
          </w:p>
        </w:tc>
        <w:tc>
          <w:tcPr>
            <w:tcW w:w="0" w:type="dxa"/>
            <w:vAlign w:val="bottom"/>
          </w:tcPr>
          <w:p>
            <w:pPr>
              <w:spacing w:after="0"/>
              <w:rPr>
                <w:sz w:val="1"/>
                <w:szCs w:val="1"/>
                <w:color w:val="auto"/>
              </w:rPr>
            </w:pPr>
          </w:p>
        </w:tc>
      </w:tr>
      <w:tr>
        <w:trPr>
          <w:trHeight w:val="192"/>
        </w:trPr>
        <w:tc>
          <w:tcPr>
            <w:tcW w:w="2700" w:type="dxa"/>
            <w:vAlign w:val="bottom"/>
            <w:gridSpan w:val="4"/>
            <w:vMerge w:val="continue"/>
            <w:shd w:val="clear" w:color="auto" w:fill="CCEEFF"/>
          </w:tcPr>
          <w:p>
            <w:pPr>
              <w:spacing w:after="0"/>
              <w:rPr>
                <w:sz w:val="16"/>
                <w:szCs w:val="16"/>
                <w:color w:val="auto"/>
              </w:rPr>
            </w:pPr>
          </w:p>
        </w:tc>
        <w:tc>
          <w:tcPr>
            <w:tcW w:w="2060" w:type="dxa"/>
            <w:vAlign w:val="bottom"/>
            <w:vMerge w:val="continue"/>
            <w:shd w:val="clear" w:color="auto" w:fill="CCEEFF"/>
          </w:tcPr>
          <w:p>
            <w:pPr>
              <w:spacing w:after="0"/>
              <w:rPr>
                <w:sz w:val="16"/>
                <w:szCs w:val="16"/>
                <w:color w:val="auto"/>
              </w:rPr>
            </w:pPr>
          </w:p>
        </w:tc>
        <w:tc>
          <w:tcPr>
            <w:tcW w:w="1800" w:type="dxa"/>
            <w:vAlign w:val="bottom"/>
            <w:vMerge w:val="continue"/>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Entertainment</w:t>
            </w:r>
          </w:p>
        </w:tc>
        <w:tc>
          <w:tcPr>
            <w:tcW w:w="0" w:type="dxa"/>
            <w:vAlign w:val="bottom"/>
          </w:tcPr>
          <w:p>
            <w:pPr>
              <w:spacing w:after="0"/>
              <w:rPr>
                <w:sz w:val="1"/>
                <w:szCs w:val="1"/>
                <w:color w:val="auto"/>
              </w:rPr>
            </w:pPr>
          </w:p>
        </w:tc>
      </w:tr>
      <w:tr>
        <w:trPr>
          <w:trHeight w:val="184"/>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20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7"/>
              </w:rPr>
              <w:t>Live! Casino &amp; Hotel Maryland</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Tropicana Las Vegas</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Tioga Downs</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7"/>
              </w:rPr>
              <w:t>Hanover, MD</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Las Vegas, NV</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Nichols, NY</w:t>
            </w:r>
          </w:p>
        </w:tc>
        <w:tc>
          <w:tcPr>
            <w:tcW w:w="0" w:type="dxa"/>
            <w:vAlign w:val="bottom"/>
          </w:tcPr>
          <w:p>
            <w:pPr>
              <w:spacing w:after="0"/>
              <w:rPr>
                <w:sz w:val="1"/>
                <w:szCs w:val="1"/>
                <w:color w:val="auto"/>
              </w:rPr>
            </w:pPr>
          </w:p>
        </w:tc>
      </w:tr>
      <w:tr>
        <w:trPr>
          <w:trHeight w:val="184"/>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206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7"/>
              </w:rPr>
              <w:t>12/29/2021</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9/26/2022</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2/6/2024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206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7"/>
              </w:rPr>
              <w:t>12/31/2060</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9/25/2072</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2/28/2054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98"/>
              </w:rPr>
              <w:t>32 years and 10 months (2x10</w:t>
            </w:r>
          </w:p>
        </w:tc>
        <w:tc>
          <w:tcPr>
            <w:tcW w:w="0" w:type="dxa"/>
            <w:vAlign w:val="bottom"/>
          </w:tcPr>
          <w:p>
            <w:pPr>
              <w:spacing w:after="0"/>
              <w:rPr>
                <w:sz w:val="1"/>
                <w:szCs w:val="1"/>
                <w:color w:val="auto"/>
              </w:rPr>
            </w:pPr>
          </w:p>
        </w:tc>
      </w:tr>
      <w:tr>
        <w:trPr>
          <w:trHeight w:val="136"/>
        </w:trPr>
        <w:tc>
          <w:tcPr>
            <w:tcW w:w="2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2060" w:type="dxa"/>
            <w:vAlign w:val="bottom"/>
            <w:vMerge w:val="restart"/>
          </w:tcPr>
          <w:p>
            <w:pPr>
              <w:jc w:val="center"/>
              <w:ind w:left="51"/>
              <w:spacing w:after="0"/>
              <w:rPr>
                <w:sz w:val="20"/>
                <w:szCs w:val="20"/>
                <w:color w:val="auto"/>
              </w:rPr>
            </w:pPr>
            <w:r>
              <w:rPr>
                <w:rFonts w:ascii="Times New Roman" w:cs="Times New Roman" w:eastAsia="Times New Roman" w:hAnsi="Times New Roman"/>
                <w:sz w:val="14"/>
                <w:szCs w:val="14"/>
                <w:color w:val="auto"/>
                <w:w w:val="98"/>
              </w:rPr>
              <w:t>21 (1x11 years, 1x10 years)</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49 (1 x 24 years, 1 x 25 years)</w:t>
            </w:r>
          </w:p>
        </w:tc>
        <w:tc>
          <w:tcPr>
            <w:tcW w:w="17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7"/>
              </w:rPr>
              <w:t>years, 1x12 years and 10</w:t>
            </w:r>
          </w:p>
        </w:tc>
        <w:tc>
          <w:tcPr>
            <w:tcW w:w="0" w:type="dxa"/>
            <w:vAlign w:val="bottom"/>
          </w:tcPr>
          <w:p>
            <w:pPr>
              <w:spacing w:after="0"/>
              <w:rPr>
                <w:sz w:val="1"/>
                <w:szCs w:val="1"/>
                <w:color w:val="auto"/>
              </w:rPr>
            </w:pPr>
          </w:p>
        </w:tc>
      </w:tr>
      <w:tr>
        <w:trPr>
          <w:trHeight w:val="186"/>
        </w:trPr>
        <w:tc>
          <w:tcPr>
            <w:tcW w:w="2700" w:type="dxa"/>
            <w:vAlign w:val="bottom"/>
            <w:gridSpan w:val="4"/>
            <w:vMerge w:val="continue"/>
          </w:tcPr>
          <w:p>
            <w:pPr>
              <w:spacing w:after="0"/>
              <w:rPr>
                <w:sz w:val="16"/>
                <w:szCs w:val="16"/>
                <w:color w:val="auto"/>
              </w:rPr>
            </w:pPr>
          </w:p>
        </w:tc>
        <w:tc>
          <w:tcPr>
            <w:tcW w:w="2060" w:type="dxa"/>
            <w:vAlign w:val="bottom"/>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months)</w:t>
            </w:r>
          </w:p>
        </w:tc>
        <w:tc>
          <w:tcPr>
            <w:tcW w:w="0" w:type="dxa"/>
            <w:vAlign w:val="bottom"/>
          </w:tcPr>
          <w:p>
            <w:pPr>
              <w:spacing w:after="0"/>
              <w:rPr>
                <w:sz w:val="1"/>
                <w:szCs w:val="1"/>
                <w:color w:val="auto"/>
              </w:rPr>
            </w:pPr>
          </w:p>
        </w:tc>
      </w:tr>
      <w:tr>
        <w:trPr>
          <w:trHeight w:val="194"/>
        </w:trPr>
        <w:tc>
          <w:tcPr>
            <w:tcW w:w="27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206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rPr>
              <w:t>No</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0" w:type="dxa"/>
            <w:vAlign w:val="bottom"/>
          </w:tcPr>
          <w:p>
            <w:pPr>
              <w:spacing w:after="0"/>
              <w:rPr>
                <w:sz w:val="1"/>
                <w:szCs w:val="1"/>
                <w:color w:val="auto"/>
              </w:rPr>
            </w:pPr>
          </w:p>
        </w:tc>
      </w:tr>
      <w:tr>
        <w:trPr>
          <w:trHeight w:val="184"/>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20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1"/>
              </w:rPr>
              <w:t>Yes</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206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rPr>
              <w:t>1.4</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1.35 (1)</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1.4</w:t>
            </w:r>
          </w:p>
        </w:tc>
        <w:tc>
          <w:tcPr>
            <w:tcW w:w="0" w:type="dxa"/>
            <w:vAlign w:val="bottom"/>
          </w:tcPr>
          <w:p>
            <w:pPr>
              <w:spacing w:after="0"/>
              <w:rPr>
                <w:sz w:val="1"/>
                <w:szCs w:val="1"/>
                <w:color w:val="auto"/>
              </w:rPr>
            </w:pPr>
          </w:p>
        </w:tc>
      </w:tr>
      <w:tr>
        <w:trPr>
          <w:trHeight w:val="184"/>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20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1"/>
              </w:rPr>
              <w:t>Yes</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00" w:type="dxa"/>
            <w:vAlign w:val="bottom"/>
            <w:gridSpan w:val="4"/>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Escalator Details</w:t>
            </w:r>
          </w:p>
        </w:tc>
        <w:tc>
          <w:tcPr>
            <w:tcW w:w="206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auto"/>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206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3"/>
              </w:rPr>
              <w:t>1.75%</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0"/>
              </w:rPr>
              <w:t xml:space="preserve">1.75% </w:t>
            </w:r>
            <w:r>
              <w:rPr>
                <w:rFonts w:ascii="Times New Roman" w:cs="Times New Roman" w:eastAsia="Times New Roman" w:hAnsi="Times New Roman"/>
                <w:sz w:val="17"/>
                <w:szCs w:val="17"/>
                <w:color w:val="auto"/>
                <w:w w:val="90"/>
                <w:vertAlign w:val="superscript"/>
              </w:rPr>
              <w:t>(3)</w:t>
            </w:r>
          </w:p>
        </w:tc>
        <w:tc>
          <w:tcPr>
            <w:tcW w:w="0" w:type="dxa"/>
            <w:vAlign w:val="bottom"/>
          </w:tcPr>
          <w:p>
            <w:pPr>
              <w:spacing w:after="0"/>
              <w:rPr>
                <w:sz w:val="1"/>
                <w:szCs w:val="1"/>
                <w:color w:val="auto"/>
              </w:rPr>
            </w:pPr>
          </w:p>
        </w:tc>
      </w:tr>
      <w:tr>
        <w:trPr>
          <w:trHeight w:val="186"/>
        </w:trPr>
        <w:tc>
          <w:tcPr>
            <w:tcW w:w="27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Coverage ratio at June 30, 2026</w:t>
            </w:r>
          </w:p>
        </w:tc>
        <w:tc>
          <w:tcPr>
            <w:tcW w:w="2060" w:type="dxa"/>
            <w:vAlign w:val="bottom"/>
            <w:tcBorders>
              <w:bottom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7"/>
              </w:rPr>
              <w:t>3.34</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1.99</w:t>
            </w:r>
          </w:p>
        </w:tc>
        <w:tc>
          <w:tcPr>
            <w:tcW w:w="0" w:type="dxa"/>
            <w:vAlign w:val="bottom"/>
          </w:tcPr>
          <w:p>
            <w:pPr>
              <w:spacing w:after="0"/>
              <w:rPr>
                <w:sz w:val="1"/>
                <w:szCs w:val="1"/>
                <w:color w:val="auto"/>
              </w:rPr>
            </w:pPr>
          </w:p>
        </w:tc>
      </w:tr>
      <w:tr>
        <w:trPr>
          <w:trHeight w:val="184"/>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20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9"/>
              </w:rPr>
              <w:t>N/A</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206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6"/>
              </w:rPr>
              <w:t>January</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October</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March</w:t>
            </w:r>
          </w:p>
        </w:tc>
        <w:tc>
          <w:tcPr>
            <w:tcW w:w="0" w:type="dxa"/>
            <w:vAlign w:val="bottom"/>
          </w:tcPr>
          <w:p>
            <w:pPr>
              <w:spacing w:after="0"/>
              <w:rPr>
                <w:sz w:val="1"/>
                <w:szCs w:val="1"/>
                <w:color w:val="auto"/>
              </w:rPr>
            </w:pPr>
          </w:p>
        </w:tc>
      </w:tr>
      <w:tr>
        <w:trPr>
          <w:trHeight w:val="155"/>
        </w:trPr>
        <w:tc>
          <w:tcPr>
            <w:tcW w:w="270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Percentage Rent Reset Details</w:t>
            </w:r>
          </w:p>
        </w:tc>
        <w:tc>
          <w:tcPr>
            <w:tcW w:w="20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7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2060" w:type="dxa"/>
            <w:vAlign w:val="bottom"/>
            <w:tcBorders>
              <w:bottom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9"/>
              </w:rPr>
              <w:t>N/A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4"/>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20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9"/>
              </w:rPr>
              <w:t>N/A</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ind w:left="620" w:hanging="617"/>
        <w:spacing w:after="0" w:line="222" w:lineRule="auto"/>
        <w:tabs>
          <w:tab w:leader="none" w:pos="256"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tenant's parent's net leverage is greater than 5.5 to 1, then the adjusted revenue to rent coverage for the last two consecutive test periods must be at least 1.35. If the tenant's parent's net leverage is equal to or less than 5.5 to 1, then the ratio shall be reduced to 1.2.</w:t>
      </w:r>
    </w:p>
    <w:p>
      <w:pPr>
        <w:spacing w:after="0" w:line="203" w:lineRule="exact"/>
        <w:rPr>
          <w:rFonts w:ascii="Times New Roman" w:cs="Times New Roman" w:eastAsia="Times New Roman" w:hAnsi="Times New Roman"/>
          <w:sz w:val="22"/>
          <w:szCs w:val="22"/>
          <w:color w:val="auto"/>
          <w:vertAlign w:val="superscript"/>
        </w:rPr>
      </w:pPr>
    </w:p>
    <w:p>
      <w:pPr>
        <w:ind w:left="620" w:hanging="617"/>
        <w:spacing w:after="0" w:line="229" w:lineRule="auto"/>
        <w:tabs>
          <w:tab w:leader="none" w:pos="243"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242" w:lineRule="exact"/>
        <w:rPr>
          <w:rFonts w:ascii="Times New Roman" w:cs="Times New Roman" w:eastAsia="Times New Roman" w:hAnsi="Times New Roman"/>
          <w:sz w:val="22"/>
          <w:szCs w:val="22"/>
          <w:color w:val="auto"/>
          <w:vertAlign w:val="superscript"/>
        </w:rPr>
      </w:pPr>
    </w:p>
    <w:p>
      <w:pPr>
        <w:ind w:left="620" w:hanging="617"/>
        <w:spacing w:after="0"/>
        <w:tabs>
          <w:tab w:leader="none" w:pos="281"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Increases by 1.75% beginning with the first anniversary and increases to 2% beginning in year fifteen of the lease through the remainder of the initial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45" w:name="page46"/>
    <w:bookmarkEnd w:id="45"/>
    <w:p>
      <w:pPr>
        <w:ind w:left="40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205105</wp:posOffset>
            </wp:positionH>
            <wp:positionV relativeFrom="page">
              <wp:posOffset>572135</wp:posOffset>
            </wp:positionV>
            <wp:extent cx="6033135" cy="147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3135" cy="147320"/>
                    </a:xfrm>
                    <a:prstGeom prst="rect">
                      <a:avLst/>
                    </a:prstGeom>
                    <a:noFill/>
                  </pic:spPr>
                </pic:pic>
              </a:graphicData>
            </a:graphic>
          </wp:anchor>
        </w:drawing>
        <w:t>Single Property Leases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40" w:type="dxa"/>
            <w:vAlign w:val="bottom"/>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7"/>
              </w:rPr>
              <w:t>Rockford Lease</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Bally's Chicago Lease</w:t>
            </w: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Virginia Live!</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86"/>
        </w:trPr>
        <w:tc>
          <w:tcPr>
            <w:tcW w:w="28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2140" w:type="dxa"/>
            <w:vAlign w:val="bottom"/>
            <w:tcBorders>
              <w:bottom w:val="single" w:sz="8" w:color="CCEEFF"/>
            </w:tcBorders>
            <w:shd w:val="clear" w:color="auto" w:fill="CCEEFF"/>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7"/>
              </w:rPr>
              <w:t>(managed by Hard Rock)</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Bally's</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Cordish</w:t>
            </w:r>
          </w:p>
        </w:tc>
      </w:tr>
      <w:tr>
        <w:trPr>
          <w:trHeight w:val="184"/>
        </w:trPr>
        <w:tc>
          <w:tcPr>
            <w:tcW w:w="28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214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7"/>
              </w:rPr>
              <w:t>Hard Rock Casino Rockford</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Bally's Chicago Development</w:t>
            </w: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Cordish Virginia Live! Development</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14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5"/>
                <w:szCs w:val="15"/>
                <w:color w:val="auto"/>
              </w:rPr>
              <w:t>Rockford, IL</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Chicago, IL</w:t>
            </w: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Petersburg, VA</w:t>
            </w:r>
          </w:p>
        </w:tc>
      </w:tr>
      <w:tr>
        <w:trPr>
          <w:trHeight w:val="184"/>
        </w:trPr>
        <w:tc>
          <w:tcPr>
            <w:tcW w:w="28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214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8"/>
              </w:rPr>
              <w:t>8/29/2023</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7/18/2025</w:t>
            </w: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1/15/2026</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86"/>
        </w:trPr>
        <w:tc>
          <w:tcPr>
            <w:tcW w:w="28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2140" w:type="dxa"/>
            <w:vAlign w:val="bottom"/>
            <w:tcBorders>
              <w:bottom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8"/>
              </w:rPr>
              <w:t>8/31/2122</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7/31/2040</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w:t>
            </w:r>
          </w:p>
        </w:tc>
      </w:tr>
      <w:tr>
        <w:trPr>
          <w:trHeight w:val="184"/>
        </w:trPr>
        <w:tc>
          <w:tcPr>
            <w:tcW w:w="28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214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2"/>
              </w:rPr>
              <w:t>None</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20 (4 x 5 years)</w:t>
            </w: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21 (1x11 years, 1x10 years)</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86"/>
        </w:trPr>
        <w:tc>
          <w:tcPr>
            <w:tcW w:w="28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2140" w:type="dxa"/>
            <w:vAlign w:val="bottom"/>
            <w:tcBorders>
              <w:bottom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No</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r>
      <w:tr>
        <w:trPr>
          <w:trHeight w:val="184"/>
        </w:trPr>
        <w:tc>
          <w:tcPr>
            <w:tcW w:w="28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214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1"/>
              </w:rPr>
              <w:t>Yes</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86"/>
        </w:trPr>
        <w:tc>
          <w:tcPr>
            <w:tcW w:w="28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2140" w:type="dxa"/>
            <w:vAlign w:val="bottom"/>
            <w:tcBorders>
              <w:bottom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1"/>
              </w:rPr>
              <w:t>1.4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1.35 (1)</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1.4</w:t>
            </w:r>
          </w:p>
        </w:tc>
      </w:tr>
      <w:tr>
        <w:trPr>
          <w:trHeight w:val="184"/>
        </w:trPr>
        <w:tc>
          <w:tcPr>
            <w:tcW w:w="28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214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1"/>
              </w:rPr>
              <w:t>Yes</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6"/>
              </w:rPr>
              <w:t>Escalator Details</w:t>
            </w:r>
          </w:p>
        </w:tc>
        <w:tc>
          <w:tcPr>
            <w:tcW w:w="1820" w:type="dxa"/>
            <w:vAlign w:val="bottom"/>
            <w:tcBorders>
              <w:bottom w:val="single" w:sz="8" w:color="CCEEFF"/>
            </w:tcBorders>
            <w:gridSpan w:val="2"/>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2460" w:type="dxa"/>
            <w:vAlign w:val="bottom"/>
            <w:tcBorders>
              <w:bottom w:val="single" w:sz="8" w:color="CCEEFF"/>
            </w:tcBorders>
            <w:shd w:val="clear" w:color="auto" w:fill="CCEEFF"/>
          </w:tcPr>
          <w:p>
            <w:pPr>
              <w:spacing w:after="0"/>
              <w:rPr>
                <w:sz w:val="16"/>
                <w:szCs w:val="16"/>
                <w:color w:val="auto"/>
              </w:rPr>
            </w:pPr>
          </w:p>
        </w:tc>
      </w:tr>
      <w:tr>
        <w:trPr>
          <w:trHeight w:val="184"/>
        </w:trPr>
        <w:tc>
          <w:tcPr>
            <w:tcW w:w="28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214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rPr>
              <w:t>2%</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1.75%</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86"/>
        </w:trPr>
        <w:tc>
          <w:tcPr>
            <w:tcW w:w="28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Coverage ratio at June 30, 2026</w:t>
            </w:r>
          </w:p>
        </w:tc>
        <w:tc>
          <w:tcPr>
            <w:tcW w:w="2140" w:type="dxa"/>
            <w:vAlign w:val="bottom"/>
            <w:tcBorders>
              <w:bottom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9"/>
              </w:rPr>
              <w:t>N/A</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r>
      <w:tr>
        <w:trPr>
          <w:trHeight w:val="184"/>
        </w:trPr>
        <w:tc>
          <w:tcPr>
            <w:tcW w:w="28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214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9"/>
              </w:rPr>
              <w:t>N/A</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86"/>
        </w:trPr>
        <w:tc>
          <w:tcPr>
            <w:tcW w:w="28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2140" w:type="dxa"/>
            <w:vAlign w:val="bottom"/>
            <w:tcBorders>
              <w:bottom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rPr>
              <w:t>September</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August</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w:t>
            </w:r>
          </w:p>
        </w:tc>
      </w:tr>
      <w:tr>
        <w:trPr>
          <w:trHeight w:val="155"/>
        </w:trPr>
        <w:tc>
          <w:tcPr>
            <w:tcW w:w="284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Percentage Rent Reset Details</w:t>
            </w:r>
          </w:p>
        </w:tc>
        <w:tc>
          <w:tcPr>
            <w:tcW w:w="21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186"/>
        </w:trPr>
        <w:tc>
          <w:tcPr>
            <w:tcW w:w="28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2140" w:type="dxa"/>
            <w:vAlign w:val="bottom"/>
            <w:tcBorders>
              <w:bottom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9"/>
              </w:rPr>
              <w:t>N/A</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r>
      <w:tr>
        <w:trPr>
          <w:trHeight w:val="184"/>
        </w:trPr>
        <w:tc>
          <w:tcPr>
            <w:tcW w:w="28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214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9"/>
              </w:rPr>
              <w:t>N/A</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r>
    </w:tbl>
    <w:p>
      <w:pPr>
        <w:spacing w:after="0" w:line="328" w:lineRule="exact"/>
        <w:rPr>
          <w:sz w:val="20"/>
          <w:szCs w:val="20"/>
          <w:color w:val="auto"/>
        </w:rPr>
      </w:pPr>
    </w:p>
    <w:p>
      <w:pPr>
        <w:ind w:left="620" w:hanging="617"/>
        <w:spacing w:after="0" w:line="229" w:lineRule="auto"/>
        <w:tabs>
          <w:tab w:leader="none" w:pos="256"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tenant's parent's net leverage is greater than 5.5 to 1, then the adjusted revenue to rent coverage for the last two consecutive test periods must be at least 1.35. If the tenant's parent's net leverage is equal to or less than 5.5 to 1, then the ratio shall be reduced to 1.2.</w:t>
      </w:r>
    </w:p>
    <w:p>
      <w:pPr>
        <w:spacing w:after="0" w:line="216" w:lineRule="exact"/>
        <w:rPr>
          <w:rFonts w:ascii="Times New Roman" w:cs="Times New Roman" w:eastAsia="Times New Roman" w:hAnsi="Times New Roman"/>
          <w:sz w:val="22"/>
          <w:szCs w:val="22"/>
          <w:color w:val="auto"/>
          <w:vertAlign w:val="superscript"/>
        </w:rPr>
      </w:pPr>
    </w:p>
    <w:p>
      <w:pPr>
        <w:ind w:left="620" w:hanging="617"/>
        <w:spacing w:after="0" w:line="229" w:lineRule="auto"/>
        <w:tabs>
          <w:tab w:leader="none" w:pos="243"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216" w:lineRule="exact"/>
        <w:rPr>
          <w:rFonts w:ascii="Times New Roman" w:cs="Times New Roman" w:eastAsia="Times New Roman" w:hAnsi="Times New Roman"/>
          <w:sz w:val="22"/>
          <w:szCs w:val="22"/>
          <w:color w:val="auto"/>
          <w:vertAlign w:val="superscript"/>
        </w:rPr>
      </w:pPr>
    </w:p>
    <w:p>
      <w:pPr>
        <w:ind w:left="620" w:hanging="617"/>
        <w:spacing w:after="0" w:line="243" w:lineRule="auto"/>
        <w:tabs>
          <w:tab w:leader="none" w:pos="32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construction period, amounts funded for the Virginia Live! development are accounted for as real estate loans because the lessee controls the underlying asset under construction. Upon completion of construction and when the facility is ready for its intended use, the Company will apply the sale and leaseback guidance to determine the appropriate lease classification. Pursuant to the lease agreement, the initial lease term expires on the last day of the calendar month in which the 39th anniversary of the facility's opening occurs, and annual rent escalations commence on the first anniversary of the facility's opening date. Accordingly, the lease expiration date and rent escalation anniversary date will be determined upon the facility's opening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i w:val="1"/>
          <w:iCs w:val="1"/>
          <w:color w:val="auto"/>
        </w:rPr>
        <w:t>Funding commitments</w:t>
      </w:r>
    </w:p>
    <w:p>
      <w:pPr>
        <w:spacing w:after="0" w:line="234" w:lineRule="exact"/>
        <w:rPr>
          <w:sz w:val="20"/>
          <w:szCs w:val="20"/>
          <w:color w:val="auto"/>
        </w:rPr>
      </w:pPr>
    </w:p>
    <w:p>
      <w:pPr>
        <w:jc w:val="both"/>
        <w:ind w:right="100" w:firstLine="619"/>
        <w:spacing w:after="0" w:line="264" w:lineRule="auto"/>
        <w:rPr>
          <w:sz w:val="20"/>
          <w:szCs w:val="20"/>
          <w:color w:val="auto"/>
        </w:rPr>
      </w:pPr>
      <w:r>
        <w:rPr>
          <w:rFonts w:ascii="Times New Roman" w:cs="Times New Roman" w:eastAsia="Times New Roman" w:hAnsi="Times New Roman"/>
          <w:sz w:val="17"/>
          <w:szCs w:val="17"/>
          <w:color w:val="auto"/>
        </w:rPr>
        <w:t>As of September 30, 2026, we have entered into various commitments or call rights to finance/acquire future investments in gaming and related facilities for our tenants. These are detailed in the table below. Our tenants retain the option to decline our financing for certain projects and may seek alternative financing solutions. The inclusion of a commitment in this disclosure does not guarantee that the financing will be utilized by the tenant in circumstances where a tenant has the option. See Note 1 in the Notes to the Condensed Consolidated Financial Statements for further details.</w:t>
      </w:r>
    </w:p>
    <w:p>
      <w:pPr>
        <w:spacing w:after="0" w:line="224"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7120" w:type="dxa"/>
            <w:vAlign w:val="bottom"/>
            <w:shd w:val="clear" w:color="auto" w:fill="CCEEFF"/>
          </w:tcPr>
          <w:p>
            <w:pPr>
              <w:spacing w:after="0"/>
              <w:rPr>
                <w:sz w:val="17"/>
                <w:szCs w:val="17"/>
                <w:color w:val="auto"/>
              </w:rPr>
            </w:pPr>
          </w:p>
        </w:tc>
        <w:tc>
          <w:tcPr>
            <w:tcW w:w="2020" w:type="dxa"/>
            <w:vAlign w:val="bottom"/>
            <w:shd w:val="clear" w:color="auto" w:fill="CCEEFF"/>
          </w:tcPr>
          <w:p>
            <w:pPr>
              <w:jc w:val="center"/>
              <w:ind w:left="574"/>
              <w:spacing w:after="0"/>
              <w:rPr>
                <w:sz w:val="20"/>
                <w:szCs w:val="20"/>
                <w:color w:val="auto"/>
              </w:rPr>
            </w:pPr>
            <w:r>
              <w:rPr>
                <w:rFonts w:ascii="Times New Roman" w:cs="Times New Roman" w:eastAsia="Times New Roman" w:hAnsi="Times New Roman"/>
                <w:sz w:val="17"/>
                <w:szCs w:val="17"/>
                <w:color w:val="auto"/>
                <w:w w:val="99"/>
              </w:rPr>
              <w:t>Estimated</w:t>
            </w:r>
          </w:p>
        </w:tc>
        <w:tc>
          <w:tcPr>
            <w:tcW w:w="1580" w:type="dxa"/>
            <w:vAlign w:val="bottom"/>
            <w:vMerge w:val="restart"/>
            <w:shd w:val="clear" w:color="auto" w:fill="CCEEFF"/>
          </w:tcPr>
          <w:p>
            <w:pPr>
              <w:jc w:val="center"/>
              <w:ind w:left="134"/>
              <w:spacing w:after="0"/>
              <w:rPr>
                <w:sz w:val="20"/>
                <w:szCs w:val="20"/>
                <w:color w:val="auto"/>
              </w:rPr>
            </w:pPr>
            <w:r>
              <w:rPr>
                <w:rFonts w:ascii="Times New Roman" w:cs="Times New Roman" w:eastAsia="Times New Roman" w:hAnsi="Times New Roman"/>
                <w:sz w:val="17"/>
                <w:szCs w:val="17"/>
                <w:color w:val="auto"/>
              </w:rPr>
              <w:t>Amount funded at</w:t>
            </w:r>
          </w:p>
        </w:tc>
        <w:tc>
          <w:tcPr>
            <w:tcW w:w="0" w:type="dxa"/>
            <w:vAlign w:val="bottom"/>
          </w:tcPr>
          <w:p>
            <w:pPr>
              <w:spacing w:after="0"/>
              <w:rPr>
                <w:sz w:val="1"/>
                <w:szCs w:val="1"/>
                <w:color w:val="auto"/>
              </w:rPr>
            </w:pPr>
          </w:p>
        </w:tc>
      </w:tr>
      <w:tr>
        <w:trPr>
          <w:trHeight w:val="168"/>
        </w:trPr>
        <w:tc>
          <w:tcPr>
            <w:tcW w:w="7120" w:type="dxa"/>
            <w:vAlign w:val="bottom"/>
            <w:shd w:val="clear" w:color="auto" w:fill="CCEEFF"/>
          </w:tcPr>
          <w:p>
            <w:pPr>
              <w:spacing w:after="0"/>
              <w:rPr>
                <w:sz w:val="14"/>
                <w:szCs w:val="14"/>
                <w:color w:val="auto"/>
              </w:rPr>
            </w:pPr>
          </w:p>
        </w:tc>
        <w:tc>
          <w:tcPr>
            <w:tcW w:w="2020" w:type="dxa"/>
            <w:vAlign w:val="bottom"/>
            <w:shd w:val="clear" w:color="auto" w:fill="CCEEFF"/>
          </w:tcPr>
          <w:p>
            <w:pPr>
              <w:jc w:val="center"/>
              <w:ind w:left="574"/>
              <w:spacing w:after="0" w:line="167" w:lineRule="exact"/>
              <w:rPr>
                <w:sz w:val="20"/>
                <w:szCs w:val="20"/>
                <w:color w:val="auto"/>
              </w:rPr>
            </w:pPr>
            <w:r>
              <w:rPr>
                <w:rFonts w:ascii="Times New Roman" w:cs="Times New Roman" w:eastAsia="Times New Roman" w:hAnsi="Times New Roman"/>
                <w:sz w:val="17"/>
                <w:szCs w:val="17"/>
                <w:color w:val="auto"/>
              </w:rPr>
              <w:t>Commitment</w:t>
            </w:r>
          </w:p>
        </w:tc>
        <w:tc>
          <w:tcPr>
            <w:tcW w:w="1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120" w:type="dxa"/>
            <w:vAlign w:val="bottom"/>
            <w:shd w:val="clear" w:color="auto" w:fill="CCEEFF"/>
          </w:tcPr>
          <w:p>
            <w:pPr>
              <w:ind w:left="3500"/>
              <w:spacing w:after="0"/>
              <w:rPr>
                <w:sz w:val="20"/>
                <w:szCs w:val="20"/>
                <w:color w:val="auto"/>
              </w:rPr>
            </w:pPr>
            <w:r>
              <w:rPr>
                <w:rFonts w:ascii="Times New Roman" w:cs="Times New Roman" w:eastAsia="Times New Roman" w:hAnsi="Times New Roman"/>
                <w:sz w:val="17"/>
                <w:szCs w:val="17"/>
                <w:color w:val="auto"/>
              </w:rPr>
              <w:t>Description</w:t>
            </w:r>
          </w:p>
        </w:tc>
        <w:tc>
          <w:tcPr>
            <w:tcW w:w="2020" w:type="dxa"/>
            <w:vAlign w:val="bottom"/>
            <w:shd w:val="clear" w:color="auto" w:fill="CCEEFF"/>
          </w:tcPr>
          <w:p>
            <w:pPr>
              <w:jc w:val="center"/>
              <w:ind w:left="574"/>
              <w:spacing w:after="0"/>
              <w:rPr>
                <w:sz w:val="20"/>
                <w:szCs w:val="20"/>
                <w:color w:val="auto"/>
              </w:rPr>
            </w:pPr>
            <w:r>
              <w:rPr>
                <w:rFonts w:ascii="Times New Roman" w:cs="Times New Roman" w:eastAsia="Times New Roman" w:hAnsi="Times New Roman"/>
                <w:sz w:val="17"/>
                <w:szCs w:val="17"/>
                <w:color w:val="auto"/>
              </w:rPr>
              <w:t>amount</w:t>
            </w:r>
          </w:p>
        </w:tc>
        <w:tc>
          <w:tcPr>
            <w:tcW w:w="158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September 30, 2026</w:t>
            </w:r>
          </w:p>
        </w:tc>
        <w:tc>
          <w:tcPr>
            <w:tcW w:w="0" w:type="dxa"/>
            <w:vAlign w:val="bottom"/>
          </w:tcPr>
          <w:p>
            <w:pPr>
              <w:spacing w:after="0"/>
              <w:rPr>
                <w:sz w:val="1"/>
                <w:szCs w:val="1"/>
                <w:color w:val="auto"/>
              </w:rPr>
            </w:pPr>
          </w:p>
        </w:tc>
      </w:tr>
      <w:tr>
        <w:trPr>
          <w:trHeight w:val="232"/>
        </w:trPr>
        <w:tc>
          <w:tcPr>
            <w:tcW w:w="7120" w:type="dxa"/>
            <w:vAlign w:val="bottom"/>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Funding associated with a landside move at Ameristar Casino Council Bluffs </w:t>
            </w:r>
            <w:r>
              <w:rPr>
                <w:rFonts w:ascii="Times New Roman" w:cs="Times New Roman" w:eastAsia="Times New Roman" w:hAnsi="Times New Roman"/>
                <w:sz w:val="22"/>
                <w:szCs w:val="22"/>
                <w:color w:val="auto"/>
                <w:vertAlign w:val="superscript"/>
              </w:rPr>
              <w:t>(1)</w:t>
            </w:r>
          </w:p>
        </w:tc>
        <w:tc>
          <w:tcPr>
            <w:tcW w:w="2020" w:type="dxa"/>
            <w:vAlign w:val="bottom"/>
          </w:tcPr>
          <w:p>
            <w:pPr>
              <w:jc w:val="center"/>
              <w:ind w:left="574"/>
              <w:spacing w:after="0"/>
              <w:rPr>
                <w:sz w:val="20"/>
                <w:szCs w:val="20"/>
                <w:color w:val="auto"/>
              </w:rPr>
            </w:pPr>
            <w:r>
              <w:rPr>
                <w:rFonts w:ascii="Times New Roman" w:cs="Times New Roman" w:eastAsia="Times New Roman" w:hAnsi="Times New Roman"/>
                <w:sz w:val="17"/>
                <w:szCs w:val="17"/>
                <w:color w:val="auto"/>
              </w:rPr>
              <w:t>$150 million</w:t>
            </w:r>
          </w:p>
        </w:tc>
        <w:tc>
          <w:tcPr>
            <w:tcW w:w="158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3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Potential transaction at the former Tropicana Las Vegas site with Bally's</w:t>
            </w:r>
          </w:p>
        </w:tc>
        <w:tc>
          <w:tcPr>
            <w:tcW w:w="2020" w:type="dxa"/>
            <w:vAlign w:val="bottom"/>
            <w:shd w:val="clear" w:color="auto" w:fill="CCEEFF"/>
          </w:tcPr>
          <w:p>
            <w:pPr>
              <w:jc w:val="center"/>
              <w:ind w:left="574"/>
              <w:spacing w:after="0"/>
              <w:rPr>
                <w:sz w:val="20"/>
                <w:szCs w:val="20"/>
                <w:color w:val="auto"/>
              </w:rPr>
            </w:pPr>
            <w:r>
              <w:rPr>
                <w:rFonts w:ascii="Times New Roman" w:cs="Times New Roman" w:eastAsia="Times New Roman" w:hAnsi="Times New Roman"/>
                <w:sz w:val="17"/>
                <w:szCs w:val="17"/>
                <w:color w:val="auto"/>
              </w:rPr>
              <w:t>$175 million</w:t>
            </w:r>
          </w:p>
        </w:tc>
        <w:tc>
          <w:tcPr>
            <w:tcW w:w="158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7"/>
                <w:szCs w:val="17"/>
                <w:color w:val="auto"/>
              </w:rPr>
              <w:t>$48.5 million</w:t>
            </w:r>
          </w:p>
        </w:tc>
        <w:tc>
          <w:tcPr>
            <w:tcW w:w="0" w:type="dxa"/>
            <w:vAlign w:val="bottom"/>
          </w:tcPr>
          <w:p>
            <w:pPr>
              <w:spacing w:after="0"/>
              <w:rPr>
                <w:sz w:val="1"/>
                <w:szCs w:val="1"/>
                <w:color w:val="auto"/>
              </w:rPr>
            </w:pPr>
          </w:p>
        </w:tc>
      </w:tr>
      <w:tr>
        <w:trPr>
          <w:trHeight w:val="232"/>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construction costs for Bally's Chicago</w:t>
            </w:r>
          </w:p>
        </w:tc>
        <w:tc>
          <w:tcPr>
            <w:tcW w:w="2020" w:type="dxa"/>
            <w:vAlign w:val="bottom"/>
          </w:tcPr>
          <w:p>
            <w:pPr>
              <w:jc w:val="center"/>
              <w:ind w:left="574"/>
              <w:spacing w:after="0"/>
              <w:rPr>
                <w:sz w:val="20"/>
                <w:szCs w:val="20"/>
                <w:color w:val="auto"/>
              </w:rPr>
            </w:pPr>
            <w:r>
              <w:rPr>
                <w:rFonts w:ascii="Times New Roman" w:cs="Times New Roman" w:eastAsia="Times New Roman" w:hAnsi="Times New Roman"/>
                <w:sz w:val="17"/>
                <w:szCs w:val="17"/>
                <w:color w:val="auto"/>
              </w:rPr>
              <w:t>$940 million</w:t>
            </w:r>
          </w:p>
        </w:tc>
        <w:tc>
          <w:tcPr>
            <w:tcW w:w="158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w w:val="99"/>
              </w:rPr>
              <w:t>$640.7 million</w:t>
            </w:r>
          </w:p>
        </w:tc>
        <w:tc>
          <w:tcPr>
            <w:tcW w:w="0" w:type="dxa"/>
            <w:vAlign w:val="bottom"/>
          </w:tcPr>
          <w:p>
            <w:pPr>
              <w:spacing w:after="0"/>
              <w:rPr>
                <w:sz w:val="1"/>
                <w:szCs w:val="1"/>
                <w:color w:val="auto"/>
              </w:rPr>
            </w:pPr>
          </w:p>
        </w:tc>
      </w:tr>
      <w:tr>
        <w:trPr>
          <w:trHeight w:val="23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Ione Loan to fund a new casino development near Sacramento, California</w:t>
            </w:r>
          </w:p>
        </w:tc>
        <w:tc>
          <w:tcPr>
            <w:tcW w:w="2020" w:type="dxa"/>
            <w:vAlign w:val="bottom"/>
            <w:shd w:val="clear" w:color="auto" w:fill="CCEEFF"/>
          </w:tcPr>
          <w:p>
            <w:pPr>
              <w:jc w:val="center"/>
              <w:ind w:left="574"/>
              <w:spacing w:after="0"/>
              <w:rPr>
                <w:sz w:val="20"/>
                <w:szCs w:val="20"/>
                <w:color w:val="auto"/>
              </w:rPr>
            </w:pPr>
            <w:r>
              <w:rPr>
                <w:rFonts w:ascii="Times New Roman" w:cs="Times New Roman" w:eastAsia="Times New Roman" w:hAnsi="Times New Roman"/>
                <w:sz w:val="17"/>
                <w:szCs w:val="17"/>
                <w:color w:val="auto"/>
              </w:rPr>
              <w:t>$110 million</w:t>
            </w:r>
          </w:p>
        </w:tc>
        <w:tc>
          <w:tcPr>
            <w:tcW w:w="158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7"/>
                <w:szCs w:val="17"/>
                <w:color w:val="auto"/>
              </w:rPr>
              <w:t>$98.9 million</w:t>
            </w:r>
          </w:p>
        </w:tc>
        <w:tc>
          <w:tcPr>
            <w:tcW w:w="0" w:type="dxa"/>
            <w:vAlign w:val="bottom"/>
          </w:tcPr>
          <w:p>
            <w:pPr>
              <w:spacing w:after="0"/>
              <w:rPr>
                <w:sz w:val="1"/>
                <w:szCs w:val="1"/>
                <w:color w:val="auto"/>
              </w:rPr>
            </w:pPr>
          </w:p>
        </w:tc>
      </w:tr>
      <w:tr>
        <w:trPr>
          <w:trHeight w:val="232"/>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Funding associated with the future site and construction for Live! Casino &amp; Hotel Virginia</w:t>
            </w:r>
          </w:p>
        </w:tc>
        <w:tc>
          <w:tcPr>
            <w:tcW w:w="2020" w:type="dxa"/>
            <w:vAlign w:val="bottom"/>
          </w:tcPr>
          <w:p>
            <w:pPr>
              <w:jc w:val="center"/>
              <w:ind w:left="574"/>
              <w:spacing w:after="0"/>
              <w:rPr>
                <w:sz w:val="20"/>
                <w:szCs w:val="20"/>
                <w:color w:val="auto"/>
              </w:rPr>
            </w:pPr>
            <w:r>
              <w:rPr>
                <w:rFonts w:ascii="Times New Roman" w:cs="Times New Roman" w:eastAsia="Times New Roman" w:hAnsi="Times New Roman"/>
                <w:sz w:val="17"/>
                <w:szCs w:val="17"/>
                <w:color w:val="auto"/>
              </w:rPr>
              <w:t>$467 million</w:t>
            </w:r>
          </w:p>
        </w:tc>
        <w:tc>
          <w:tcPr>
            <w:tcW w:w="158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$48.6 million</w:t>
            </w:r>
          </w:p>
        </w:tc>
        <w:tc>
          <w:tcPr>
            <w:tcW w:w="0" w:type="dxa"/>
            <w:vAlign w:val="bottom"/>
          </w:tcPr>
          <w:p>
            <w:pPr>
              <w:spacing w:after="0"/>
              <w:rPr>
                <w:sz w:val="1"/>
                <w:szCs w:val="1"/>
                <w:color w:val="auto"/>
              </w:rPr>
            </w:pPr>
          </w:p>
        </w:tc>
      </w:tr>
      <w:tr>
        <w:trPr>
          <w:trHeight w:val="23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Delayed draw term loan for Dry Creek Rancheria Resort development</w:t>
            </w:r>
          </w:p>
        </w:tc>
        <w:tc>
          <w:tcPr>
            <w:tcW w:w="2020" w:type="dxa"/>
            <w:vAlign w:val="bottom"/>
            <w:shd w:val="clear" w:color="auto" w:fill="CCEEFF"/>
          </w:tcPr>
          <w:p>
            <w:pPr>
              <w:jc w:val="center"/>
              <w:ind w:left="574"/>
              <w:spacing w:after="0"/>
              <w:rPr>
                <w:sz w:val="20"/>
                <w:szCs w:val="20"/>
                <w:color w:val="auto"/>
              </w:rPr>
            </w:pPr>
            <w:r>
              <w:rPr>
                <w:rFonts w:ascii="Times New Roman" w:cs="Times New Roman" w:eastAsia="Times New Roman" w:hAnsi="Times New Roman"/>
                <w:sz w:val="17"/>
                <w:szCs w:val="17"/>
                <w:color w:val="auto"/>
              </w:rPr>
              <w:t>$180 million</w:t>
            </w:r>
          </w:p>
        </w:tc>
        <w:tc>
          <w:tcPr>
            <w:tcW w:w="158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00" w:firstLine="3"/>
        <w:spacing w:after="0" w:line="271" w:lineRule="auto"/>
        <w:tabs>
          <w:tab w:leader="none" w:pos="24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agreed to fund, if requested by PENN at their sole discretion, on or before March 31, 2029, construction improvements in an amount not to exceed the greater of (i) the hard costs associated with the project and (ii) $150.0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21" w:lineRule="exact"/>
        <w:rPr>
          <w:sz w:val="20"/>
          <w:szCs w:val="20"/>
          <w:color w:val="auto"/>
        </w:rPr>
      </w:pPr>
    </w:p>
    <w:p>
      <w:pPr>
        <w:jc w:val="both"/>
        <w:ind w:right="100" w:firstLine="619"/>
        <w:spacing w:after="0" w:line="261" w:lineRule="auto"/>
        <w:rPr>
          <w:sz w:val="20"/>
          <w:szCs w:val="20"/>
          <w:color w:val="auto"/>
        </w:rPr>
      </w:pPr>
      <w:r>
        <w:rPr>
          <w:rFonts w:ascii="Times New Roman" w:cs="Times New Roman" w:eastAsia="Times New Roman" w:hAnsi="Times New Roman"/>
          <w:sz w:val="17"/>
          <w:szCs w:val="17"/>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investment in leases, financing receivables, net, allowance for credit losses, and real estate investments as critical accounting estimates, as they are the most important to our financial statement presentation and require difficult, subjective and complex judgments.</w:t>
      </w:r>
    </w:p>
    <w:p>
      <w:pPr>
        <w:spacing w:after="0" w:line="175" w:lineRule="exact"/>
        <w:rPr>
          <w:sz w:val="20"/>
          <w:szCs w:val="20"/>
          <w:color w:val="auto"/>
        </w:rPr>
      </w:pPr>
    </w:p>
    <w:p>
      <w:pPr>
        <w:jc w:val="both"/>
        <w:ind w:right="100" w:firstLine="619"/>
        <w:spacing w:after="0" w:line="264" w:lineRule="auto"/>
        <w:rPr>
          <w:sz w:val="20"/>
          <w:szCs w:val="20"/>
          <w:color w:val="auto"/>
        </w:rPr>
      </w:pPr>
      <w:r>
        <w:rPr>
          <w:rFonts w:ascii="Times New Roman" w:cs="Times New Roman" w:eastAsia="Times New Roman" w:hAnsi="Times New Roman"/>
          <w:sz w:val="17"/>
          <w:szCs w:val="17"/>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71" w:lineRule="exact"/>
        <w:rPr>
          <w:sz w:val="20"/>
          <w:szCs w:val="20"/>
          <w:color w:val="auto"/>
        </w:rPr>
      </w:pPr>
    </w:p>
    <w:p>
      <w:pPr>
        <w:jc w:val="both"/>
        <w:ind w:right="100" w:firstLine="619"/>
        <w:spacing w:after="0" w:line="270" w:lineRule="auto"/>
        <w:rPr>
          <w:sz w:val="20"/>
          <w:szCs w:val="20"/>
          <w:color w:val="auto"/>
        </w:rPr>
      </w:pPr>
      <w:r>
        <w:rPr>
          <w:rFonts w:ascii="Times New Roman" w:cs="Times New Roman" w:eastAsia="Times New Roman" w:hAnsi="Times New Roman"/>
          <w:sz w:val="17"/>
          <w:szCs w:val="17"/>
          <w:color w:val="auto"/>
        </w:rPr>
        <w:t>For further information on our critical accounting estimates, see Item 7. "Management’s Discussion and Analysis of Financial Condition and Results of Operations" and the Notes to our audited consolidated financial statements included in our most recent Annual Report. There has been no material change to these estimates for the three and nine months ended September 30,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Summary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Highlights</w:t>
      </w:r>
    </w:p>
    <w:p>
      <w:pPr>
        <w:spacing w:after="0" w:line="221" w:lineRule="exact"/>
        <w:rPr>
          <w:sz w:val="20"/>
          <w:szCs w:val="20"/>
          <w:color w:val="auto"/>
        </w:rPr>
      </w:pPr>
    </w:p>
    <w:p>
      <w:pPr>
        <w:jc w:val="both"/>
        <w:ind w:right="100" w:firstLine="619"/>
        <w:spacing w:after="0" w:line="264" w:lineRule="auto"/>
        <w:rPr>
          <w:sz w:val="20"/>
          <w:szCs w:val="20"/>
          <w:color w:val="auto"/>
        </w:rPr>
      </w:pPr>
      <w:r>
        <w:rPr>
          <w:rFonts w:ascii="Times New Roman" w:cs="Times New Roman" w:eastAsia="Times New Roman" w:hAnsi="Times New Roman"/>
          <w:sz w:val="17"/>
          <w:szCs w:val="17"/>
          <w:color w:val="auto"/>
        </w:rPr>
        <w:t>We reported total revenues and income from operations of $435.4 million and $309.9 million, respectively, for the three months ended September 30, 2026, compared to $397.6 million and $337.2 million, respectively, for the corresponding period in the prior year. The Company reported total revenues and income from operations of $1,286.0 million and $975.7 million, respectively for the nine months ended September 30, 2026 compared to $1,187.7 million and $838.1 million for the corresponding period in the prior year.</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major factors affecting our results for the three and nine months ended September 30, 2026, as compared to the three and nine months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2025, were as follows:</w:t>
      </w:r>
    </w:p>
    <w:p>
      <w:pPr>
        <w:spacing w:after="0" w:line="200" w:lineRule="exact"/>
        <w:rPr>
          <w:sz w:val="20"/>
          <w:szCs w:val="20"/>
          <w:color w:val="auto"/>
        </w:rPr>
      </w:pPr>
    </w:p>
    <w:p>
      <w:pPr>
        <w:jc w:val="both"/>
        <w:ind w:left="620" w:right="100" w:hanging="307"/>
        <w:spacing w:after="0" w:line="264"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income from real estate increased by $37.8 million to $435.4 million for the three months ended September 30, 2026 compared to $397.6 million for the corresponding period in the prior year. The reason for the increase was primarily due to our recent acquisitions which in the aggregate increased cash rental income by $43.2 million for the three months ended September 30, 2026. Additionally, the three months ended September 30, 2026 benefited by $4.6 million compared to the</w:t>
      </w:r>
    </w:p>
    <w:p>
      <w:pPr>
        <w:spacing w:after="0" w:line="200" w:lineRule="exact"/>
        <w:rPr>
          <w:sz w:val="20"/>
          <w:szCs w:val="20"/>
          <w:color w:val="auto"/>
        </w:rPr>
      </w:pPr>
    </w:p>
    <w:p>
      <w:pPr>
        <w:spacing w:after="0" w:line="2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996" w:right="239" w:bottom="1440" w:gutter="0" w:footer="0" w:header="0"/>
        </w:sectPr>
      </w:pPr>
    </w:p>
    <w:bookmarkStart w:id="47" w:name="page48"/>
    <w:bookmarkEnd w:id="47"/>
    <w:p>
      <w:pPr>
        <w:jc w:val="both"/>
        <w:ind w:left="307"/>
        <w:spacing w:after="0" w:line="270" w:lineRule="auto"/>
        <w:rPr>
          <w:sz w:val="20"/>
          <w:szCs w:val="20"/>
          <w:color w:val="auto"/>
        </w:rPr>
      </w:pPr>
      <w:r>
        <w:rPr>
          <w:rFonts w:ascii="Times New Roman" w:cs="Times New Roman" w:eastAsia="Times New Roman" w:hAnsi="Times New Roman"/>
          <w:sz w:val="17"/>
          <w:szCs w:val="17"/>
          <w:color w:val="auto"/>
        </w:rPr>
        <w:t>corresponding period in the prior year from escalations on our leases, higher ground rent revenue of $0.2 million and higher accretion of $0.4 million on our investment in leases partially offset by unfavorable straight-line rent adjustments of $9.7 million and lower percentage rents of $0.8 million compared to the corresponding period in the prior year.</w:t>
      </w:r>
    </w:p>
    <w:p>
      <w:pPr>
        <w:spacing w:after="0" w:line="191" w:lineRule="exact"/>
        <w:rPr>
          <w:sz w:val="20"/>
          <w:szCs w:val="20"/>
          <w:color w:val="auto"/>
        </w:rPr>
      </w:pPr>
    </w:p>
    <w:p>
      <w:pPr>
        <w:jc w:val="both"/>
        <w:ind w:left="307" w:hanging="307"/>
        <w:spacing w:after="0" w:line="256" w:lineRule="auto"/>
        <w:tabs>
          <w:tab w:leader="none" w:pos="30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income from real estate increased by $98.2 million to $1,286.0 million for the nine months ended September 30, 2026 compared to $1,187.7 million for the corresponding period in the prior year. The reason for the increase was primarily due to our recent acquisitions which in the aggregate increased cash rental income by $110.1 million for the nine months ended September 30, 2026. Additionally, the nine months ended September 30, 2026 benefited by $13.5 million compared to the corresponding period in the prior year from escalations on our leases, higher ground rent revenue of $0.8 million and higher accretion of $1.4 million on our investment in leases. These items were partially offset by unfavorable straight-line rent adjustments of $26.5 million and lower percentage rents of $1.0 million compared to the corresponding period in the prior year.</w:t>
      </w:r>
    </w:p>
    <w:p>
      <w:pPr>
        <w:spacing w:after="0" w:line="3" w:lineRule="exact"/>
        <w:rPr>
          <w:rFonts w:ascii="Times New Roman" w:cs="Times New Roman" w:eastAsia="Times New Roman" w:hAnsi="Times New Roman"/>
          <w:sz w:val="17"/>
          <w:szCs w:val="17"/>
          <w:color w:val="auto"/>
        </w:rPr>
      </w:pPr>
    </w:p>
    <w:p>
      <w:pPr>
        <w:jc w:val="both"/>
        <w:ind w:left="307" w:hanging="307"/>
        <w:spacing w:after="0" w:line="254" w:lineRule="auto"/>
        <w:tabs>
          <w:tab w:leader="none" w:pos="303"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Total operating expenses increased by $65.1 million for the three months ended September 30, 2026 as compared to the corresponding period in the prior year. The primary reason for the increase was due to the increase in the provision for credit losses of $73.6 million during the three months ended September 30, 2026 compared to the corresponding period in the prior year. The provision recorded during the three months ended September 30, 2026 was primarily attributable to lower projected commercial real estate price growth, largely reflecting the sharp increase in long-term interest rates during the three months ended September 30, 2026. The benefit during the three months ended September 30, 2025 was driven by an improvement in the third-party forward-looking economic outlook used in the Company's CECL reserve calculation compared to what was utilized at June 30, 2025. Additionally, general and administrative expenses decreased by $3.7 million due primarily from a $6.3 million executive severance charge in the prior period partially offset by higher stock based compensation expense of $3.1 million. The Company also incurred higher depreciation expense of $1.8 million due to accelerated depreciation on certain assets. Finally, the Company recorded a gain on dispositions of $6.8 million.</w:t>
      </w:r>
    </w:p>
    <w:p>
      <w:pPr>
        <w:spacing w:after="0" w:line="209" w:lineRule="exact"/>
        <w:rPr>
          <w:rFonts w:ascii="Times New Roman" w:cs="Times New Roman" w:eastAsia="Times New Roman" w:hAnsi="Times New Roman"/>
          <w:sz w:val="17"/>
          <w:szCs w:val="17"/>
          <w:b w:val="1"/>
          <w:bCs w:val="1"/>
          <w:color w:val="auto"/>
        </w:rPr>
      </w:pPr>
    </w:p>
    <w:p>
      <w:pPr>
        <w:jc w:val="both"/>
        <w:ind w:left="307" w:hanging="307"/>
        <w:spacing w:after="0" w:line="257" w:lineRule="auto"/>
        <w:tabs>
          <w:tab w:leader="none" w:pos="30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operating expenses decreased by $39.4 million for the nine months ended September 30, 2026 as compared to the corresponding period in the prior year. The primary reason was due to a decrease in the provision for credit losses of $26.5 million during the nine months ended September 30, 2026. This decline was due to the significant provision recorded in the prior year from a more pessimistic forward-looking economic forecast at September 30, 2025 compared to what was utilized at December 31, 2024. Additionally, general and administrative expenses decreased by $7.1 million due primarily to a $6.3 million executive severance charge in the prior period partially offset by higher stock based compensation expense and deal costs. The Company also incurred lower depreciation expense of $0.8 million due to accelerated depreciation in the prior year related to the historical Hollywood Casino Joliet and Hollywood Casino Aurora properties being redeveloped by PENN, partially offset by depreciation on recently acquired and developed assets and accelerated depreciation on certain assets. Finally, the Company had gains on the dispositions of property of $5.6 million compared to a gain of $0.1 million for the corresponding period in the prior year.</w:t>
      </w:r>
    </w:p>
    <w:p>
      <w:pPr>
        <w:spacing w:after="0" w:line="204" w:lineRule="exact"/>
        <w:rPr>
          <w:rFonts w:ascii="Times New Roman" w:cs="Times New Roman" w:eastAsia="Times New Roman" w:hAnsi="Times New Roman"/>
          <w:sz w:val="17"/>
          <w:szCs w:val="17"/>
          <w:color w:val="auto"/>
        </w:rPr>
      </w:pPr>
    </w:p>
    <w:p>
      <w:pPr>
        <w:jc w:val="both"/>
        <w:ind w:left="307" w:hanging="307"/>
        <w:spacing w:after="0" w:line="260" w:lineRule="auto"/>
        <w:tabs>
          <w:tab w:leader="none" w:pos="30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expenses increased by $7.5 million and $24.4 million for the three and nine months ended September 30, 2026, primarily due to higher interest expense of $4.8 million and $14.2 million associated with the Company's increased borrowings to fund our recent acquisitions and lower interest income of $6.4 million and $13.8 million, respectively from lower cash on hand and investments. Additionally, losses on debt extinguishment and other financing costs totaled $0.3 million for the nine months ended September 30, 2026, whereas the three and nine months ended September 30, 2025, included charges of $3.8 million due to the redemption of the April 2026 Notes which consisted of a make whole premium and the write-off of unamortized debt issuance costs and discounts.</w:t>
      </w:r>
    </w:p>
    <w:p>
      <w:pPr>
        <w:spacing w:after="0" w:line="199" w:lineRule="exact"/>
        <w:rPr>
          <w:rFonts w:ascii="Times New Roman" w:cs="Times New Roman" w:eastAsia="Times New Roman" w:hAnsi="Times New Roman"/>
          <w:sz w:val="17"/>
          <w:szCs w:val="17"/>
          <w:color w:val="auto"/>
        </w:rPr>
      </w:pPr>
    </w:p>
    <w:p>
      <w:pPr>
        <w:ind w:left="307" w:hanging="307"/>
        <w:spacing w:after="0" w:line="287" w:lineRule="auto"/>
        <w:tabs>
          <w:tab w:leader="none" w:pos="30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decreased by $34.7 million for the three month period ended September 30, 2026 and increased by $113.2 million for the nine months ended September 30, 2026, as compared to the corresponding periods in the prior year, primarily due to the variances explained above.</w:t>
      </w:r>
    </w:p>
    <w:p>
      <w:pPr>
        <w:spacing w:after="0" w:line="200" w:lineRule="exact"/>
        <w:rPr>
          <w:sz w:val="20"/>
          <w:szCs w:val="20"/>
          <w:color w:val="auto"/>
        </w:rPr>
      </w:pPr>
    </w:p>
    <w:p>
      <w:pPr>
        <w:spacing w:after="0" w:line="274" w:lineRule="exact"/>
        <w:rPr>
          <w:sz w:val="20"/>
          <w:szCs w:val="20"/>
          <w:color w:val="auto"/>
        </w:rPr>
      </w:pPr>
    </w:p>
    <w:p>
      <w:pPr>
        <w:jc w:val="center"/>
        <w:ind w:right="293"/>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7"/>
          </w:cols>
          <w:pgMar w:left="633" w:top="85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are the most important factors and trends that contribute or may contribute to our operating performance:</w:t>
      </w:r>
    </w:p>
    <w:p>
      <w:pPr>
        <w:spacing w:after="0" w:line="243" w:lineRule="exact"/>
        <w:rPr>
          <w:sz w:val="20"/>
          <w:szCs w:val="20"/>
          <w:color w:val="auto"/>
        </w:rPr>
      </w:pPr>
    </w:p>
    <w:p>
      <w:pPr>
        <w:ind w:left="620" w:hanging="307"/>
        <w:spacing w:after="0" w:line="287"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announced or closed numerous transactions in recent years and expect to continue to grow our portfolio by pursuing opportunities to acquire additional gaming facilities (either existing facilities or new development facilities) to lease to gaming operators under prudent terms.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Several wholly-owned subsidiaries of PENN lease a substantial number of our properties and account for a significant portion of our revenue.</w:t>
      </w:r>
    </w:p>
    <w:p>
      <w:pPr>
        <w:spacing w:after="0" w:line="24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related to economic conditions, including volatility in the financial markets, high inflation levels and the effect of such conditions on consumer spending for leisure and gaming activities, which may negatively impact our gaming tenants and operators and the variable rent and certain annual rent escalators we receive from our tenants.</w:t>
      </w:r>
    </w:p>
    <w:p>
      <w:pPr>
        <w:spacing w:after="0" w:line="19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refinance our significant levels of debt at attractive terms and obtain favorable funding in connection with future business opportunities.</w:t>
      </w:r>
    </w:p>
    <w:p>
      <w:pPr>
        <w:spacing w:after="0" w:line="217"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rules and regulations of U.S. federal income taxation are constantly under review by legislators, the Internal Revenue Service and the U.S. Department of the Treasury. Changes to the tax laws or interpretations thereof, with or without retroactive application, could materially and adversely affect GLPI's investors or GLPI.</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consolidated results of operations for the three and nine months ended September 30, 2026 and 2025 are summarized below:</w:t>
      </w:r>
    </w:p>
    <w:p>
      <w:pPr>
        <w:spacing w:after="0" w:line="261"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4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5"/>
                <w:szCs w:val="15"/>
                <w:color w:val="auto"/>
              </w:rPr>
            </w:pPr>
          </w:p>
        </w:tc>
        <w:tc>
          <w:tcPr>
            <w:tcW w:w="2480" w:type="dxa"/>
            <w:vAlign w:val="bottom"/>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w w:val="97"/>
              </w:rPr>
              <w:t>Nine Months Ended September 30,</w:t>
            </w:r>
          </w:p>
        </w:tc>
      </w:tr>
      <w:tr>
        <w:trPr>
          <w:trHeight w:val="22"/>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7"/>
        </w:trPr>
        <w:tc>
          <w:tcPr>
            <w:tcW w:w="4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7"/>
        </w:trPr>
        <w:tc>
          <w:tcPr>
            <w:tcW w:w="4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
        </w:trPr>
        <w:tc>
          <w:tcPr>
            <w:tcW w:w="4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5"/>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revenues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435,449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397,610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1,285,953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1,187,721</w:t>
            </w:r>
          </w:p>
        </w:tc>
      </w:tr>
      <w:tr>
        <w:trPr>
          <w:trHeight w:val="232"/>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125,506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60,447</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310,269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349,660</w:t>
            </w:r>
          </w:p>
        </w:tc>
      </w:tr>
      <w:tr>
        <w:trPr>
          <w:trHeight w:val="225"/>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from operations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309,943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337,163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975,684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838,061</w:t>
            </w:r>
          </w:p>
        </w:tc>
      </w:tr>
      <w:tr>
        <w:trPr>
          <w:trHeight w:val="232"/>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other expenses</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(95,580)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(88,122)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(285,814)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(261,392)</w:t>
            </w:r>
          </w:p>
        </w:tc>
      </w:tr>
      <w:tr>
        <w:trPr>
          <w:trHeight w:val="225"/>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214,363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249,041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689,870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576,669</w:t>
            </w:r>
          </w:p>
        </w:tc>
      </w:tr>
      <w:tr>
        <w:trPr>
          <w:trHeight w:val="232"/>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1,669</w:t>
            </w:r>
          </w:p>
        </w:tc>
      </w:tr>
      <w:tr>
        <w:trPr>
          <w:trHeight w:val="225"/>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248,481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688,175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575,000</w:t>
            </w:r>
          </w:p>
        </w:tc>
      </w:tr>
      <w:tr>
        <w:trPr>
          <w:trHeight w:val="180"/>
        </w:trPr>
        <w:tc>
          <w:tcPr>
            <w:tcW w:w="45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Net income attributable to noncontrolling interest in the</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2"/>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Operating Partnership</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(6,193)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(7,290)</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(20,294)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(17,186)</w:t>
            </w:r>
          </w:p>
        </w:tc>
      </w:tr>
      <w:tr>
        <w:trPr>
          <w:trHeight w:val="250"/>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attributable to common shareholders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207,636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241,191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667,881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557,814</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FFO, AFFO and Adjusted EBITDA</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Funds From Operations ("FFO"), Adjusted Funds From Operations ("AFFO") and Adjusted EBITDA are non-U.S. generally accepted accounting principles ("GAAP") financial measures used by the Company as performance measures for benchmarking against the Company’s peers and as internal measures of business operating performance, which is used as a bonus metric. These metrics are presented assuming full conversion of limited partnership units to common shares and therefore before the income statement impact of noncontrolling interests.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w:t>
      </w:r>
    </w:p>
    <w:p>
      <w:pPr>
        <w:spacing w:after="0" w:line="19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dispositions of property and real estate depreciation. We define AFFO as FFO excluding, as applicable to the particular period, stock-based compensation expense; the amortization of debt issuance costs, bond premiums and original issuance discounts; other depreciation; amortization of land rights; accretion on investment in leases; non-cash adjustments to financing lease liabilities; straight-line rent and deferred rent adjustments; losses on debt extinguishment and other financing costs; severance charges; capitalized interest; and provision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9" w:name="page50"/>
    <w:bookmarkEnd w:id="49"/>
    <w:p>
      <w:pPr>
        <w:jc w:val="both"/>
        <w:spacing w:after="0" w:line="264" w:lineRule="auto"/>
        <w:rPr>
          <w:sz w:val="20"/>
          <w:szCs w:val="20"/>
          <w:color w:val="auto"/>
        </w:rPr>
      </w:pPr>
      <w:r>
        <w:rPr>
          <w:rFonts w:ascii="Times New Roman" w:cs="Times New Roman" w:eastAsia="Times New Roman" w:hAnsi="Times New Roman"/>
          <w:sz w:val="17"/>
          <w:szCs w:val="17"/>
          <w:color w:val="auto"/>
        </w:rPr>
        <w:t>(benefit) for credit losses, net, reduced by capital maintenance expenditures. Finally, we define Adjusted EBITDA as net income excluding, as applicable to the particular period, interest, net; income tax expense; real estate depreciation; other depreciation; (gains) or losses from dispositions of property; stock-based compensation expense; straight-line rent and deferred rent adjustments; amortization of land rights; accretion on investment in leases; non-cash adjustments to financing lease liabilities; losses on debt extinguishment and other financing costs; severance charges; and provision (benefit) for credit losses, net.</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0" w:name="page51"/>
    <w:bookmarkEnd w:id="50"/>
    <w:p>
      <w:pPr>
        <w:ind w:right="200" w:firstLine="659"/>
        <w:spacing w:after="0" w:line="279" w:lineRule="auto"/>
        <w:rPr>
          <w:sz w:val="20"/>
          <w:szCs w:val="20"/>
          <w:color w:val="auto"/>
        </w:rPr>
      </w:pPr>
      <w:r>
        <w:rPr>
          <w:rFonts w:ascii="Times New Roman" w:cs="Times New Roman" w:eastAsia="Times New Roman" w:hAnsi="Times New Roman"/>
          <w:sz w:val="17"/>
          <w:szCs w:val="17"/>
          <w:color w:val="auto"/>
        </w:rPr>
        <w:t>The reconciliation of the Company’s net income per GAAP to FFO, AFFO, and Adjusted EBITDA for the three and nine months ended September 30, 2026 and 2025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5"/>
                <w:szCs w:val="15"/>
                <w:color w:val="auto"/>
              </w:rPr>
            </w:pPr>
          </w:p>
        </w:tc>
        <w:tc>
          <w:tcPr>
            <w:tcW w:w="222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76"/>
        </w:trPr>
        <w:tc>
          <w:tcPr>
            <w:tcW w:w="53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23"/>
                <w:szCs w:val="23"/>
                <w:color w:val="auto"/>
              </w:rPr>
            </w:pPr>
          </w:p>
        </w:tc>
      </w:tr>
      <w:tr>
        <w:trPr>
          <w:trHeight w:val="181"/>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7"/>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213,829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248,481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688,175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575,000</w:t>
            </w:r>
          </w:p>
        </w:tc>
      </w:tr>
      <w:tr>
        <w:trPr>
          <w:trHeight w:val="232"/>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Losses (gains) from dispositions of property</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3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depreciation</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68,829</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66,985</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199,567</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200,263</w:t>
            </w:r>
          </w:p>
        </w:tc>
      </w:tr>
      <w:tr>
        <w:trPr>
          <w:trHeight w:val="225"/>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Funds from operations</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275,890</w:t>
            </w:r>
          </w:p>
        </w:tc>
        <w:tc>
          <w:tcPr>
            <w:tcW w:w="10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315,466</w:t>
            </w:r>
          </w:p>
        </w:tc>
        <w:tc>
          <w:tcPr>
            <w:tcW w:w="10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882,144</w:t>
            </w:r>
          </w:p>
        </w:tc>
        <w:tc>
          <w:tcPr>
            <w:tcW w:w="10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775,138</w:t>
            </w:r>
          </w:p>
        </w:tc>
      </w:tr>
      <w:tr>
        <w:trPr>
          <w:trHeight w:val="23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Straight-line rent and deferred rent adjustments</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(20,235)</w:t>
            </w:r>
          </w:p>
        </w:tc>
      </w:tr>
      <w:tr>
        <w:trPr>
          <w:trHeight w:val="232"/>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depreciation</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1,457</w:t>
            </w:r>
          </w:p>
        </w:tc>
      </w:tr>
      <w:tr>
        <w:trPr>
          <w:trHeight w:val="23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(benefit) for credit losses, net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36,224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(37,363)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29,067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55,611</w:t>
            </w:r>
          </w:p>
        </w:tc>
      </w:tr>
      <w:tr>
        <w:trPr>
          <w:trHeight w:val="232"/>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land rights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12,810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12,810</w:t>
            </w:r>
          </w:p>
        </w:tc>
      </w:tr>
      <w:tr>
        <w:trPr>
          <w:trHeight w:val="180"/>
        </w:trPr>
        <w:tc>
          <w:tcPr>
            <w:tcW w:w="53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Amortization of debt issuance costs, bond premiums and original issuance</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32"/>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discounts</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9,884</w:t>
            </w:r>
          </w:p>
        </w:tc>
      </w:tr>
      <w:tr>
        <w:trPr>
          <w:trHeight w:val="232"/>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17,443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16,565</w:t>
            </w:r>
          </w:p>
        </w:tc>
      </w:tr>
      <w:tr>
        <w:trPr>
          <w:trHeight w:val="23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Severance charges</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6,320</w:t>
            </w:r>
          </w:p>
        </w:tc>
      </w:tr>
      <w:tr>
        <w:trPr>
          <w:trHeight w:val="232"/>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Losses on debt extinguishment and other financing costs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3,783</w:t>
            </w:r>
          </w:p>
        </w:tc>
      </w:tr>
      <w:tr>
        <w:trPr>
          <w:trHeight w:val="23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Accretion on investment in leases</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(22,113)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(20,753)</w:t>
            </w:r>
          </w:p>
        </w:tc>
      </w:tr>
      <w:tr>
        <w:trPr>
          <w:trHeight w:val="232"/>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adjustment to financing lease liabilities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w:t>
            </w:r>
          </w:p>
        </w:tc>
      </w:tr>
      <w:tr>
        <w:trPr>
          <w:trHeight w:val="23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Capitalized interest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(10,668)</w:t>
            </w:r>
          </w:p>
        </w:tc>
      </w:tr>
      <w:tr>
        <w:trPr>
          <w:trHeight w:val="232"/>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maintenance expenditures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25"/>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funds from operations</w:t>
            </w:r>
          </w:p>
        </w:tc>
        <w:tc>
          <w:tcPr>
            <w:tcW w:w="42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311,670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282,019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912,785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830,072</w:t>
            </w:r>
          </w:p>
        </w:tc>
      </w:tr>
      <w:tr>
        <w:trPr>
          <w:trHeight w:val="232"/>
        </w:trPr>
        <w:tc>
          <w:tcPr>
            <w:tcW w:w="5360" w:type="dxa"/>
            <w:vAlign w:val="bottom"/>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Interest, net </w:t>
            </w:r>
            <w:r>
              <w:rPr>
                <w:rFonts w:ascii="Times New Roman" w:cs="Times New Roman" w:eastAsia="Times New Roman" w:hAnsi="Times New Roman"/>
                <w:sz w:val="22"/>
                <w:szCs w:val="22"/>
                <w:color w:val="auto"/>
                <w:vertAlign w:val="superscript"/>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94,787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83,552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283,198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255,277</w:t>
            </w:r>
          </w:p>
        </w:tc>
      </w:tr>
      <w:tr>
        <w:trPr>
          <w:trHeight w:val="23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w:t>
            </w:r>
          </w:p>
        </w:tc>
      </w:tr>
      <w:tr>
        <w:trPr>
          <w:trHeight w:val="232"/>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maintenance expenditures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180"/>
        </w:trPr>
        <w:tc>
          <w:tcPr>
            <w:tcW w:w="53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Amortization of debt issuance costs, bond premiums and original issuance</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32"/>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discounts</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(9,884)</w:t>
            </w:r>
          </w:p>
        </w:tc>
      </w:tr>
      <w:tr>
        <w:trPr>
          <w:trHeight w:val="232"/>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Capitalized interest</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10,570</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3,652</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25,484</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10,668</w:t>
            </w: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42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413,930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366,358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1,212,428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1,087,959</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ind w:left="800" w:hanging="178"/>
        <w:spacing w:after="0"/>
        <w:tabs>
          <w:tab w:leader="none" w:pos="80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non-cash interest expense gross ups related to certain ground leases.</w:t>
      </w:r>
    </w:p>
    <w:p>
      <w:pPr>
        <w:spacing w:after="0" w:line="21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Net income, FFO, AFFO and Adjusted EBITDA were $213.8 million, $275.9 million, $311.7 million, and $413.9 million for the three months ended September 30, 2026, respectively. This compares to net income, FFO, AFFO and Adjusted EBITDA of $248.5 million, $315.5 million, $282.0 million and $366.4 million for the corresponding period in the prior year. The decrease in net income of $34.7 million was primarily attributable to higher operating expenses of $65.1 million (which was driven primarily by the increase in provision for credit losses of $73.6 million) partially offset by an increase in total revenues of $37.8 million. Additionally, the Company incurred higher other expenses of $7.5 million.</w:t>
      </w:r>
    </w:p>
    <w:p>
      <w:pPr>
        <w:spacing w:after="0" w:line="2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Net income, FFO, AFFO and Adjusted EBITDA were $688.2 million, $882.1 million, $912.8 million, and $1,212.4 million for the nine months ended September 30, 2026, respectively. This compares to net income, FFO, AFFO and Adjusted EBITDA of $575.0 million, $775.1 million, $830.1 million and $1,088.0 million for the corresponding period in the prior year. The increase in net income of $113.2 million was primarily attributable to lower operating expenses of $39.4 million (which was driven primarily by a decline in the provision for credit losses of $26.5 million) and an increase in total revenues of $98.2 million. This was partially offset by higher other expenses of $24.4 million.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51" w:name="page52"/>
    <w:bookmarkEnd w:id="51"/>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variances in FFO for the three and nine months ended September 30, 2026 were due to the items described above, excluding gains from dispositions of property and real estate depreciation. The variances in AFFO and Adjusted EBITDA were due to the items described above, as well as the adjustments mentioned in the tables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Revenues for the three and nine months ended September 30, 2026 and 2025 were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77"/>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Rental income</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370,956</w:t>
            </w: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341,755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29,201</w:t>
            </w:r>
          </w:p>
        </w:tc>
        <w:tc>
          <w:tcPr>
            <w:tcW w:w="1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8.5 %</w:t>
            </w:r>
          </w:p>
        </w:tc>
        <w:tc>
          <w:tcPr>
            <w:tcW w:w="0" w:type="dxa"/>
            <w:vAlign w:val="bottom"/>
          </w:tcPr>
          <w:p>
            <w:pPr>
              <w:spacing w:after="0"/>
              <w:rPr>
                <w:sz w:val="1"/>
                <w:szCs w:val="1"/>
                <w:color w:val="auto"/>
              </w:rPr>
            </w:pPr>
          </w:p>
        </w:tc>
      </w:tr>
      <w:tr>
        <w:trPr>
          <w:trHeight w:val="232"/>
        </w:trPr>
        <w:tc>
          <w:tcPr>
            <w:tcW w:w="4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from investment in leases, financing receivables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52,999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48,066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4,933</w:t>
            </w: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10.3 %</w:t>
            </w:r>
          </w:p>
        </w:tc>
        <w:tc>
          <w:tcPr>
            <w:tcW w:w="0" w:type="dxa"/>
            <w:vAlign w:val="bottom"/>
          </w:tcPr>
          <w:p>
            <w:pPr>
              <w:spacing w:after="0"/>
              <w:rPr>
                <w:sz w:val="1"/>
                <w:szCs w:val="1"/>
                <w:color w:val="auto"/>
              </w:rPr>
            </w:pPr>
          </w:p>
        </w:tc>
      </w:tr>
      <w:tr>
        <w:trPr>
          <w:trHeight w:val="232"/>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from sales-type leases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3,842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3,767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75</w:t>
            </w:r>
          </w:p>
        </w:tc>
        <w:tc>
          <w:tcPr>
            <w:tcW w:w="1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32"/>
        </w:trPr>
        <w:tc>
          <w:tcPr>
            <w:tcW w:w="4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Interest income from real estate loans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7,652</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4,022</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3,630</w:t>
            </w:r>
          </w:p>
        </w:tc>
        <w:tc>
          <w:tcPr>
            <w:tcW w:w="1620" w:type="dxa"/>
            <w:vAlign w:val="bottom"/>
            <w:tcBorders>
              <w:bottom w:val="single" w:sz="8" w:color="CCEEFF"/>
            </w:tcBorders>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90.3 %</w:t>
            </w:r>
          </w:p>
        </w:tc>
        <w:tc>
          <w:tcPr>
            <w:tcW w:w="0" w:type="dxa"/>
            <w:vAlign w:val="bottom"/>
          </w:tcPr>
          <w:p>
            <w:pPr>
              <w:spacing w:after="0"/>
              <w:rPr>
                <w:sz w:val="1"/>
                <w:szCs w:val="1"/>
                <w:color w:val="auto"/>
              </w:rPr>
            </w:pPr>
          </w:p>
        </w:tc>
      </w:tr>
      <w:tr>
        <w:trPr>
          <w:trHeight w:val="245"/>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income from real estate</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435,449</w:t>
            </w: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397,610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37,839</w:t>
            </w:r>
          </w:p>
        </w:tc>
        <w:tc>
          <w:tcPr>
            <w:tcW w:w="1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9.5 %</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
        </w:trPr>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77"/>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Rental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1,093,682</w:t>
            </w:r>
          </w:p>
        </w:tc>
        <w:tc>
          <w:tcPr>
            <w:tcW w:w="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1,021,534</w:t>
            </w: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72,148</w:t>
            </w:r>
          </w:p>
        </w:tc>
        <w:tc>
          <w:tcPr>
            <w:tcW w:w="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from investment in leases, financing receivables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158,555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143,756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14,799</w:t>
            </w:r>
          </w:p>
        </w:tc>
        <w:tc>
          <w:tcPr>
            <w:tcW w:w="8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10.3 %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from sales-type leases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11,517</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8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Interest income from real estate loans</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22,199</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11,142</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11,057</w:t>
            </w:r>
          </w:p>
        </w:tc>
        <w:tc>
          <w:tcPr>
            <w:tcW w:w="8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7"/>
                <w:szCs w:val="17"/>
                <w:color w:val="auto"/>
              </w:rPr>
              <w:t>99.2 %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income from real estate</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1,285,953</w:t>
            </w:r>
          </w:p>
        </w:tc>
        <w:tc>
          <w:tcPr>
            <w:tcW w:w="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1,187,721</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98,232</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income from real estate</w:t>
      </w:r>
    </w:p>
    <w:p>
      <w:pPr>
        <w:spacing w:after="0" w:line="234" w:lineRule="exact"/>
        <w:rPr>
          <w:sz w:val="20"/>
          <w:szCs w:val="20"/>
          <w:color w:val="auto"/>
        </w:rPr>
      </w:pPr>
    </w:p>
    <w:p>
      <w:pPr>
        <w:jc w:val="both"/>
        <w:ind w:left="620" w:hanging="307"/>
        <w:spacing w:after="0" w:line="257" w:lineRule="auto"/>
        <w:tabs>
          <w:tab w:leader="none" w:pos="609" w:val="left"/>
        </w:tabs>
        <w:numPr>
          <w:ilvl w:val="0"/>
          <w:numId w:val="2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7"/>
          <w:szCs w:val="17"/>
          <w:color w:val="auto"/>
        </w:rPr>
        <w:t>Total income from real estate increased by $37.8 million to $435.4 million for the three months ended September 30, 2026 compared to $397.6 million for the corresponding period in the prior year. The reason for the increase was primarily due to our recent acquisitions which in the aggregate increased cash rental income by $43.2 million for the three months ended September 30, 2026. Additionally, the three months ended September 30, 2026 benefited by $4.6 million compared to the corresponding period in the prior year from escalations on our leases, higher ground rent revenue of $0.2 million and higher accretion of $0.4 million on our investment in leases partially offset by unfavorable straight-line rent adjustments of $9.7 million and lower percentage rents of $0.8 million compared to the corresponding period in the prior year.</w:t>
      </w:r>
    </w:p>
    <w:p>
      <w:pPr>
        <w:spacing w:after="0" w:line="201" w:lineRule="exact"/>
        <w:rPr>
          <w:rFonts w:ascii="Times New Roman" w:cs="Times New Roman" w:eastAsia="Times New Roman" w:hAnsi="Times New Roman"/>
          <w:sz w:val="19"/>
          <w:szCs w:val="19"/>
          <w:b w:val="1"/>
          <w:bCs w:val="1"/>
          <w:color w:val="auto"/>
        </w:rPr>
      </w:pPr>
    </w:p>
    <w:p>
      <w:pPr>
        <w:jc w:val="both"/>
        <w:ind w:left="620" w:hanging="307"/>
        <w:spacing w:after="0" w:line="260"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income from real estate increased by $98.2 million to $1,286.0 million for the nine months ended September 30, 2026 compared to $1,187.7 million for the corresponding period in the prior year. The reason for the increase was primarily due to our recent acquisitions which in the aggregate increased cash rental income by $110.1 million for the nine months ended September 30, 2026. Additionally, the nine months ended September 30, 2026 benefited by $13.5 million compared to the corresponding period in the prior year from escalations on our leases, higher ground rent revenue of $0.8 million and higher accretion of $1.4 million on our investment in leases. These items were partially offset by unfavorable straight-line rent adjustments of $26.5 million and lower percentage rents of $1.0 million compared to the corresponding period in the prior year.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2" w:name="page53"/>
    <w:bookmarkEnd w:id="52"/>
    <w:p>
      <w:pPr>
        <w:ind w:left="620"/>
        <w:spacing w:after="0"/>
        <w:rPr>
          <w:sz w:val="20"/>
          <w:szCs w:val="20"/>
          <w:color w:val="auto"/>
        </w:rPr>
      </w:pPr>
      <w:r>
        <w:rPr>
          <w:rFonts w:ascii="Times New Roman" w:cs="Times New Roman" w:eastAsia="Times New Roman" w:hAnsi="Times New Roman"/>
          <w:sz w:val="17"/>
          <w:szCs w:val="17"/>
          <w:color w:val="auto"/>
        </w:rPr>
        <w:t>Details of the Company's income from real estate for the three and nine months ended September 30, 2026 were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8"/>
              </w:rPr>
              <w:t>Straight-line</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7"/>
              </w:rPr>
              <w:t>Total income</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Building base</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w w:val="96"/>
              </w:rPr>
              <w:t>Total cash</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24"/>
              <w:spacing w:after="0" w:line="141" w:lineRule="exact"/>
              <w:rPr>
                <w:sz w:val="20"/>
                <w:szCs w:val="20"/>
                <w:color w:val="auto"/>
              </w:rPr>
            </w:pPr>
            <w:r>
              <w:rPr>
                <w:rFonts w:ascii="Times New Roman" w:cs="Times New Roman" w:eastAsia="Times New Roman" w:hAnsi="Times New Roman"/>
                <w:sz w:val="14"/>
                <w:szCs w:val="14"/>
                <w:b w:val="1"/>
                <w:bCs w:val="1"/>
                <w:color w:val="auto"/>
                <w:w w:val="98"/>
              </w:rPr>
              <w:t>rent and</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Ground rent in</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Accretion on</w:t>
            </w:r>
          </w:p>
        </w:tc>
        <w:tc>
          <w:tcPr>
            <w:tcW w:w="12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shd w:val="clear" w:color="auto" w:fill="CCEEFF"/>
          </w:tcPr>
          <w:p>
            <w:pPr>
              <w:spacing w:after="0"/>
              <w:rPr>
                <w:sz w:val="12"/>
                <w:szCs w:val="12"/>
                <w:color w:val="auto"/>
              </w:rPr>
            </w:pPr>
          </w:p>
        </w:tc>
        <w:tc>
          <w:tcPr>
            <w:tcW w:w="2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7"/>
              </w:rPr>
              <w:t>Three Months Ended September 30, 2026</w:t>
            </w:r>
          </w:p>
        </w:tc>
        <w:tc>
          <w:tcPr>
            <w:tcW w:w="360" w:type="dxa"/>
            <w:vAlign w:val="bottom"/>
            <w:vMerge w:val="restart"/>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rent and other</w:t>
            </w:r>
          </w:p>
        </w:tc>
        <w:tc>
          <w:tcPr>
            <w:tcW w:w="940" w:type="dxa"/>
            <w:vAlign w:val="bottom"/>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income on real</w:t>
            </w:r>
          </w:p>
        </w:tc>
        <w:tc>
          <w:tcPr>
            <w:tcW w:w="1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24"/>
              <w:spacing w:after="0" w:line="142" w:lineRule="exact"/>
              <w:rPr>
                <w:sz w:val="20"/>
                <w:szCs w:val="20"/>
                <w:color w:val="auto"/>
              </w:rPr>
            </w:pPr>
            <w:r>
              <w:rPr>
                <w:rFonts w:ascii="Times New Roman" w:cs="Times New Roman" w:eastAsia="Times New Roman" w:hAnsi="Times New Roman"/>
                <w:sz w:val="14"/>
                <w:szCs w:val="14"/>
                <w:b w:val="1"/>
                <w:bCs w:val="1"/>
                <w:color w:val="auto"/>
                <w:w w:val="97"/>
              </w:rPr>
              <w:t>deferred rent</w:t>
            </w:r>
          </w:p>
        </w:tc>
        <w:tc>
          <w:tcPr>
            <w:tcW w:w="9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center"/>
              <w:ind w:right="24"/>
              <w:spacing w:after="0" w:line="142" w:lineRule="exact"/>
              <w:rPr>
                <w:sz w:val="20"/>
                <w:szCs w:val="20"/>
                <w:color w:val="auto"/>
              </w:rPr>
            </w:pPr>
            <w:r>
              <w:rPr>
                <w:rFonts w:ascii="Times New Roman" w:cs="Times New Roman" w:eastAsia="Times New Roman" w:hAnsi="Times New Roman"/>
                <w:sz w:val="14"/>
                <w:szCs w:val="14"/>
                <w:b w:val="1"/>
                <w:bCs w:val="1"/>
                <w:color w:val="auto"/>
                <w:w w:val="95"/>
              </w:rPr>
              <w:t>from real</w:t>
            </w: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vMerge w:val="continue"/>
            <w:shd w:val="clear" w:color="auto" w:fill="CCEEFF"/>
          </w:tcPr>
          <w:p>
            <w:pPr>
              <w:spacing w:after="0"/>
              <w:rPr>
                <w:sz w:val="16"/>
                <w:szCs w:val="16"/>
                <w:color w:val="auto"/>
              </w:rPr>
            </w:pPr>
          </w:p>
        </w:tc>
        <w:tc>
          <w:tcPr>
            <w:tcW w:w="2440" w:type="dxa"/>
            <w:vAlign w:val="bottom"/>
            <w:tcBorders>
              <w:bottom w:val="single" w:sz="8" w:color="auto"/>
            </w:tcBorders>
            <w:vMerge w:val="continue"/>
            <w:shd w:val="clear" w:color="auto" w:fill="CCEEFF"/>
          </w:tcPr>
          <w:p>
            <w:pPr>
              <w:spacing w:after="0"/>
              <w:rPr>
                <w:sz w:val="16"/>
                <w:szCs w:val="16"/>
                <w:color w:val="auto"/>
              </w:rPr>
            </w:pPr>
          </w:p>
        </w:tc>
        <w:tc>
          <w:tcPr>
            <w:tcW w:w="360" w:type="dxa"/>
            <w:vAlign w:val="bottom"/>
            <w:tcBorders>
              <w:bottom w:val="single" w:sz="8" w:color="CCEEFF"/>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43"/>
              <w:spacing w:after="0" w:line="122" w:lineRule="exact"/>
              <w:rPr>
                <w:sz w:val="20"/>
                <w:szCs w:val="20"/>
                <w:color w:val="auto"/>
              </w:rPr>
            </w:pPr>
            <w:r>
              <w:rPr>
                <w:rFonts w:ascii="Times New Roman" w:cs="Times New Roman" w:eastAsia="Times New Roman" w:hAnsi="Times New Roman"/>
                <w:sz w:val="14"/>
                <w:szCs w:val="14"/>
                <w:b w:val="1"/>
                <w:bCs w:val="1"/>
                <w:color w:val="auto"/>
              </w:rPr>
              <w:t>rent</w:t>
            </w:r>
          </w:p>
        </w:tc>
        <w:tc>
          <w:tcPr>
            <w:tcW w:w="1860" w:type="dxa"/>
            <w:vAlign w:val="bottom"/>
            <w:tcBorders>
              <w:bottom w:val="single" w:sz="8" w:color="auto"/>
            </w:tcBorders>
            <w:gridSpan w:val="4"/>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w w:val="99"/>
              </w:rPr>
              <w:t>Land base rent rental revenue</w:t>
            </w: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43"/>
              <w:spacing w:after="0" w:line="122" w:lineRule="exact"/>
              <w:rPr>
                <w:sz w:val="20"/>
                <w:szCs w:val="20"/>
                <w:color w:val="auto"/>
              </w:rPr>
            </w:pPr>
            <w:r>
              <w:rPr>
                <w:rFonts w:ascii="Times New Roman" w:cs="Times New Roman" w:eastAsia="Times New Roman" w:hAnsi="Times New Roman"/>
                <w:sz w:val="14"/>
                <w:szCs w:val="14"/>
                <w:b w:val="1"/>
                <w:bCs w:val="1"/>
                <w:color w:val="auto"/>
                <w:w w:val="98"/>
              </w:rPr>
              <w:t>estate loans</w:t>
            </w: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43"/>
              <w:spacing w:after="0" w:line="12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right="4"/>
              <w:spacing w:after="0" w:line="122" w:lineRule="exact"/>
              <w:rPr>
                <w:sz w:val="20"/>
                <w:szCs w:val="20"/>
                <w:color w:val="auto"/>
              </w:rPr>
            </w:pPr>
            <w:r>
              <w:rPr>
                <w:rFonts w:ascii="Times New Roman" w:cs="Times New Roman" w:eastAsia="Times New Roman" w:hAnsi="Times New Roman"/>
                <w:sz w:val="14"/>
                <w:szCs w:val="14"/>
                <w:b w:val="1"/>
                <w:bCs w:val="1"/>
                <w:color w:val="auto"/>
                <w:w w:val="98"/>
              </w:rPr>
              <w:t>adjustments</w:t>
            </w: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63"/>
              <w:spacing w:after="0" w:line="12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03"/>
              <w:spacing w:after="0" w:line="122" w:lineRule="exact"/>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center"/>
              <w:ind w:right="24"/>
              <w:spacing w:after="0" w:line="122" w:lineRule="exact"/>
              <w:rPr>
                <w:sz w:val="20"/>
                <w:szCs w:val="20"/>
                <w:color w:val="auto"/>
              </w:rPr>
            </w:pPr>
            <w:r>
              <w:rPr>
                <w:rFonts w:ascii="Times New Roman" w:cs="Times New Roman" w:eastAsia="Times New Roman" w:hAnsi="Times New Roman"/>
                <w:sz w:val="14"/>
                <w:szCs w:val="14"/>
                <w:b w:val="1"/>
                <w:bCs w:val="1"/>
                <w:color w:val="auto"/>
                <w:w w:val="99"/>
              </w:rPr>
              <w:t>estate</w:t>
            </w:r>
          </w:p>
        </w:tc>
        <w:tc>
          <w:tcPr>
            <w:tcW w:w="0" w:type="dxa"/>
            <w:vAlign w:val="bottom"/>
          </w:tcPr>
          <w:p>
            <w:pPr>
              <w:spacing w:after="0"/>
              <w:rPr>
                <w:sz w:val="1"/>
                <w:szCs w:val="1"/>
                <w:color w:val="auto"/>
              </w:rPr>
            </w:pPr>
          </w:p>
        </w:tc>
      </w:tr>
      <w:tr>
        <w:trPr>
          <w:trHeight w:val="20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Amended PENN Master Lease</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55,235</w:t>
            </w:r>
          </w:p>
        </w:tc>
        <w:tc>
          <w:tcPr>
            <w:tcW w:w="2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10,759</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6,512</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72,506</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4,952</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w:t>
            </w: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78,062</w:t>
            </w:r>
          </w:p>
        </w:tc>
        <w:tc>
          <w:tcPr>
            <w:tcW w:w="0" w:type="dxa"/>
            <w:vAlign w:val="bottom"/>
          </w:tcPr>
          <w:p>
            <w:pPr>
              <w:spacing w:after="0"/>
              <w:rPr>
                <w:sz w:val="1"/>
                <w:szCs w:val="1"/>
                <w:color w:val="auto"/>
              </w:rPr>
            </w:pPr>
          </w:p>
        </w:tc>
      </w:tr>
      <w:tr>
        <w:trPr>
          <w:trHeight w:val="222"/>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PENN 2023 Master Lease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70,501</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70,554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4,343</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74,897</w:t>
            </w:r>
          </w:p>
        </w:tc>
        <w:tc>
          <w:tcPr>
            <w:tcW w:w="0" w:type="dxa"/>
            <w:vAlign w:val="bottom"/>
          </w:tcPr>
          <w:p>
            <w:pPr>
              <w:spacing w:after="0"/>
              <w:rPr>
                <w:sz w:val="1"/>
                <w:szCs w:val="1"/>
                <w:color w:val="auto"/>
              </w:rPr>
            </w:pPr>
          </w:p>
        </w:tc>
      </w:tr>
      <w:tr>
        <w:trPr>
          <w:trHeight w:val="216"/>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Amended Pinnacle Master Lease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61,482</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17,814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7,316</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86,612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1,858</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90,731</w:t>
            </w:r>
          </w:p>
        </w:tc>
        <w:tc>
          <w:tcPr>
            <w:tcW w:w="0" w:type="dxa"/>
            <w:vAlign w:val="bottom"/>
          </w:tcPr>
          <w:p>
            <w:pPr>
              <w:spacing w:after="0"/>
              <w:rPr>
                <w:sz w:val="1"/>
                <w:szCs w:val="1"/>
                <w:color w:val="auto"/>
              </w:rPr>
            </w:pPr>
          </w:p>
        </w:tc>
      </w:tr>
      <w:tr>
        <w:trPr>
          <w:trHeight w:val="222"/>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PENN Morgantown Lease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806</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806</w:t>
            </w:r>
          </w:p>
        </w:tc>
        <w:tc>
          <w:tcPr>
            <w:tcW w:w="0" w:type="dxa"/>
            <w:vAlign w:val="bottom"/>
          </w:tcPr>
          <w:p>
            <w:pPr>
              <w:spacing w:after="0"/>
              <w:rPr>
                <w:sz w:val="1"/>
                <w:szCs w:val="1"/>
                <w:color w:val="auto"/>
              </w:rPr>
            </w:pPr>
          </w:p>
        </w:tc>
      </w:tr>
      <w:tr>
        <w:trPr>
          <w:trHeight w:val="216"/>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Caesars Master Lease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16,587</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5,932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22,519</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24,480</w:t>
            </w:r>
          </w:p>
        </w:tc>
        <w:tc>
          <w:tcPr>
            <w:tcW w:w="0" w:type="dxa"/>
            <w:vAlign w:val="bottom"/>
          </w:tcPr>
          <w:p>
            <w:pPr>
              <w:spacing w:after="0"/>
              <w:rPr>
                <w:sz w:val="1"/>
                <w:szCs w:val="1"/>
                <w:color w:val="auto"/>
              </w:rPr>
            </w:pPr>
          </w:p>
        </w:tc>
      </w:tr>
      <w:tr>
        <w:trPr>
          <w:trHeight w:val="222"/>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Horseshoe St. Louis Lease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6,097</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6,097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6,316</w:t>
            </w:r>
          </w:p>
        </w:tc>
        <w:tc>
          <w:tcPr>
            <w:tcW w:w="0" w:type="dxa"/>
            <w:vAlign w:val="bottom"/>
          </w:tcPr>
          <w:p>
            <w:pPr>
              <w:spacing w:after="0"/>
              <w:rPr>
                <w:sz w:val="1"/>
                <w:szCs w:val="1"/>
                <w:color w:val="auto"/>
              </w:rPr>
            </w:pPr>
          </w:p>
        </w:tc>
      </w:tr>
      <w:tr>
        <w:trPr>
          <w:trHeight w:val="216"/>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Boyd Master Lease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21,297</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3,026</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27,269</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27,830</w:t>
            </w:r>
          </w:p>
        </w:tc>
        <w:tc>
          <w:tcPr>
            <w:tcW w:w="0" w:type="dxa"/>
            <w:vAlign w:val="bottom"/>
          </w:tcPr>
          <w:p>
            <w:pPr>
              <w:spacing w:after="0"/>
              <w:rPr>
                <w:sz w:val="1"/>
                <w:szCs w:val="1"/>
                <w:color w:val="auto"/>
              </w:rPr>
            </w:pPr>
          </w:p>
        </w:tc>
      </w:tr>
      <w:tr>
        <w:trPr>
          <w:trHeight w:val="222"/>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Boyd Belterra Lease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1,848</w:t>
            </w:r>
          </w:p>
        </w:tc>
        <w:tc>
          <w:tcPr>
            <w:tcW w:w="0" w:type="dxa"/>
            <w:vAlign w:val="bottom"/>
          </w:tcPr>
          <w:p>
            <w:pPr>
              <w:spacing w:after="0"/>
              <w:rPr>
                <w:sz w:val="1"/>
                <w:szCs w:val="1"/>
                <w:color w:val="auto"/>
              </w:rPr>
            </w:pPr>
          </w:p>
        </w:tc>
      </w:tr>
      <w:tr>
        <w:trPr>
          <w:trHeight w:val="216"/>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Bally's Master Lease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27,478</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27,478</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30,134</w:t>
            </w:r>
          </w:p>
        </w:tc>
        <w:tc>
          <w:tcPr>
            <w:tcW w:w="0" w:type="dxa"/>
            <w:vAlign w:val="bottom"/>
          </w:tcPr>
          <w:p>
            <w:pPr>
              <w:spacing w:after="0"/>
              <w:rPr>
                <w:sz w:val="1"/>
                <w:szCs w:val="1"/>
                <w:color w:val="auto"/>
              </w:rPr>
            </w:pPr>
          </w:p>
        </w:tc>
      </w:tr>
      <w:tr>
        <w:trPr>
          <w:trHeight w:val="222"/>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Bally's Master Lease II</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29,572</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29,572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885</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30,391</w:t>
            </w:r>
          </w:p>
        </w:tc>
        <w:tc>
          <w:tcPr>
            <w:tcW w:w="0" w:type="dxa"/>
            <w:vAlign w:val="bottom"/>
          </w:tcPr>
          <w:p>
            <w:pPr>
              <w:spacing w:after="0"/>
              <w:rPr>
                <w:sz w:val="1"/>
                <w:szCs w:val="1"/>
                <w:color w:val="auto"/>
              </w:rPr>
            </w:pPr>
          </w:p>
        </w:tc>
      </w:tr>
      <w:tr>
        <w:trPr>
          <w:trHeight w:val="216"/>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Maryland Live! Lease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19,752</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19,752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3,294</w:t>
            </w:r>
          </w:p>
        </w:tc>
        <w:tc>
          <w:tcPr>
            <w:tcW w:w="12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25,114</w:t>
            </w:r>
          </w:p>
        </w:tc>
        <w:tc>
          <w:tcPr>
            <w:tcW w:w="0" w:type="dxa"/>
            <w:vAlign w:val="bottom"/>
          </w:tcPr>
          <w:p>
            <w:pPr>
              <w:spacing w:after="0"/>
              <w:rPr>
                <w:sz w:val="1"/>
                <w:szCs w:val="1"/>
                <w:color w:val="auto"/>
              </w:rPr>
            </w:pPr>
          </w:p>
        </w:tc>
      </w:tr>
      <w:tr>
        <w:trPr>
          <w:trHeight w:val="222"/>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Pennsylvania Live! Master Lease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13,167</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13,167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15,617</w:t>
            </w:r>
          </w:p>
        </w:tc>
        <w:tc>
          <w:tcPr>
            <w:tcW w:w="0" w:type="dxa"/>
            <w:vAlign w:val="bottom"/>
          </w:tcPr>
          <w:p>
            <w:pPr>
              <w:spacing w:after="0"/>
              <w:rPr>
                <w:sz w:val="1"/>
                <w:szCs w:val="1"/>
                <w:color w:val="auto"/>
              </w:rPr>
            </w:pPr>
          </w:p>
        </w:tc>
      </w:tr>
      <w:tr>
        <w:trPr>
          <w:trHeight w:val="216"/>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Casino Queen Master Lease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3,612</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3,659</w:t>
            </w:r>
          </w:p>
        </w:tc>
        <w:tc>
          <w:tcPr>
            <w:tcW w:w="0" w:type="dxa"/>
            <w:vAlign w:val="bottom"/>
          </w:tcPr>
          <w:p>
            <w:pPr>
              <w:spacing w:after="0"/>
              <w:rPr>
                <w:sz w:val="1"/>
                <w:szCs w:val="1"/>
                <w:color w:val="auto"/>
              </w:rPr>
            </w:pPr>
          </w:p>
        </w:tc>
      </w:tr>
      <w:tr>
        <w:trPr>
          <w:trHeight w:val="222"/>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Tropicana Las Vegas Lease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3,842</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3,842</w:t>
            </w:r>
          </w:p>
        </w:tc>
        <w:tc>
          <w:tcPr>
            <w:tcW w:w="0" w:type="dxa"/>
            <w:vAlign w:val="bottom"/>
          </w:tcPr>
          <w:p>
            <w:pPr>
              <w:spacing w:after="0"/>
              <w:rPr>
                <w:sz w:val="1"/>
                <w:szCs w:val="1"/>
                <w:color w:val="auto"/>
              </w:rPr>
            </w:pPr>
          </w:p>
        </w:tc>
      </w:tr>
      <w:tr>
        <w:trPr>
          <w:trHeight w:val="216"/>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Rockford Lease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530</w:t>
            </w:r>
          </w:p>
        </w:tc>
        <w:tc>
          <w:tcPr>
            <w:tcW w:w="12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2,624</w:t>
            </w:r>
          </w:p>
        </w:tc>
        <w:tc>
          <w:tcPr>
            <w:tcW w:w="0" w:type="dxa"/>
            <w:vAlign w:val="bottom"/>
          </w:tcPr>
          <w:p>
            <w:pPr>
              <w:spacing w:after="0"/>
              <w:rPr>
                <w:sz w:val="1"/>
                <w:szCs w:val="1"/>
                <w:color w:val="auto"/>
              </w:rPr>
            </w:pPr>
          </w:p>
        </w:tc>
      </w:tr>
      <w:tr>
        <w:trPr>
          <w:trHeight w:val="222"/>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Rockford Loan</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2,733</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2,733</w:t>
            </w:r>
          </w:p>
        </w:tc>
        <w:tc>
          <w:tcPr>
            <w:tcW w:w="0" w:type="dxa"/>
            <w:vAlign w:val="bottom"/>
          </w:tcPr>
          <w:p>
            <w:pPr>
              <w:spacing w:after="0"/>
              <w:rPr>
                <w:sz w:val="1"/>
                <w:szCs w:val="1"/>
                <w:color w:val="auto"/>
              </w:rPr>
            </w:pPr>
          </w:p>
        </w:tc>
      </w:tr>
      <w:tr>
        <w:trPr>
          <w:trHeight w:val="216"/>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Tioga Downs Lease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3,759</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3,759</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565</w:t>
            </w:r>
          </w:p>
        </w:tc>
        <w:tc>
          <w:tcPr>
            <w:tcW w:w="12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4,325</w:t>
            </w:r>
          </w:p>
        </w:tc>
        <w:tc>
          <w:tcPr>
            <w:tcW w:w="0" w:type="dxa"/>
            <w:vAlign w:val="bottom"/>
          </w:tcPr>
          <w:p>
            <w:pPr>
              <w:spacing w:after="0"/>
              <w:rPr>
                <w:sz w:val="1"/>
                <w:szCs w:val="1"/>
                <w:color w:val="auto"/>
              </w:rPr>
            </w:pPr>
          </w:p>
        </w:tc>
      </w:tr>
      <w:tr>
        <w:trPr>
          <w:trHeight w:val="222"/>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Strategic Gaming Leases</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6,170</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7,121</w:t>
            </w:r>
          </w:p>
        </w:tc>
        <w:tc>
          <w:tcPr>
            <w:tcW w:w="0" w:type="dxa"/>
            <w:vAlign w:val="bottom"/>
          </w:tcPr>
          <w:p>
            <w:pPr>
              <w:spacing w:after="0"/>
              <w:rPr>
                <w:sz w:val="1"/>
                <w:szCs w:val="1"/>
                <w:color w:val="auto"/>
              </w:rPr>
            </w:pPr>
          </w:p>
        </w:tc>
      </w:tr>
      <w:tr>
        <w:trPr>
          <w:trHeight w:val="216"/>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Ione Loan</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2,733</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2,733</w:t>
            </w:r>
          </w:p>
        </w:tc>
        <w:tc>
          <w:tcPr>
            <w:tcW w:w="0" w:type="dxa"/>
            <w:vAlign w:val="bottom"/>
          </w:tcPr>
          <w:p>
            <w:pPr>
              <w:spacing w:after="0"/>
              <w:rPr>
                <w:sz w:val="1"/>
                <w:szCs w:val="1"/>
                <w:color w:val="auto"/>
              </w:rPr>
            </w:pPr>
          </w:p>
        </w:tc>
      </w:tr>
      <w:tr>
        <w:trPr>
          <w:trHeight w:val="222"/>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Bally's Chicago Lease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12,401</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5,067</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17,468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(17,468)</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6"/>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Dry Creek Loan</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1,466</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1,466</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Virginia Live! Development</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720</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720</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720</w:t>
            </w:r>
          </w:p>
        </w:tc>
        <w:tc>
          <w:tcPr>
            <w:tcW w:w="0" w:type="dxa"/>
            <w:vAlign w:val="bottom"/>
          </w:tcPr>
          <w:p>
            <w:pPr>
              <w:spacing w:after="0"/>
              <w:rPr>
                <w:sz w:val="1"/>
                <w:szCs w:val="1"/>
                <w:color w:val="auto"/>
              </w:rPr>
            </w:pPr>
          </w:p>
        </w:tc>
      </w:tr>
      <w:tr>
        <w:trPr>
          <w:trHeight w:val="215"/>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2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347,863</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49,734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17,405</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7,652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422,654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(4,326)</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9,747</w:t>
            </w:r>
          </w:p>
        </w:tc>
        <w:tc>
          <w:tcPr>
            <w:tcW w:w="2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7,374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435,449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2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8"/>
              </w:rPr>
              <w:t>Straight-line</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6"/>
              </w:rPr>
              <w:t>Accretion on</w:t>
            </w:r>
          </w:p>
        </w:tc>
        <w:tc>
          <w:tcPr>
            <w:tcW w:w="9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income</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Building base</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w w:val="96"/>
              </w:rPr>
              <w:t>Total cash</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24"/>
              <w:spacing w:after="0" w:line="141" w:lineRule="exact"/>
              <w:rPr>
                <w:sz w:val="20"/>
                <w:szCs w:val="20"/>
                <w:color w:val="auto"/>
              </w:rPr>
            </w:pPr>
            <w:r>
              <w:rPr>
                <w:rFonts w:ascii="Times New Roman" w:cs="Times New Roman" w:eastAsia="Times New Roman" w:hAnsi="Times New Roman"/>
                <w:sz w:val="14"/>
                <w:szCs w:val="14"/>
                <w:b w:val="1"/>
                <w:bCs w:val="1"/>
                <w:color w:val="auto"/>
                <w:w w:val="98"/>
              </w:rPr>
              <w:t>rent and</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Ground rent in</w:t>
            </w:r>
          </w:p>
        </w:tc>
        <w:tc>
          <w:tcPr>
            <w:tcW w:w="10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shd w:val="clear" w:color="auto" w:fill="CCEEFF"/>
          </w:tcPr>
          <w:p>
            <w:pPr>
              <w:spacing w:after="0"/>
              <w:rPr>
                <w:sz w:val="12"/>
                <w:szCs w:val="12"/>
                <w:color w:val="auto"/>
              </w:rPr>
            </w:pPr>
          </w:p>
        </w:tc>
        <w:tc>
          <w:tcPr>
            <w:tcW w:w="2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7"/>
              </w:rPr>
              <w:t>Nine Months Ended September 30, 2026</w:t>
            </w:r>
          </w:p>
        </w:tc>
        <w:tc>
          <w:tcPr>
            <w:tcW w:w="480" w:type="dxa"/>
            <w:vAlign w:val="bottom"/>
            <w:vMerge w:val="restart"/>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60" w:type="dxa"/>
            <w:vAlign w:val="bottom"/>
            <w:gridSpan w:val="4"/>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rent and other income on real</w:t>
            </w:r>
          </w:p>
        </w:tc>
        <w:tc>
          <w:tcPr>
            <w:tcW w:w="1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24"/>
              <w:spacing w:after="0" w:line="142" w:lineRule="exact"/>
              <w:rPr>
                <w:sz w:val="20"/>
                <w:szCs w:val="20"/>
                <w:color w:val="auto"/>
              </w:rPr>
            </w:pPr>
            <w:r>
              <w:rPr>
                <w:rFonts w:ascii="Times New Roman" w:cs="Times New Roman" w:eastAsia="Times New Roman" w:hAnsi="Times New Roman"/>
                <w:sz w:val="14"/>
                <w:szCs w:val="14"/>
                <w:b w:val="1"/>
                <w:bCs w:val="1"/>
                <w:color w:val="auto"/>
                <w:w w:val="97"/>
              </w:rPr>
              <w:t>deferred rent</w:t>
            </w:r>
          </w:p>
        </w:tc>
        <w:tc>
          <w:tcPr>
            <w:tcW w:w="9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center"/>
              <w:ind w:right="24"/>
              <w:spacing w:after="0" w:line="142" w:lineRule="exact"/>
              <w:rPr>
                <w:sz w:val="20"/>
                <w:szCs w:val="20"/>
                <w:color w:val="auto"/>
              </w:rPr>
            </w:pPr>
            <w:r>
              <w:rPr>
                <w:rFonts w:ascii="Times New Roman" w:cs="Times New Roman" w:eastAsia="Times New Roman" w:hAnsi="Times New Roman"/>
                <w:sz w:val="14"/>
                <w:szCs w:val="14"/>
                <w:b w:val="1"/>
                <w:bCs w:val="1"/>
                <w:color w:val="auto"/>
                <w:w w:val="96"/>
              </w:rPr>
              <w:t>financing</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ind w:right="63"/>
              <w:spacing w:after="0" w:line="142" w:lineRule="exact"/>
              <w:rPr>
                <w:sz w:val="20"/>
                <w:szCs w:val="20"/>
                <w:color w:val="auto"/>
              </w:rPr>
            </w:pPr>
            <w:r>
              <w:rPr>
                <w:rFonts w:ascii="Times New Roman" w:cs="Times New Roman" w:eastAsia="Times New Roman" w:hAnsi="Times New Roman"/>
                <w:sz w:val="14"/>
                <w:szCs w:val="14"/>
                <w:b w:val="1"/>
                <w:bCs w:val="1"/>
                <w:color w:val="auto"/>
                <w:w w:val="99"/>
              </w:rPr>
              <w:t>from real</w:t>
            </w: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vMerge w:val="continue"/>
            <w:shd w:val="clear" w:color="auto" w:fill="CCEEFF"/>
          </w:tcPr>
          <w:p>
            <w:pPr>
              <w:spacing w:after="0"/>
              <w:rPr>
                <w:sz w:val="16"/>
                <w:szCs w:val="16"/>
                <w:color w:val="auto"/>
              </w:rPr>
            </w:pPr>
          </w:p>
        </w:tc>
        <w:tc>
          <w:tcPr>
            <w:tcW w:w="2360" w:type="dxa"/>
            <w:vAlign w:val="bottom"/>
            <w:tcBorders>
              <w:bottom w:val="single" w:sz="8" w:color="auto"/>
            </w:tcBorders>
            <w:vMerge w:val="continue"/>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43"/>
              <w:spacing w:after="0" w:line="122" w:lineRule="exact"/>
              <w:rPr>
                <w:sz w:val="20"/>
                <w:szCs w:val="20"/>
                <w:color w:val="auto"/>
              </w:rPr>
            </w:pPr>
            <w:r>
              <w:rPr>
                <w:rFonts w:ascii="Times New Roman" w:cs="Times New Roman" w:eastAsia="Times New Roman" w:hAnsi="Times New Roman"/>
                <w:sz w:val="14"/>
                <w:szCs w:val="14"/>
                <w:b w:val="1"/>
                <w:bCs w:val="1"/>
                <w:color w:val="auto"/>
              </w:rPr>
              <w:t>rent</w:t>
            </w:r>
          </w:p>
        </w:tc>
        <w:tc>
          <w:tcPr>
            <w:tcW w:w="1840" w:type="dxa"/>
            <w:vAlign w:val="bottom"/>
            <w:tcBorders>
              <w:bottom w:val="single" w:sz="8" w:color="auto"/>
            </w:tcBorders>
            <w:gridSpan w:val="4"/>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w w:val="98"/>
              </w:rPr>
              <w:t>Land base rent rental revenue</w:t>
            </w: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43"/>
              <w:spacing w:after="0" w:line="122" w:lineRule="exact"/>
              <w:rPr>
                <w:sz w:val="20"/>
                <w:szCs w:val="20"/>
                <w:color w:val="auto"/>
              </w:rPr>
            </w:pPr>
            <w:r>
              <w:rPr>
                <w:rFonts w:ascii="Times New Roman" w:cs="Times New Roman" w:eastAsia="Times New Roman" w:hAnsi="Times New Roman"/>
                <w:sz w:val="14"/>
                <w:szCs w:val="14"/>
                <w:b w:val="1"/>
                <w:bCs w:val="1"/>
                <w:color w:val="auto"/>
                <w:w w:val="98"/>
              </w:rPr>
              <w:t>estate loans</w:t>
            </w: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43"/>
              <w:spacing w:after="0" w:line="12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right="4"/>
              <w:spacing w:after="0" w:line="122" w:lineRule="exact"/>
              <w:rPr>
                <w:sz w:val="20"/>
                <w:szCs w:val="20"/>
                <w:color w:val="auto"/>
              </w:rPr>
            </w:pPr>
            <w:r>
              <w:rPr>
                <w:rFonts w:ascii="Times New Roman" w:cs="Times New Roman" w:eastAsia="Times New Roman" w:hAnsi="Times New Roman"/>
                <w:sz w:val="14"/>
                <w:szCs w:val="14"/>
                <w:b w:val="1"/>
                <w:bCs w:val="1"/>
                <w:color w:val="auto"/>
                <w:w w:val="98"/>
              </w:rPr>
              <w:t>adjustments</w:t>
            </w: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63"/>
              <w:spacing w:after="0" w:line="12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center"/>
              <w:ind w:right="24"/>
              <w:spacing w:after="0" w:line="122" w:lineRule="exact"/>
              <w:rPr>
                <w:sz w:val="20"/>
                <w:szCs w:val="20"/>
                <w:color w:val="auto"/>
              </w:rPr>
            </w:pPr>
            <w:r>
              <w:rPr>
                <w:rFonts w:ascii="Times New Roman" w:cs="Times New Roman" w:eastAsia="Times New Roman" w:hAnsi="Times New Roman"/>
                <w:sz w:val="14"/>
                <w:szCs w:val="14"/>
                <w:b w:val="1"/>
                <w:bCs w:val="1"/>
                <w:color w:val="auto"/>
                <w:w w:val="99"/>
              </w:rPr>
              <w:t>leases</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center"/>
              <w:ind w:right="63"/>
              <w:spacing w:after="0" w:line="122" w:lineRule="exact"/>
              <w:rPr>
                <w:sz w:val="20"/>
                <w:szCs w:val="20"/>
                <w:color w:val="auto"/>
              </w:rPr>
            </w:pPr>
            <w:r>
              <w:rPr>
                <w:rFonts w:ascii="Times New Roman" w:cs="Times New Roman" w:eastAsia="Times New Roman" w:hAnsi="Times New Roman"/>
                <w:sz w:val="14"/>
                <w:szCs w:val="14"/>
                <w:b w:val="1"/>
                <w:bCs w:val="1"/>
                <w:color w:val="auto"/>
                <w:w w:val="93"/>
              </w:rPr>
              <w:t>estate</w:t>
            </w:r>
          </w:p>
        </w:tc>
        <w:tc>
          <w:tcPr>
            <w:tcW w:w="0" w:type="dxa"/>
            <w:vAlign w:val="bottom"/>
          </w:tcPr>
          <w:p>
            <w:pPr>
              <w:spacing w:after="0"/>
              <w:rPr>
                <w:sz w:val="1"/>
                <w:szCs w:val="1"/>
                <w:color w:val="auto"/>
              </w:rPr>
            </w:pPr>
          </w:p>
        </w:tc>
      </w:tr>
      <w:tr>
        <w:trPr>
          <w:trHeight w:val="20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Amended PENN Master Lease</w:t>
            </w:r>
          </w:p>
        </w:tc>
        <w:tc>
          <w:tcPr>
            <w:tcW w:w="1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165,704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32,276</w:t>
            </w:r>
          </w:p>
        </w:tc>
        <w:tc>
          <w:tcPr>
            <w:tcW w:w="1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19,487</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217,467</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14,856</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1,853</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234,176</w:t>
            </w:r>
          </w:p>
        </w:tc>
        <w:tc>
          <w:tcPr>
            <w:tcW w:w="0" w:type="dxa"/>
            <w:vAlign w:val="bottom"/>
          </w:tcPr>
          <w:p>
            <w:pPr>
              <w:spacing w:after="0"/>
              <w:rPr>
                <w:sz w:val="1"/>
                <w:szCs w:val="1"/>
                <w:color w:val="auto"/>
              </w:rPr>
            </w:pPr>
          </w:p>
        </w:tc>
      </w:tr>
      <w:tr>
        <w:trPr>
          <w:trHeight w:val="222"/>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PENN 2023 Master Lease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203,125</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203,398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12,599</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215,997</w:t>
            </w:r>
          </w:p>
        </w:tc>
        <w:tc>
          <w:tcPr>
            <w:tcW w:w="0" w:type="dxa"/>
            <w:vAlign w:val="bottom"/>
          </w:tcPr>
          <w:p>
            <w:pPr>
              <w:spacing w:after="0"/>
              <w:rPr>
                <w:sz w:val="1"/>
                <w:szCs w:val="1"/>
                <w:color w:val="auto"/>
              </w:rPr>
            </w:pPr>
          </w:p>
        </w:tc>
      </w:tr>
      <w:tr>
        <w:trPr>
          <w:trHeight w:val="216"/>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Amended Pinnacle Master Lease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184,447</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53,442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23,022</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260,911</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5,574</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6,717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273,202</w:t>
            </w:r>
          </w:p>
        </w:tc>
        <w:tc>
          <w:tcPr>
            <w:tcW w:w="0" w:type="dxa"/>
            <w:vAlign w:val="bottom"/>
          </w:tcPr>
          <w:p>
            <w:pPr>
              <w:spacing w:after="0"/>
              <w:rPr>
                <w:sz w:val="1"/>
                <w:szCs w:val="1"/>
                <w:color w:val="auto"/>
              </w:rPr>
            </w:pPr>
          </w:p>
        </w:tc>
      </w:tr>
      <w:tr>
        <w:trPr>
          <w:trHeight w:val="222"/>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PENN Morgantown Lease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2,418</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2,418</w:t>
            </w:r>
          </w:p>
        </w:tc>
        <w:tc>
          <w:tcPr>
            <w:tcW w:w="0" w:type="dxa"/>
            <w:vAlign w:val="bottom"/>
          </w:tcPr>
          <w:p>
            <w:pPr>
              <w:spacing w:after="0"/>
              <w:rPr>
                <w:sz w:val="1"/>
                <w:szCs w:val="1"/>
                <w:color w:val="auto"/>
              </w:rPr>
            </w:pPr>
          </w:p>
        </w:tc>
      </w:tr>
      <w:tr>
        <w:trPr>
          <w:trHeight w:val="216"/>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Caesars Master Lease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49,762</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17,796</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67,558</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73,440</w:t>
            </w:r>
          </w:p>
        </w:tc>
        <w:tc>
          <w:tcPr>
            <w:tcW w:w="0" w:type="dxa"/>
            <w:vAlign w:val="bottom"/>
          </w:tcPr>
          <w:p>
            <w:pPr>
              <w:spacing w:after="0"/>
              <w:rPr>
                <w:sz w:val="1"/>
                <w:szCs w:val="1"/>
                <w:color w:val="auto"/>
              </w:rPr>
            </w:pPr>
          </w:p>
        </w:tc>
      </w:tr>
      <w:tr>
        <w:trPr>
          <w:trHeight w:val="222"/>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Horseshoe St. Louis Lease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18,289</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18,289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659</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18,948</w:t>
            </w:r>
          </w:p>
        </w:tc>
        <w:tc>
          <w:tcPr>
            <w:tcW w:w="0" w:type="dxa"/>
            <w:vAlign w:val="bottom"/>
          </w:tcPr>
          <w:p>
            <w:pPr>
              <w:spacing w:after="0"/>
              <w:rPr>
                <w:sz w:val="1"/>
                <w:szCs w:val="1"/>
                <w:color w:val="auto"/>
              </w:rPr>
            </w:pPr>
          </w:p>
        </w:tc>
      </w:tr>
      <w:tr>
        <w:trPr>
          <w:trHeight w:val="216"/>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Boyd Master Lease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63,333</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8,839</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9,106</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81,278</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80,195</w:t>
            </w:r>
          </w:p>
        </w:tc>
        <w:tc>
          <w:tcPr>
            <w:tcW w:w="0" w:type="dxa"/>
            <w:vAlign w:val="bottom"/>
          </w:tcPr>
          <w:p>
            <w:pPr>
              <w:spacing w:after="0"/>
              <w:rPr>
                <w:sz w:val="1"/>
                <w:szCs w:val="1"/>
                <w:color w:val="auto"/>
              </w:rPr>
            </w:pPr>
          </w:p>
        </w:tc>
      </w:tr>
      <w:tr>
        <w:trPr>
          <w:trHeight w:val="222"/>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Boyd Belterra Lease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2,239</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5,156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4,859</w:t>
            </w:r>
          </w:p>
        </w:tc>
        <w:tc>
          <w:tcPr>
            <w:tcW w:w="0" w:type="dxa"/>
            <w:vAlign w:val="bottom"/>
          </w:tcPr>
          <w:p>
            <w:pPr>
              <w:spacing w:after="0"/>
              <w:rPr>
                <w:sz w:val="1"/>
                <w:szCs w:val="1"/>
                <w:color w:val="auto"/>
              </w:rPr>
            </w:pPr>
          </w:p>
        </w:tc>
      </w:tr>
      <w:tr>
        <w:trPr>
          <w:trHeight w:val="216"/>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Bally's Master Lease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81,523</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81,523</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7,992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89,515</w:t>
            </w:r>
          </w:p>
        </w:tc>
        <w:tc>
          <w:tcPr>
            <w:tcW w:w="0" w:type="dxa"/>
            <w:vAlign w:val="bottom"/>
          </w:tcPr>
          <w:p>
            <w:pPr>
              <w:spacing w:after="0"/>
              <w:rPr>
                <w:sz w:val="1"/>
                <w:szCs w:val="1"/>
                <w:color w:val="auto"/>
              </w:rPr>
            </w:pPr>
          </w:p>
        </w:tc>
      </w:tr>
      <w:tr>
        <w:trPr>
          <w:trHeight w:val="222"/>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Bally's Master Lease II</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82,179</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82,179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84,736</w:t>
            </w:r>
          </w:p>
        </w:tc>
        <w:tc>
          <w:tcPr>
            <w:tcW w:w="0" w:type="dxa"/>
            <w:vAlign w:val="bottom"/>
          </w:tcPr>
          <w:p>
            <w:pPr>
              <w:spacing w:after="0"/>
              <w:rPr>
                <w:sz w:val="1"/>
                <w:szCs w:val="1"/>
                <w:color w:val="auto"/>
              </w:rPr>
            </w:pPr>
          </w:p>
        </w:tc>
      </w:tr>
      <w:tr>
        <w:trPr>
          <w:trHeight w:val="216"/>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Maryland Live! Lease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59,255</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59,255</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6,236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9,714</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75,205</w:t>
            </w:r>
          </w:p>
        </w:tc>
        <w:tc>
          <w:tcPr>
            <w:tcW w:w="0" w:type="dxa"/>
            <w:vAlign w:val="bottom"/>
          </w:tcPr>
          <w:p>
            <w:pPr>
              <w:spacing w:after="0"/>
              <w:rPr>
                <w:sz w:val="1"/>
                <w:szCs w:val="1"/>
                <w:color w:val="auto"/>
              </w:rPr>
            </w:pPr>
          </w:p>
        </w:tc>
      </w:tr>
      <w:tr>
        <w:trPr>
          <w:trHeight w:val="222"/>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Pennsylvania Live! Master Lease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39,352</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39,352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6,437</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46,715</w:t>
            </w:r>
          </w:p>
        </w:tc>
        <w:tc>
          <w:tcPr>
            <w:tcW w:w="0" w:type="dxa"/>
            <w:vAlign w:val="bottom"/>
          </w:tcPr>
          <w:p>
            <w:pPr>
              <w:spacing w:after="0"/>
              <w:rPr>
                <w:sz w:val="1"/>
                <w:szCs w:val="1"/>
                <w:color w:val="auto"/>
              </w:rPr>
            </w:pPr>
          </w:p>
        </w:tc>
      </w:tr>
      <w:tr>
        <w:trPr>
          <w:trHeight w:val="216"/>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Casino Queen Master Lease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10,598</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10,598</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10,747</w:t>
            </w:r>
          </w:p>
        </w:tc>
        <w:tc>
          <w:tcPr>
            <w:tcW w:w="0" w:type="dxa"/>
            <w:vAlign w:val="bottom"/>
          </w:tcPr>
          <w:p>
            <w:pPr>
              <w:spacing w:after="0"/>
              <w:rPr>
                <w:sz w:val="1"/>
                <w:szCs w:val="1"/>
                <w:color w:val="auto"/>
              </w:rPr>
            </w:pPr>
          </w:p>
        </w:tc>
      </w:tr>
      <w:tr>
        <w:trPr>
          <w:trHeight w:val="222"/>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Tropicana Las Vegas Lease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11,518</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11,518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11,517</w:t>
            </w:r>
          </w:p>
        </w:tc>
        <w:tc>
          <w:tcPr>
            <w:tcW w:w="0" w:type="dxa"/>
            <w:vAlign w:val="bottom"/>
          </w:tcPr>
          <w:p>
            <w:pPr>
              <w:spacing w:after="0"/>
              <w:rPr>
                <w:sz w:val="1"/>
                <w:szCs w:val="1"/>
                <w:color w:val="auto"/>
              </w:rPr>
            </w:pPr>
          </w:p>
        </w:tc>
      </w:tr>
      <w:tr>
        <w:trPr>
          <w:trHeight w:val="216"/>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Rockford Lease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6,256</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6,256</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1,579</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7,835</w:t>
            </w:r>
          </w:p>
        </w:tc>
        <w:tc>
          <w:tcPr>
            <w:tcW w:w="0" w:type="dxa"/>
            <w:vAlign w:val="bottom"/>
          </w:tcPr>
          <w:p>
            <w:pPr>
              <w:spacing w:after="0"/>
              <w:rPr>
                <w:sz w:val="1"/>
                <w:szCs w:val="1"/>
                <w:color w:val="auto"/>
              </w:rPr>
            </w:pPr>
          </w:p>
        </w:tc>
      </w:tr>
      <w:tr>
        <w:trPr>
          <w:trHeight w:val="222"/>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Rockford Loan</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8,766</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8,766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8,766</w:t>
            </w:r>
          </w:p>
        </w:tc>
        <w:tc>
          <w:tcPr>
            <w:tcW w:w="0" w:type="dxa"/>
            <w:vAlign w:val="bottom"/>
          </w:tcPr>
          <w:p>
            <w:pPr>
              <w:spacing w:after="0"/>
              <w:rPr>
                <w:sz w:val="1"/>
                <w:szCs w:val="1"/>
                <w:color w:val="auto"/>
              </w:rPr>
            </w:pPr>
          </w:p>
        </w:tc>
      </w:tr>
      <w:tr>
        <w:trPr>
          <w:trHeight w:val="216"/>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Tioga Downs Lease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11,235</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11,235</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1,696</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12,935</w:t>
            </w:r>
          </w:p>
        </w:tc>
        <w:tc>
          <w:tcPr>
            <w:tcW w:w="0" w:type="dxa"/>
            <w:vAlign w:val="bottom"/>
          </w:tcPr>
          <w:p>
            <w:pPr>
              <w:spacing w:after="0"/>
              <w:rPr>
                <w:sz w:val="1"/>
                <w:szCs w:val="1"/>
                <w:color w:val="auto"/>
              </w:rPr>
            </w:pPr>
          </w:p>
        </w:tc>
      </w:tr>
      <w:tr>
        <w:trPr>
          <w:trHeight w:val="222"/>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Strategic Gaming Leases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18,309</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18,309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2,688</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21,314</w:t>
            </w:r>
          </w:p>
        </w:tc>
        <w:tc>
          <w:tcPr>
            <w:tcW w:w="0" w:type="dxa"/>
            <w:vAlign w:val="bottom"/>
          </w:tcPr>
          <w:p>
            <w:pPr>
              <w:spacing w:after="0"/>
              <w:rPr>
                <w:sz w:val="1"/>
                <w:szCs w:val="1"/>
                <w:color w:val="auto"/>
              </w:rPr>
            </w:pPr>
          </w:p>
        </w:tc>
      </w:tr>
      <w:tr>
        <w:trPr>
          <w:trHeight w:val="216"/>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Ione Loan</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7,364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7,364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7,364</w:t>
            </w:r>
          </w:p>
        </w:tc>
        <w:tc>
          <w:tcPr>
            <w:tcW w:w="0" w:type="dxa"/>
            <w:vAlign w:val="bottom"/>
          </w:tcPr>
          <w:p>
            <w:pPr>
              <w:spacing w:after="0"/>
              <w:rPr>
                <w:sz w:val="1"/>
                <w:szCs w:val="1"/>
                <w:color w:val="auto"/>
              </w:rPr>
            </w:pPr>
          </w:p>
        </w:tc>
      </w:tr>
      <w:tr>
        <w:trPr>
          <w:trHeight w:val="222"/>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Bally's Chicago Lease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26,756</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15,067</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41,823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(41,823)</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6"/>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Dry Creek Loan</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4,348</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4,348</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Virginia Live! Development</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1,721</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1,721</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1,721</w:t>
            </w:r>
          </w:p>
        </w:tc>
        <w:tc>
          <w:tcPr>
            <w:tcW w:w="0" w:type="dxa"/>
            <w:vAlign w:val="bottom"/>
          </w:tcPr>
          <w:p>
            <w:pPr>
              <w:spacing w:after="0"/>
              <w:rPr>
                <w:sz w:val="1"/>
                <w:szCs w:val="1"/>
                <w:color w:val="auto"/>
              </w:rPr>
            </w:pPr>
          </w:p>
        </w:tc>
      </w:tr>
      <w:tr>
        <w:trPr>
          <w:trHeight w:val="215"/>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1,016,106</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149,033</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53,384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22,199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1,240,722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(6,252)</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29,370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22,113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1,285,953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accordance with ASC 842, the Company records revenue for the ground lease rent paid by its tenants with an offsetting expense in land rights and ground lease expense within the condensed consolidated statements of income as the Company has concluded that as the lessee it is the primary obligor under the ground leases. The Company subleases these ground leases back to its tenants, who are responsible for payment directly to the landlord.</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recognizes earnings on Investment in leases, financing receivables and Investment in leases, sales-type based on the effective yield method using the discount rate implicit in the leases. The amounts in the table above labeled accretion on leases represent earnings recognized in excess of cash received during the period.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4" w:name="page55"/>
    <w:bookmarkEnd w:id="54"/>
    <w:p>
      <w:pPr>
        <w:ind w:left="320"/>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Operating expenses for the three and nine months ended September 30, 2026 and 2025 were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Three Months Ended September 30,</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w w:val="99"/>
              </w:rPr>
              <w:t>Percentage</w:t>
            </w:r>
          </w:p>
        </w:tc>
      </w:tr>
      <w:tr>
        <w:trPr>
          <w:trHeight w:val="206"/>
        </w:trPr>
        <w:tc>
          <w:tcPr>
            <w:tcW w:w="4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600" w:type="dxa"/>
            <w:vAlign w:val="bottom"/>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w w:val="95"/>
              </w:rPr>
              <w:t>Variance</w:t>
            </w:r>
          </w:p>
        </w:tc>
      </w:tr>
      <w:tr>
        <w:trPr>
          <w:trHeight w:val="22"/>
        </w:trPr>
        <w:tc>
          <w:tcPr>
            <w:tcW w:w="4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225"/>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rights and ground lease expense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13,785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0.7 %</w:t>
            </w:r>
          </w:p>
        </w:tc>
      </w:tr>
      <w:tr>
        <w:trPr>
          <w:trHeight w:val="232"/>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12,871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16,552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(3,681)</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3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Losses (gains) from dispositions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(6,768)</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32"/>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69,295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67,473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1,822</w:t>
            </w:r>
          </w:p>
        </w:tc>
        <w:tc>
          <w:tcPr>
            <w:tcW w:w="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2.7 %</w:t>
            </w:r>
          </w:p>
        </w:tc>
      </w:tr>
      <w:tr>
        <w:trPr>
          <w:trHeight w:val="23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(benefit) for credit losses</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36,224</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(37,363)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73,587</w:t>
            </w:r>
          </w:p>
        </w:tc>
        <w:tc>
          <w:tcPr>
            <w:tcW w:w="40" w:type="dxa"/>
            <w:vAlign w:val="bottom"/>
            <w:tcBorders>
              <w:bottom w:val="single" w:sz="8" w:color="auto"/>
            </w:tcBorders>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w:t>
            </w:r>
          </w:p>
        </w:tc>
      </w:tr>
      <w:tr>
        <w:trPr>
          <w:trHeight w:val="225"/>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125,506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60,447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65,059</w:t>
            </w:r>
          </w:p>
        </w:tc>
        <w:tc>
          <w:tcPr>
            <w:tcW w:w="40" w:type="dxa"/>
            <w:vAlign w:val="bottom"/>
            <w:tcBorders>
              <w:bottom w:val="single" w:sz="8" w:color="auto"/>
            </w:tcBorders>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107.6 %</w:t>
            </w:r>
          </w:p>
        </w:tc>
      </w:tr>
      <w:tr>
        <w:trPr>
          <w:trHeight w:val="20"/>
        </w:trPr>
        <w:tc>
          <w:tcPr>
            <w:tcW w:w="4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523"/>
        </w:trPr>
        <w:tc>
          <w:tcPr>
            <w:tcW w:w="4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Percentage</w:t>
            </w:r>
          </w:p>
        </w:tc>
      </w:tr>
      <w:tr>
        <w:trPr>
          <w:trHeight w:val="206"/>
        </w:trPr>
        <w:tc>
          <w:tcPr>
            <w:tcW w:w="4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Variance</w:t>
            </w:r>
          </w:p>
        </w:tc>
      </w:tr>
      <w:tr>
        <w:trPr>
          <w:trHeight w:val="22"/>
        </w:trPr>
        <w:tc>
          <w:tcPr>
            <w:tcW w:w="4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225"/>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rights and ground lease expense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41,282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r>
      <w:tr>
        <w:trPr>
          <w:trHeight w:val="232"/>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44,054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51,172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(7,118)</w:t>
            </w:r>
          </w:p>
        </w:tc>
        <w:tc>
          <w:tcPr>
            <w:tcW w:w="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3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Losses (gains) from dispositions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(125)</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(5,473)</w:t>
            </w:r>
          </w:p>
        </w:tc>
        <w:tc>
          <w:tcPr>
            <w:tcW w:w="4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4,378.4 %</w:t>
            </w:r>
          </w:p>
        </w:tc>
      </w:tr>
      <w:tr>
        <w:trPr>
          <w:trHeight w:val="232"/>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200,915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201,720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3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(benefit) for credit losses</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29,067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55,611</w:t>
            </w: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(26,544)</w:t>
            </w:r>
          </w:p>
        </w:tc>
        <w:tc>
          <w:tcPr>
            <w:tcW w:w="4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r>
      <w:tr>
        <w:trPr>
          <w:trHeight w:val="225"/>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310,269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349,660</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(39,391)</w:t>
            </w:r>
          </w:p>
        </w:tc>
        <w:tc>
          <w:tcPr>
            <w:tcW w:w="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0"/>
        </w:trPr>
        <w:tc>
          <w:tcPr>
            <w:tcW w:w="4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Land rights and ground lease expense</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Land rights and ground lease expense includes the amortization of land rights and rent expense related to the Company's long-term ground leases. Land rights and ground lease expense increased by $0.1 million and $0.5 million for the three and nine months ended September 30, 2026, as compared to the corresponding period in the prior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and Administrative Expense</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General and administrative expenses include items such as compensation costs (including stock-based compensation), professional services and costs associated with development activities. General and administrative expenses decreased by $3.7 million and $7.1 million for the three and nine months ended September 30, 2026 as compared to the corresponding period in the prior year. This was due to an executive severance charge of $6.3 million in the prior year partially offset by higher stock-based compensation expense and deal costs.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Losses (gains) from dispositions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three months and nine months ended September 30, 2026 included gains of $6.8 million and $5.6 million, respectively, compared to a gain of $0.1 million for the nine months ended September 30,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Depreciation</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Depreciation expense increased by $1.8 million and decreased by $0.8 million for the three and nine months ended September 30, 2026 as compared to the corresponding period in the prior year. The increase for the three month period ended September 30, 2026 was due to accelerated depreciation on certain assets. The decline for the nine month period ended September 30, 2026 was due to accelerated depreciation in the prior year related to the former Hollywood Casino Joliet and Hollywood Casino Aurora properties being redeveloped by PENN, partially offset by depreciation on recently acquired and developed assets and accelerated depreciation on certain assets.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Provision (benefit) for credit losses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recorded a provision for credit losses of $36.2 million and $29.1 million for the three and nine months ended September 30, 2026 compared to a benefit of $37.4 million and a provision of $55.6 million for the corresponding periods in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5" w:name="page56"/>
    <w:bookmarkEnd w:id="55"/>
    <w:p>
      <w:pPr>
        <w:jc w:val="both"/>
        <w:spacing w:after="0" w:line="287" w:lineRule="auto"/>
        <w:rPr>
          <w:sz w:val="20"/>
          <w:szCs w:val="20"/>
          <w:color w:val="auto"/>
        </w:rPr>
      </w:pPr>
      <w:r>
        <w:rPr>
          <w:rFonts w:ascii="Times New Roman" w:cs="Times New Roman" w:eastAsia="Times New Roman" w:hAnsi="Times New Roman"/>
          <w:sz w:val="17"/>
          <w:szCs w:val="17"/>
          <w:color w:val="auto"/>
        </w:rPr>
        <w:t>the prior year. As described in Note 3, the Company follows ASC 326 “Credit Losses”, which requires that the Company measure and record current expected credit losses, the scope of which includes our Investments in leases, financing receivables, net as well as the Company's real estate loans and loan commitments.</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provision recorded during the three and nine months ended September 30, 2026 was primarily attributable to lower projected commercial real estate price growth, largely reflecting the sharp increase in long-term interest rates during the three months ended September 30, 2026.</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benefit during the three months ended September 30, 2025 was driven by an improvement in the third-party forward-looking economic outlook used in the Company's CECL reserve calculation compared to what was utilized at June 30, 2025. The provision for the nine months ended September 30, 2025, was primarily driven by the deterioration in the third-party forward-looking economic outlook used in the Company's CECL reserve calculations compared to what was utilized at December 31, 2024.</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Future changes in economic projections, probability factors, changes in the estimated value of our real estate property and earnings assumptions at the underlying facilities may result in non-cash provisions or recoveries in future periods that could materially impact our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(expenses)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income (expenses) for the three and nine months ended September 30, 2026 and 2025 were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(98,884)</w:t>
            </w:r>
          </w:p>
        </w:tc>
        <w:tc>
          <w:tcPr>
            <w:tcW w:w="400" w:type="dxa"/>
            <w:vAlign w:val="bottom"/>
            <w:gridSpan w:val="3"/>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(94,059)</w:t>
            </w:r>
          </w:p>
        </w:tc>
        <w:tc>
          <w:tcPr>
            <w:tcW w:w="34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(4,825)</w:t>
            </w:r>
          </w:p>
        </w:tc>
        <w:tc>
          <w:tcPr>
            <w:tcW w:w="1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5.1 %</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(6,416)</w:t>
            </w: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(66.0)%</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Losses on debt extinguishment and other financing costs</w:t>
            </w:r>
          </w:p>
        </w:tc>
        <w:tc>
          <w:tcPr>
            <w:tcW w:w="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(3,783)</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w w:val="99"/>
              </w:rPr>
              <w:t>3,783</w:t>
            </w: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other expenses</w:t>
            </w: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(95,580)</w:t>
            </w:r>
          </w:p>
        </w:tc>
        <w:tc>
          <w:tcPr>
            <w:tcW w:w="100" w:type="dxa"/>
            <w:vAlign w:val="bottom"/>
            <w:gridSpan w:val="2"/>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(88,122)</w:t>
            </w:r>
          </w:p>
        </w:tc>
        <w:tc>
          <w:tcPr>
            <w:tcW w:w="10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7"/>
                <w:szCs w:val="17"/>
                <w:color w:val="auto"/>
              </w:rPr>
              <w:t>(7,458)</w:t>
            </w: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8.5 %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7"/>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960" w:type="dxa"/>
            <w:vAlign w:val="bottom"/>
            <w:tcBorders>
              <w:bottom w:val="single" w:sz="8" w:color="CCEEFF"/>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(295,445)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(281,265)</w:t>
            </w:r>
          </w:p>
        </w:tc>
        <w:tc>
          <w:tcPr>
            <w:tcW w:w="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(14,180)</w:t>
            </w:r>
          </w:p>
        </w:tc>
        <w:tc>
          <w:tcPr>
            <w:tcW w:w="6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23,656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(13,757)</w:t>
            </w:r>
          </w:p>
        </w:tc>
        <w:tc>
          <w:tcPr>
            <w:tcW w:w="6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debt extinguishment and other financing costs</w:t>
            </w:r>
          </w:p>
        </w:tc>
        <w:tc>
          <w:tcPr>
            <w:tcW w:w="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(3,783)</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3,515</w:t>
            </w:r>
          </w:p>
        </w:tc>
        <w:tc>
          <w:tcPr>
            <w:tcW w:w="6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other expenses</w:t>
            </w:r>
          </w:p>
        </w:tc>
        <w:tc>
          <w:tcPr>
            <w:tcW w:w="2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(285,814)</w:t>
            </w:r>
          </w:p>
        </w:tc>
        <w:tc>
          <w:tcPr>
            <w:tcW w:w="60" w:type="dxa"/>
            <w:vAlign w:val="bottom"/>
          </w:tcPr>
          <w:p>
            <w:pPr>
              <w:spacing w:after="0"/>
              <w:rPr>
                <w:sz w:val="19"/>
                <w:szCs w:val="19"/>
                <w:color w:val="auto"/>
              </w:rPr>
            </w:pPr>
          </w:p>
        </w:tc>
        <w:tc>
          <w:tcPr>
            <w:tcW w:w="400" w:type="dxa"/>
            <w:vAlign w:val="bottom"/>
            <w:gridSpan w:val="3"/>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(261,392)</w:t>
            </w:r>
          </w:p>
        </w:tc>
        <w:tc>
          <w:tcPr>
            <w:tcW w:w="40" w:type="dxa"/>
            <w:vAlign w:val="bottom"/>
          </w:tcPr>
          <w:p>
            <w:pPr>
              <w:spacing w:after="0"/>
              <w:rPr>
                <w:sz w:val="19"/>
                <w:szCs w:val="19"/>
                <w:color w:val="auto"/>
              </w:rPr>
            </w:pPr>
          </w:p>
        </w:tc>
        <w:tc>
          <w:tcPr>
            <w:tcW w:w="340" w:type="dxa"/>
            <w:vAlign w:val="bottom"/>
            <w:gridSpan w:val="3"/>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(24,422)</w:t>
            </w:r>
          </w:p>
        </w:tc>
        <w:tc>
          <w:tcPr>
            <w:tcW w:w="6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Interest expense increased by $4.8 million and $14.2 million for the three and nine months ended September 30, 2026, as compared to the corresponding periods in the prior year. The increase was due to increased borrowings that partially funded our recent acquisitions.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Interest income</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Interest income declined by $6.4 million and $13.8 million for the three and nine months ended September 30, 2026, as compared to the corresponding periods in the prior year. This was due to lower cash on hand and investments in the current year periods.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Loss on debt extinguishment and other financing costs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incurred lower costs of $3.8 million and $3.5 million for the three and nine months ended September 30, 2026, as compared to the corresponding periods in the prior year. The charge for the three months ended September 30, 2025, included a call premium payment and accelerated amortization of debt issuance costs due to the retirement of Senior Notes that were scheduled to mature in April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color w:val="auto"/>
        </w:rPr>
        <w:t>Net income attributable to noncontrolling interest in the Operating Partnership</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As partial consideration for certain real estate acquisitions, the Company's operating partnership has issued OP Units. OP Units are exchangeable for common shares of the Company on a one-for-one basis, subject to certain terms and conditions. The operating partnership is a variable interest entity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be significant to the VIE. Therefore, the Company consolidates the accounts of the operating partnership, and reflects the third party ownership in this entity as a noncontrolling interest in the Condensed Consolidated Balance Sheets and allocates the proportion of net income to the noncontrolling interests on the Condensed Consolidated Statements of Income.</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Company’s net income or loss is allocated to noncontrolling interests based on the respective economic interests in the Operating Partnership associated with such noncontrolling interests and is removed from consolidated income or loss on the Condensed Consolidated Statements of Income in order to derive net income or loss attributable to common stockholders. The noncontrolling ownership percentage is calculated by dividing the economically participating LTIP Units and OP Units by the total economically participating units and shares outstanding.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primary sources of liquidity and capital resources are cash flow from operations, borrowings from banks, and proceeds from the issuance of debt and equity securities.</w:t>
      </w:r>
    </w:p>
    <w:p>
      <w:pPr>
        <w:spacing w:after="0" w:line="15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Net cash provided by operating activities was $899.5 million and $786.2 million during the nine months ended September 30, 2026 and 2025, respectively. The increase in net cash provided by operating activities of $113.4 million for the nine months ended September 30, 2026, as compared to the corresponding period in the prior year, was primarily comprised of an increase in cash receipts from customers of $122.6 million along with decreases in cash paid for operating expenses of $11.3 million, cash paid for interest of $5.1 million and cash paid for employees of $0.4 million. This was offset by increases in cash paid for taxes of $0.1 million, a decrease in interest income receipts of $24.8 million, and a decrease in cash received upon termination of a swap of $1.0 million. The increase in cash receipts collected from our customers for the nine months ended September 30, 2026, as compared to the corresponding period in the prior year, was due to the Company's recent acquisitions and lease escalations.</w:t>
      </w:r>
    </w:p>
    <w:p>
      <w:pPr>
        <w:spacing w:after="0" w:line="20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$24.8 million decline in cash collected from interest income was driven by two factors: (i) the non-recurrence of a zero-coupon bond maturity in the prior year and (ii) lower average earning balances in the current year. Upon maturity, the zero-coupon bond generated a one-time cash inflow of $10.8 million, representing the cumulative accretion of discount recognized as interest income over the life of the instrument. As no comparable maturity occurred in the current period, this resulted in a period-over-period decline in cash collections. The remaining variance is attributable to lower average earning balances, which reduced ongoing interest income.</w:t>
      </w:r>
    </w:p>
    <w:p>
      <w:pPr>
        <w:spacing w:after="0" w:line="2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decline in cash paid for interest expense relates to higher capitalized interest due to our continued development costs at Bally's Chicago, partially offset by timing differences on bond interest payments due to our bond redemptions and issuances during the nine months ended September 30, 2025. The decrease in cash paid for operating expenses is primarily attributable to changes in working capital accounts.</w:t>
      </w: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Investing activities used cash of $1,448.9 million and provided cash of $333.5 million during the nine months ended September 30, 2026 and 2025, respectively. Net cash used by investing activities during the nine months ended September 30, 2026 primarily consisted of $904.3 million for the acquisition of the real estate assets of Bally's Lincoln and PENN's Hollywood Casino Aurora landside development, additional loan fundings of $91.0 million, $472.6 million for real estate construction costs for Bally's Chicago and to a lesser extent Bally's Marquette and $9.1 million for expenditures of property and equipment and capital expenditures. This was partially offset by the principal payments on real estate loans of $16.5 million and proceeds from the sale of property and equipment of $11.6 million. The net cash provided by investing activities for the nine months ended September 30, 2025 primarily consisted of the maturity of zero coupon U.S. Treasury Bills totaling $550.0 million, partially offset by $135.0 million for the acquisition of the real estate assets which were added to the Bally's Master Lease, capital expenditures of $57.5 million and loan fundings of $24.2 million.</w:t>
      </w:r>
    </w:p>
    <w:p>
      <w:pPr>
        <w:spacing w:after="0" w:line="204"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Financing activities provided cash of $490.8 million and used cash of $830.6 million during the nine months ended September 30, 2026 and 2025, respectively. Net cash provided by financing activities for the nine months ended September 30, 2026 primarily consisted of $2,156.9 million in proceeds from the issuance of long-term debt and $350.8 million in net proceeds from the issuance of common stock. This was partially offset by the repayment of long term debt of $1,281.6 million, dividend payments of $698.4 million, noncontrolling interest distributions of $21.2 million, and taxes paid related to shares withheld for tax purposes on restricted stock award vestings of $6.4 million, and new debt issuance costs of $9.1 million. Cash used in financing activities during the nine months ended September 30, 2025 was driven by the repayment of long term debt of $1,825.2 million, dividend payments of $650.9 million, noncontrolling interest distributions of $19.3 million, taxes paid related to shares withheld for tax purposes on restricted stock award vestings of $14.8 million, debt issuance costs of $12.4 million and $2.9 million of premium and related costs paid on the retirement of certain Senior Notes, partially offset by $402.9 million of net proceeds from the issuance of common stock and $1,292.2 million in proceeds from the issuance of long term debt.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Capital Expenditures</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Capital expenditures are accounted for as either capital project expenditures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8" w:name="page59"/>
    <w:bookmarkEnd w:id="58"/>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nine months ended September 30, 2026 and 2025, we spent approximately $472.6 million and $57.5 million, respectively, for capital expenditures. The majority of the capital expenditures in 2026 are related to the Chicago development project. The expenditures in 2025 were related to a land side and hotel development project at The Belle.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Debt</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has access to a $2.09 billion variable rate Revolver under its Credit Agreement, of which $329.1 million is outstanding as of September 30, 2026. Additionally, the Company was contingently obligated under letters of credit issued pursuant to the Credit Agreement with face amounts aggregating approximately $0.4 million, resulting in $1,760.5 million of available borrowing capacity under the Credit Agreement as of September 30, 2026.</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has $8.08 billion of net debt outstanding with a weighted average maturity and interest rate of 6.6 years and 5.10%, respectively as of September 30, 2026. The majority of the Company's debt obligations have fixed interest rates from the issuance of its senior unsecured notes. During the nine months ended September 30, 2026, the Company issued $800 million of 5.625% Senior Notes that mature on March 1, 2036 at an issue price of 99.857% of the principal amount. The proceeds of the offering were utilized to repay borrowings under the 2022 Term Loan Credit Agreement and for working capital and general corporate purposes. See Note 7 for the future minimum repayments of the Company's debt obligations and additional discussion.</w:t>
      </w:r>
    </w:p>
    <w:p>
      <w:pPr>
        <w:spacing w:after="0" w:line="188" w:lineRule="exact"/>
        <w:rPr>
          <w:sz w:val="20"/>
          <w:szCs w:val="20"/>
          <w:color w:val="auto"/>
        </w:rPr>
      </w:pPr>
    </w:p>
    <w:p>
      <w:pPr>
        <w:ind w:right="100" w:firstLine="619"/>
        <w:spacing w:after="0" w:line="248" w:lineRule="auto"/>
        <w:rPr>
          <w:sz w:val="20"/>
          <w:szCs w:val="20"/>
          <w:color w:val="auto"/>
        </w:rPr>
      </w:pPr>
      <w:r>
        <w:rPr>
          <w:rFonts w:ascii="Times New Roman" w:cs="Times New Roman" w:eastAsia="Times New Roman" w:hAnsi="Times New Roman"/>
          <w:sz w:val="17"/>
          <w:szCs w:val="17"/>
          <w:color w:val="auto"/>
        </w:rPr>
        <w:t>As of September 30, 2026, GLPI owns 96.9% of the outstanding units of GLP Capital and conducts all of its operations substantially through the operating partnership. Based on the amendments to Rule 3-10 of Regulation S-X, we note that since GLPI fully and unconditionally guarantees the debt securities of GLP Capital and GLP Financing II, Inc. ("Issuers") and consolidates both Issuers, we are not required to provide separate financial statements for the Issuers and GLPI since they are consolidated into GLPI and the GLPI guarantee is "full and unconditional".</w:t>
      </w:r>
    </w:p>
    <w:p>
      <w:pPr>
        <w:spacing w:after="0" w:line="10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Furthermore, as permitted under Rule 13-01(a)(4)(vi), we excluded the summarized financial information for the Issuers because the assets, liabilities and results of operations of the Issuers and GLPI are not materially different than the corresponding amounts in GLPI's consolidated financial statements and we believe such summarized financial information would be repetitive and would not provide incremental value to investors.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Distribution Requirements</w:t>
      </w:r>
    </w:p>
    <w:p>
      <w:pPr>
        <w:spacing w:after="0" w:line="24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 To the extent any of the Company's taxable income was not previously distributed, the Company will make a dividend declaration pursuant to Section 858(a)(1) of the Code, allowing the Company to treat certain dividends that are to be distributed after the close of a taxable year as having been paid during the taxable year.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Outlook</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Based on our current level of operations and anticipated earnings, we believe that cash generated from operations and cash on hand, together with amounts available under our Credit Agreement and our ability to raise equity proceeds (including through the use of our 2025 ATM Program), will be adequate to meet our anticipated debt service requirements, funding commitments, capital expenditures, working capital needs and dividend requirements for the next twelve months and beyond.</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expect the majority of our future growth to come from funding commitments to our tenants and acquisitions of gaming and other properties to lease to third parties. If we consummate significant transactions in the future, our cash requirements may increase significantly and we would likely need to raise additional proceeds through a combination of either common equity, issuance of additional OP Units, and/or debt offerings. Our future operating performance and our ability to service or refinance our debt will be subject to future economic conditions and to financial, business and other factors, many of which are beyond our control. See "Risk Factors-Risks Related to Our Capital Structure" in the Company's Annual Report on Form 10-K for the year ended December 31, 2025, for a discussion of the risk related to our capital structure.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face market risk exposure in the form of interest rate risk. These market risks arise from our debt obligations. We have no international operations.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exposure to foreign currency fluctuations is not significant to our financial condition or results of operations.</w:t>
      </w:r>
    </w:p>
    <w:p>
      <w:pPr>
        <w:spacing w:after="0" w:line="2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GLPI’s primary market risk exposure is interest rate risk with respect to its indebtedness of $8,158.1 million at September 30, 2026. Furthermore, $7,150.0 million of our obligations at September 30, 2026 are the senior unsecured notes that have fixed interest rates with maturity dates ranging from June 2028 to September 2054.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table below provides information at September 30, 2026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SOFR rates at September 30, 2026.</w:t>
      </w:r>
    </w:p>
    <w:p>
      <w:pPr>
        <w:spacing w:after="0" w:line="221"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w w:val="95"/>
              </w:rPr>
              <w:t>10/01/26-</w:t>
            </w: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1/01/27-</w:t>
            </w: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1/01/28-</w:t>
            </w:r>
          </w:p>
        </w:tc>
        <w:tc>
          <w:tcPr>
            <w:tcW w:w="10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1/01/29-</w:t>
            </w:r>
          </w:p>
        </w:tc>
        <w:tc>
          <w:tcPr>
            <w:tcW w:w="9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1/01/30-</w:t>
            </w:r>
          </w:p>
        </w:tc>
        <w:tc>
          <w:tcPr>
            <w:tcW w:w="11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9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w w:val="95"/>
              </w:rPr>
              <w:t>Fair Value at</w:t>
            </w:r>
          </w:p>
        </w:tc>
        <w:tc>
          <w:tcPr>
            <w:tcW w:w="0" w:type="dxa"/>
            <w:vAlign w:val="bottom"/>
          </w:tcPr>
          <w:p>
            <w:pPr>
              <w:spacing w:after="0"/>
              <w:rPr>
                <w:sz w:val="1"/>
                <w:szCs w:val="1"/>
                <w:color w:val="auto"/>
              </w:rPr>
            </w:pPr>
          </w:p>
        </w:tc>
      </w:tr>
      <w:tr>
        <w:trPr>
          <w:trHeight w:val="182"/>
        </w:trPr>
        <w:tc>
          <w:tcPr>
            <w:tcW w:w="7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12/31/26</w:t>
            </w:r>
          </w:p>
        </w:tc>
        <w:tc>
          <w:tcPr>
            <w:tcW w:w="9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12/31/27</w:t>
            </w:r>
          </w:p>
        </w:tc>
        <w:tc>
          <w:tcPr>
            <w:tcW w:w="10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12/31/28</w:t>
            </w:r>
          </w:p>
        </w:tc>
        <w:tc>
          <w:tcPr>
            <w:tcW w:w="10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12/31/29</w:t>
            </w: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12/31/30</w:t>
            </w:r>
          </w:p>
        </w:tc>
        <w:tc>
          <w:tcPr>
            <w:tcW w:w="11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9/30/2026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1532890</wp:posOffset>
            </wp:positionH>
            <wp:positionV relativeFrom="paragraph">
              <wp:posOffset>6350</wp:posOffset>
            </wp:positionV>
            <wp:extent cx="53047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04790" cy="8255"/>
                    </a:xfrm>
                    <a:prstGeom prst="rect">
                      <a:avLst/>
                    </a:prstGeom>
                    <a:noFill/>
                  </pic:spPr>
                </pic:pic>
              </a:graphicData>
            </a:graphic>
          </wp:anchor>
        </w:drawing>
      </w:r>
    </w:p>
    <w:p>
      <w:pPr>
        <w:spacing w:after="0" w:line="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40" w:type="dxa"/>
            <w:vAlign w:val="bottom"/>
            <w:tcBorders>
              <w:right w:val="single" w:sz="8" w:color="CCEEFF"/>
            </w:tcBorders>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6"/>
              </w:rPr>
              <w:t>Long-term debt:</w:t>
            </w:r>
          </w:p>
        </w:tc>
        <w:tc>
          <w:tcPr>
            <w:tcW w:w="9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84"/>
        </w:trPr>
        <w:tc>
          <w:tcPr>
            <w:tcW w:w="40" w:type="dxa"/>
            <w:vAlign w:val="bottom"/>
          </w:tcPr>
          <w:p>
            <w:pPr>
              <w:spacing w:after="0"/>
              <w:rPr>
                <w:sz w:val="15"/>
                <w:szCs w:val="15"/>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Fixed rate</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500,000</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750,000</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700,000</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5,200,000</w:t>
            </w:r>
          </w:p>
        </w:tc>
        <w:tc>
          <w:tcPr>
            <w:tcW w:w="3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7,150,000</w:t>
            </w:r>
          </w:p>
        </w:tc>
        <w:tc>
          <w:tcPr>
            <w:tcW w:w="42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6,667,085</w:t>
            </w:r>
          </w:p>
        </w:tc>
      </w:tr>
      <w:tr>
        <w:trPr>
          <w:trHeight w:val="22"/>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6"/>
        </w:trPr>
        <w:tc>
          <w:tcPr>
            <w:tcW w:w="40" w:type="dxa"/>
            <w:vAlign w:val="bottom"/>
            <w:tcBorders>
              <w:right w:val="single" w:sz="8" w:color="CCEEFF"/>
            </w:tcBorders>
          </w:tcPr>
          <w:p>
            <w:pPr>
              <w:spacing w:after="0"/>
              <w:rPr>
                <w:sz w:val="16"/>
                <w:szCs w:val="16"/>
                <w:color w:val="auto"/>
              </w:rPr>
            </w:pPr>
          </w:p>
        </w:tc>
        <w:tc>
          <w:tcPr>
            <w:tcW w:w="18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Average interest rate</w:t>
            </w:r>
          </w:p>
        </w:tc>
        <w:tc>
          <w:tcPr>
            <w:tcW w:w="6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ind w:right="27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center"/>
              <w:ind w:right="131"/>
              <w:spacing w:after="0"/>
              <w:rPr>
                <w:sz w:val="20"/>
                <w:szCs w:val="20"/>
                <w:color w:val="auto"/>
              </w:rPr>
            </w:pPr>
            <w:r>
              <w:rPr>
                <w:rFonts w:ascii="Times New Roman" w:cs="Times New Roman" w:eastAsia="Times New Roman" w:hAnsi="Times New Roman"/>
                <w:sz w:val="14"/>
                <w:szCs w:val="14"/>
                <w:color w:val="auto"/>
                <w:w w:val="93"/>
              </w:rPr>
              <w:t>—%</w:t>
            </w: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5.75%</w:t>
            </w: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5.30%</w:t>
            </w:r>
          </w:p>
        </w:tc>
        <w:tc>
          <w:tcPr>
            <w:tcW w:w="2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4.00%</w:t>
            </w: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5.15%</w:t>
            </w:r>
          </w:p>
        </w:tc>
        <w:tc>
          <w:tcPr>
            <w:tcW w:w="3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206"/>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6"/>
        </w:trPr>
        <w:tc>
          <w:tcPr>
            <w:tcW w:w="40" w:type="dxa"/>
            <w:vAlign w:val="bottom"/>
            <w:tcBorders>
              <w:right w:val="single" w:sz="8" w:color="CCEEFF"/>
            </w:tcBorders>
          </w:tcPr>
          <w:p>
            <w:pPr>
              <w:spacing w:after="0"/>
              <w:rPr>
                <w:sz w:val="16"/>
                <w:szCs w:val="16"/>
                <w:color w:val="auto"/>
              </w:rPr>
            </w:pPr>
          </w:p>
        </w:tc>
        <w:tc>
          <w:tcPr>
            <w:tcW w:w="18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Variable rate</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830</w:t>
            </w:r>
          </w:p>
        </w:tc>
        <w:tc>
          <w:tcPr>
            <w:tcW w:w="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3,325</w:t>
            </w:r>
          </w:p>
        </w:tc>
        <w:tc>
          <w:tcPr>
            <w:tcW w:w="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1,003,975</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1,008,130</w:t>
            </w:r>
          </w:p>
        </w:tc>
        <w:tc>
          <w:tcPr>
            <w:tcW w:w="4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1,008,130</w:t>
            </w:r>
          </w:p>
        </w:tc>
      </w:tr>
      <w:tr>
        <w:trPr>
          <w:trHeight w:val="236"/>
        </w:trPr>
        <w:tc>
          <w:tcPr>
            <w:tcW w:w="40" w:type="dxa"/>
            <w:vAlign w:val="bottom"/>
          </w:tcPr>
          <w:p>
            <w:pPr>
              <w:spacing w:after="0"/>
              <w:rPr>
                <w:sz w:val="20"/>
                <w:szCs w:val="20"/>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Average interest rate </w:t>
            </w:r>
            <w:r>
              <w:rPr>
                <w:rFonts w:ascii="Times New Roman" w:cs="Times New Roman" w:eastAsia="Times New Roman" w:hAnsi="Times New Roman"/>
                <w:sz w:val="17"/>
                <w:szCs w:val="17"/>
                <w:color w:val="auto"/>
                <w:vertAlign w:val="superscript"/>
              </w:rPr>
              <w:t>(1)</w:t>
            </w:r>
          </w:p>
        </w:tc>
        <w:tc>
          <w:tcPr>
            <w:tcW w:w="640" w:type="dxa"/>
            <w:vAlign w:val="bottom"/>
          </w:tcPr>
          <w:p>
            <w:pPr>
              <w:spacing w:after="0"/>
              <w:rPr>
                <w:sz w:val="20"/>
                <w:szCs w:val="20"/>
                <w:color w:val="auto"/>
              </w:rPr>
            </w:pPr>
          </w:p>
        </w:tc>
        <w:tc>
          <w:tcPr>
            <w:tcW w:w="740" w:type="dxa"/>
            <w:vAlign w:val="bottom"/>
            <w:gridSpan w:val="2"/>
          </w:tcPr>
          <w:p>
            <w:pPr>
              <w:jc w:val="right"/>
              <w:ind w:right="231"/>
              <w:spacing w:after="0"/>
              <w:rPr>
                <w:sz w:val="20"/>
                <w:szCs w:val="20"/>
                <w:color w:val="auto"/>
              </w:rPr>
            </w:pPr>
            <w:r>
              <w:rPr>
                <w:rFonts w:ascii="Times New Roman" w:cs="Times New Roman" w:eastAsia="Times New Roman" w:hAnsi="Times New Roman"/>
                <w:sz w:val="14"/>
                <w:szCs w:val="14"/>
                <w:color w:val="auto"/>
              </w:rPr>
              <w:t>5.53%</w:t>
            </w:r>
          </w:p>
        </w:tc>
        <w:tc>
          <w:tcPr>
            <w:tcW w:w="240" w:type="dxa"/>
            <w:vAlign w:val="bottom"/>
          </w:tcPr>
          <w:p>
            <w:pPr>
              <w:spacing w:after="0"/>
              <w:rPr>
                <w:sz w:val="20"/>
                <w:szCs w:val="20"/>
                <w:color w:val="auto"/>
              </w:rPr>
            </w:pP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6.16%</w:t>
            </w:r>
          </w:p>
        </w:tc>
        <w:tc>
          <w:tcPr>
            <w:tcW w:w="260" w:type="dxa"/>
            <w:vAlign w:val="bottom"/>
          </w:tcPr>
          <w:p>
            <w:pPr>
              <w:spacing w:after="0"/>
              <w:rPr>
                <w:sz w:val="20"/>
                <w:szCs w:val="20"/>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6.10%</w:t>
            </w:r>
          </w:p>
        </w:tc>
        <w:tc>
          <w:tcPr>
            <w:tcW w:w="240" w:type="dxa"/>
            <w:vAlign w:val="bottom"/>
          </w:tcPr>
          <w:p>
            <w:pPr>
              <w:spacing w:after="0"/>
              <w:rPr>
                <w:sz w:val="20"/>
                <w:szCs w:val="20"/>
                <w:color w:val="auto"/>
              </w:rPr>
            </w:pPr>
          </w:p>
        </w:tc>
        <w:tc>
          <w:tcPr>
            <w:tcW w:w="76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w w:val="93"/>
              </w:rPr>
              <w:t>—%</w:t>
            </w:r>
          </w:p>
        </w:tc>
        <w:tc>
          <w:tcPr>
            <w:tcW w:w="260" w:type="dxa"/>
            <w:vAlign w:val="bottom"/>
          </w:tcPr>
          <w:p>
            <w:pPr>
              <w:spacing w:after="0"/>
              <w:rPr>
                <w:sz w:val="20"/>
                <w:szCs w:val="20"/>
                <w:color w:val="auto"/>
              </w:rPr>
            </w:pPr>
          </w:p>
        </w:tc>
        <w:tc>
          <w:tcPr>
            <w:tcW w:w="74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0"/>
                <w:szCs w:val="20"/>
                <w:color w:val="auto"/>
              </w:rPr>
            </w:pPr>
          </w:p>
        </w:tc>
        <w:tc>
          <w:tcPr>
            <w:tcW w:w="78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44"/>
        </w:trPr>
        <w:tc>
          <w:tcPr>
            <w:tcW w:w="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r>
    </w:tbl>
    <w:p>
      <w:pPr>
        <w:spacing w:after="0" w:line="310" w:lineRule="exact"/>
        <w:rPr>
          <w:sz w:val="20"/>
          <w:szCs w:val="20"/>
          <w:color w:val="auto"/>
        </w:rPr>
      </w:pPr>
    </w:p>
    <w:p>
      <w:pPr>
        <w:ind w:right="300" w:firstLine="3"/>
        <w:spacing w:after="0" w:line="234" w:lineRule="auto"/>
        <w:tabs>
          <w:tab w:leader="none" w:pos="529" w:val="left"/>
        </w:tabs>
        <w:numPr>
          <w:ilvl w:val="0"/>
          <w:numId w:val="2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Estimated rate, reflective of forward SOFR plus the spread over SOFR applicable to the Company's variable-rate borrowing based on the terms of its Credit Agreement. Rate above includes the facility fee on the commitments under the Credit Agreement, which is due regardless of usage, at a rate that ranges from 0.125% to 0.3% per annum, depending on the credit rating assigned to the Credit Agreement from time to time. The current facility fee rate is 0.25%.</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Controls and Procedures</w:t>
      </w:r>
    </w:p>
    <w:p>
      <w:pPr>
        <w:spacing w:after="0" w:line="22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September 30, 2026,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September 30, 2026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defined in Exchange Act Rules 13a-15(f) and 15d-15(f))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Information in response to this Item is incorporated by reference to the information set forth in "Note 9: Commitments and Contingencies" in the Notes to the condensed consolidated financial statements in Part I of this Quarterly Report on Form 10-Q.</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Risk factors that affect our business and financial results are discussed in Part I, "Item 1A. Risk Factors," of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 There have been no material changes to the risk factors disclosed in Part I, Item 1A. “Risk Factors” of our Annual Report on Form 10-K for the year ended December 31, 2025, except as set forth in our Q2 Form 10-Q and below.</w:t>
      </w:r>
    </w:p>
    <w:p>
      <w:pPr>
        <w:spacing w:after="0" w:line="19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color w:val="auto"/>
        </w:rPr>
        <w:t>Deterioration in the financial condition or liquidity of Bally’s Corporation could adversely affect its ability to satisfy its obligations to us and could adversely affect our investments in properties leased to Bally’s and its affiliates.</w:t>
      </w:r>
    </w:p>
    <w:p>
      <w:pPr>
        <w:spacing w:after="0" w:line="186"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Bally’s Corporation and its affiliates are significant tenants of the Company. For the three months ended September 30, 2026, 19.4% of our total cash income was derived from our leases with Bally’s Corporation and its affiliates. As of September 30, 2026, our portfolio included the real property associated with 16 gaming and related facilities operated by Bally’s Corporation, and we had funded $640.7 million of our commitment to fund up to $940.0 million of real estate construction costs for Bally’s Chicago, which remains under development and on which rent is being paid to us monthly but the recognition of rental income is being deferred, for accounting purposes, until the project is completed.</w:t>
      </w:r>
    </w:p>
    <w:p>
      <w:pPr>
        <w:spacing w:after="0" w:line="198"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In May 2026, the lenders under Bally’s Corporation’s revolving credit facility conditionally waived compliance with its consolidated net leverage ratio covenant through the delivery of its compliance certificate for the quarter ending March 31, 2027. The waiver remains subject to Bally’s Corporation’s ongoing satisfaction of certain liquidity maintenance requirements, among other conditions. In August 2026, Bally’s Corporation disclosed that, based on its then-current forecasts and excluding financings it was pursuing, it did not project that it would satisfy the liquidity maintenance requirement or the consolidated net leverage ratio covenant once reinstated, and that these conditions raise substantial doubt about its ability to continue as a going concern. If Bally’s Corporation fails to satisfy the waiver conditions or any applicable covenants, absent an additional waiver, its lenders could accelerate the indebtedness under its credit agreement, which could have a material adverse effect on its business, financial condition and results of operations and increase the risk that Bally’s Corporation could become insolvent or seek protection under applicable bankruptcy laws.</w:t>
      </w:r>
    </w:p>
    <w:p>
      <w:pPr>
        <w:spacing w:after="0" w:line="195"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In that event, Bally’s Corporation may be unable to satisfy its rental and other obligations to us, we may be required to terminate leases with Bally's Corporation and reposition our properties with new tenants and/or complete ongoing development projects. In a bankruptcy proceeding, Bally’s Corporation could seek to reject one or more of its leases with us, in which case our claim for damages would be limited under the U.S. Bankruptcy Code and may not be fully recoverable. Because our properties are special-purpose gaming facilities and any replacement operator would be required to obtain applicable gaming licenses and approvals, we may be unable to re-lease affected properties in a timely manner, which could impact our collection of rent. Any of the foregoing could require us to record additional provisions for credit losses or impairment charges and could have a material adverse effect on our results of operations, cash flows and ability to make distributions to our shareholders.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did not repurchase any shares of common stock or sell any unregistered securities during the three months ended September 30, 2026.</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 Insider Trading Arrangements and Policies</w:t>
      </w:r>
    </w:p>
    <w:p>
      <w:pPr>
        <w:spacing w:after="0" w:line="24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September 15, 2026, Brandon Moore, the Company’s President, Chief Operating Officer, and Secretary, entered into a pre-arranged written stock sale plan in accordance with Rule 10b5-1 under the Exchange Act for the sale of shares of the Company’s common stock (the “Moore Rule 10b5-1 Plan”). The Moore Rule 10b5-1 Plan was entered into during an open trading window in accordance with the Company’s policies regarding transactions in the Company’s securities and is intended to satisfy the affirmative defense of Rule 10b5-1(c) under the Exchange Act. The Moore Rule 10b5-1 Plan provides for the potential sale of shares of the Company’s common stock, including shares received upon the vesting and settlement of restricted stock awards, between January 4, 2027 and January 29, 2027. The aggregate number of shares of common stock covered by the Moore Rule 10b5-1 Plan, before giving effect to any shares withheld or sold to satisfy tax withholding obligations, is 16,000.</w:t>
      </w:r>
    </w:p>
    <w:p>
      <w:pPr>
        <w:spacing w:after="0" w:line="20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Moore Rule 10b5-1 Plan includes a representation from Mr. Moore to the broker administering the plan that he was not in possession of any material nonpublic information regarding the Company or the securities subject to the Moore Rule 10b5-1 Plan at the time it was entered into. A similar representation was made to the Company in connection with the adoption of the Moore Rule 10b5-1 Plan under the Company’s policies regarding transactions in the Company’s securities. Those representations were made as of the date of adoption of the Moore Rule 10b5-1 Plan, and speak only as of such date. In making those representations, there is no assurance with respect to any material nonpublic information of which Mr. Moore was unaware, or with respect to any material nonpublic information acquired by Mr. Moore or the Company after the date of the 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70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2"/>
        </w:trPr>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rPr>
              <w:t>3.1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11"/>
          </w:tcPr>
          <w:p>
            <w:pPr>
              <w:spacing w:after="0" w:line="186"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Amended and Restated Articles of Incorporation of Gaming and Leisure Properties, Inc. (Incorporated by reference to Exhibit 3.1 to the</w:t>
              </w:r>
            </w:hyperlink>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60" w:type="dxa"/>
            <w:vAlign w:val="bottom"/>
            <w:tcBorders>
              <w:top w:val="single" w:sz="8" w:color="0000FF"/>
              <w:bottom w:val="single" w:sz="8" w:color="0000FF"/>
            </w:tcBorders>
            <w:gridSpan w:val="4"/>
          </w:tcPr>
          <w:p>
            <w:pPr>
              <w:spacing w:after="0" w:line="148"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Company's Current Report on Form 8-K filed on June 15, 2018).</w:t>
              </w:r>
            </w:hyperlink>
          </w:p>
        </w:tc>
        <w:tc>
          <w:tcPr>
            <w:tcW w:w="4900" w:type="dxa"/>
            <w:vAlign w:val="bottom"/>
            <w:tcBorders>
              <w:top w:val="single" w:sz="8" w:color="0000FF"/>
            </w:tcBorders>
            <w:gridSpan w:val="3"/>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25"/>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11"/>
          </w:tcPr>
          <w:p>
            <w:pPr>
              <w:spacing w:after="0"/>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Second Amended and Restated Bylaws of Gaming and Leisure Properties, Inc. (Incorporated by reference to Exhibit 3.1 to the Company's</w:t>
              </w:r>
            </w:hyperlink>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8"/>
          </w:tcPr>
          <w:p>
            <w:pPr>
              <w:spacing w:after="0" w:line="148"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Current Report on Form 8-K filed on December 13, 2023).</w:t>
              </w:r>
            </w:hyperlink>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25"/>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22.1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List of Subsidiary Issuers of Guaranteed Securities</w:t>
            </w:r>
          </w:p>
        </w:tc>
        <w:tc>
          <w:tcPr>
            <w:tcW w:w="540" w:type="dxa"/>
            <w:vAlign w:val="bottom"/>
            <w:tcBorders>
              <w:top w:val="single" w:sz="8" w:color="0000FF"/>
            </w:tcBorders>
          </w:tcPr>
          <w:p>
            <w:pPr>
              <w:spacing w:after="0"/>
              <w:rPr>
                <w:sz w:val="19"/>
                <w:szCs w:val="19"/>
                <w:color w:val="auto"/>
              </w:rPr>
            </w:pPr>
          </w:p>
        </w:tc>
        <w:tc>
          <w:tcPr>
            <w:tcW w:w="5700" w:type="dxa"/>
            <w:vAlign w:val="bottom"/>
            <w:gridSpan w:val="8"/>
          </w:tcPr>
          <w:p>
            <w:pPr>
              <w:spacing w:after="0"/>
              <w:rPr>
                <w:sz w:val="19"/>
                <w:szCs w:val="19"/>
                <w:color w:val="auto"/>
              </w:rPr>
            </w:pPr>
          </w:p>
        </w:tc>
      </w:tr>
      <w:tr>
        <w:trPr>
          <w:trHeight w:val="212"/>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Principal Executive Officer Certification pursuant to Rule 13a-14(a) or 15d-14(a) of the Securities Exchange Act of 1934.</w:t>
            </w:r>
          </w:p>
        </w:tc>
        <w:tc>
          <w:tcPr>
            <w:tcW w:w="1360" w:type="dxa"/>
            <w:vAlign w:val="bottom"/>
            <w:gridSpan w:val="5"/>
          </w:tcPr>
          <w:p>
            <w:pPr>
              <w:spacing w:after="0"/>
              <w:rPr>
                <w:sz w:val="18"/>
                <w:szCs w:val="18"/>
                <w:color w:val="auto"/>
              </w:rPr>
            </w:pPr>
          </w:p>
        </w:tc>
      </w:tr>
      <w:tr>
        <w:trPr>
          <w:trHeight w:val="212"/>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Principal Financial Officer Certification pursuant to Rule 13a-14(a) or 15d-14(a) of the Securities Exchange Act of 1934.</w:t>
            </w:r>
          </w:p>
        </w:tc>
        <w:tc>
          <w:tcPr>
            <w:tcW w:w="1400" w:type="dxa"/>
            <w:vAlign w:val="bottom"/>
            <w:gridSpan w:val="6"/>
          </w:tcPr>
          <w:p>
            <w:pPr>
              <w:spacing w:after="0"/>
              <w:rPr>
                <w:sz w:val="18"/>
                <w:szCs w:val="18"/>
                <w:color w:val="auto"/>
              </w:rPr>
            </w:pPr>
          </w:p>
        </w:tc>
      </w:tr>
      <w:tr>
        <w:trPr>
          <w:trHeight w:val="212"/>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Principal Executive Officer Certification pursuant to 18 U.S.C. Section 1350, as adopted pursuant to Section 906 of the Sarbanes-Oxley Act</w:t>
            </w:r>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FF"/>
              <w:bottom w:val="single" w:sz="8" w:color="0000FF"/>
            </w:tcBorders>
          </w:tcPr>
          <w:p>
            <w:pPr>
              <w:spacing w:after="0" w:line="148" w:lineRule="exact"/>
              <w:rPr>
                <w:sz w:val="20"/>
                <w:szCs w:val="20"/>
                <w:color w:val="auto"/>
              </w:rPr>
            </w:pPr>
            <w:r>
              <w:rPr>
                <w:rFonts w:ascii="Times New Roman" w:cs="Times New Roman" w:eastAsia="Times New Roman" w:hAnsi="Times New Roman"/>
                <w:sz w:val="17"/>
                <w:szCs w:val="17"/>
                <w:color w:val="0000FF"/>
                <w:w w:val="98"/>
              </w:rPr>
              <w:t>of 2002.</w:t>
            </w:r>
          </w:p>
        </w:tc>
        <w:tc>
          <w:tcPr>
            <w:tcW w:w="9060" w:type="dxa"/>
            <w:vAlign w:val="bottom"/>
            <w:tcBorders>
              <w:top w:val="single" w:sz="8" w:color="0000FF"/>
            </w:tcBorders>
            <w:gridSpan w:val="9"/>
          </w:tcPr>
          <w:p>
            <w:pPr>
              <w:spacing w:after="0"/>
              <w:rPr>
                <w:sz w:val="12"/>
                <w:szCs w:val="12"/>
                <w:color w:val="auto"/>
              </w:rPr>
            </w:pPr>
          </w:p>
        </w:tc>
        <w:tc>
          <w:tcPr>
            <w:tcW w:w="100" w:type="dxa"/>
            <w:vAlign w:val="bottom"/>
          </w:tcPr>
          <w:p>
            <w:pPr>
              <w:spacing w:after="0"/>
              <w:rPr>
                <w:sz w:val="12"/>
                <w:szCs w:val="12"/>
                <w:color w:val="auto"/>
              </w:rPr>
            </w:pPr>
          </w:p>
        </w:tc>
      </w:tr>
      <w:tr>
        <w:trPr>
          <w:trHeight w:val="225"/>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Principal Financial Officer Certification pursuant to 18 U.S.C. Section 1350, as adopted pursuant to Section 906 of the Sarbanes-Oxley Act</w:t>
            </w:r>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FF"/>
              <w:bottom w:val="single" w:sz="8" w:color="0000FF"/>
            </w:tcBorders>
          </w:tcPr>
          <w:p>
            <w:pPr>
              <w:spacing w:after="0" w:line="148" w:lineRule="exact"/>
              <w:rPr>
                <w:sz w:val="20"/>
                <w:szCs w:val="20"/>
                <w:color w:val="auto"/>
              </w:rPr>
            </w:pPr>
            <w:r>
              <w:rPr>
                <w:rFonts w:ascii="Times New Roman" w:cs="Times New Roman" w:eastAsia="Times New Roman" w:hAnsi="Times New Roman"/>
                <w:sz w:val="17"/>
                <w:szCs w:val="17"/>
                <w:color w:val="0000FF"/>
                <w:w w:val="98"/>
              </w:rPr>
              <w:t>of 2002.</w:t>
            </w:r>
          </w:p>
        </w:tc>
        <w:tc>
          <w:tcPr>
            <w:tcW w:w="9000" w:type="dxa"/>
            <w:vAlign w:val="bottom"/>
            <w:tcBorders>
              <w:top w:val="single" w:sz="8" w:color="0000FF"/>
            </w:tcBorders>
            <w:gridSpan w:val="8"/>
          </w:tcPr>
          <w:p>
            <w:pPr>
              <w:spacing w:after="0"/>
              <w:rPr>
                <w:sz w:val="12"/>
                <w:szCs w:val="12"/>
                <w:color w:val="auto"/>
              </w:rPr>
            </w:pPr>
          </w:p>
        </w:tc>
        <w:tc>
          <w:tcPr>
            <w:tcW w:w="160" w:type="dxa"/>
            <w:vAlign w:val="bottom"/>
            <w:gridSpan w:val="2"/>
          </w:tcPr>
          <w:p>
            <w:pPr>
              <w:spacing w:after="0"/>
              <w:rPr>
                <w:sz w:val="12"/>
                <w:szCs w:val="12"/>
                <w:color w:val="auto"/>
              </w:rPr>
            </w:pPr>
          </w:p>
        </w:tc>
      </w:tr>
    </w:tbl>
    <w:p>
      <w:pPr>
        <w:spacing w:after="0" w:line="48" w:lineRule="exact"/>
        <w:rPr>
          <w:sz w:val="20"/>
          <w:szCs w:val="20"/>
          <w:color w:val="auto"/>
        </w:rPr>
      </w:pPr>
    </w:p>
    <w:p>
      <w:pPr>
        <w:ind w:left="1400" w:right="360" w:hanging="939"/>
        <w:spacing w:after="0" w:line="226" w:lineRule="auto"/>
        <w:tabs>
          <w:tab w:leader="none" w:pos="14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Gaming and Leisure Properties, Inc.'s Quarterly Report on Form 10-Q for the quarter ended September 30, 2026, formatted in Inline XBRL: (i) Condensed Consolidated Balance Sheets, (ii) Condensed Consolidated Statements of Income, (iii) Condensed Consolidated Statements of Changes in Equity, (iv) Condensed Consolidated Statements of Cash Flows and (v) Notes to the Condensed Consolidated Financial Statements.</w:t>
      </w:r>
    </w:p>
    <w:p>
      <w:pPr>
        <w:spacing w:after="0" w:line="11" w:lineRule="exact"/>
        <w:rPr>
          <w:sz w:val="20"/>
          <w:szCs w:val="20"/>
          <w:color w:val="auto"/>
        </w:rPr>
      </w:pPr>
    </w:p>
    <w:p>
      <w:pPr>
        <w:ind w:left="1400" w:right="220" w:hanging="939"/>
        <w:spacing w:after="0" w:line="239" w:lineRule="auto"/>
        <w:tabs>
          <w:tab w:leader="none" w:pos="140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the Company's Quarterly Report on Form 10-Q for the quarter ended September 30, 2026, formatted in Inline XBRL and contained in Exhibit 101.</w:t>
      </w:r>
    </w:p>
    <w:p>
      <w:pPr>
        <w:spacing w:after="0" w:line="200" w:lineRule="exact"/>
        <w:rPr>
          <w:rFonts w:ascii="Times New Roman" w:cs="Times New Roman" w:eastAsia="Times New Roman" w:hAnsi="Times New Roman"/>
          <w:sz w:val="17"/>
          <w:szCs w:val="17"/>
          <w:color w:val="auto"/>
        </w:rPr>
      </w:pPr>
    </w:p>
    <w:p>
      <w:pPr>
        <w:spacing w:after="0" w:line="3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Filed herewith</w:t>
      </w:r>
    </w:p>
    <w:p>
      <w:pPr>
        <w:spacing w:after="0" w:line="27" w:lineRule="exact"/>
        <w:rPr>
          <w:rFonts w:ascii="Times New Roman" w:cs="Times New Roman" w:eastAsia="Times New Roman" w:hAnsi="Times New Roman"/>
          <w:sz w:val="17"/>
          <w:szCs w:val="17"/>
          <w:color w:val="auto"/>
        </w:rPr>
      </w:pPr>
    </w:p>
    <w:p>
      <w:pPr>
        <w:ind w:left="340" w:hanging="337"/>
        <w:spacing w:after="0"/>
        <w:tabs>
          <w:tab w:leader="none" w:pos="3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-483870</wp:posOffset>
            </wp:positionV>
            <wp:extent cx="171069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171069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854" w:right="439" w:bottom="1440" w:gutter="0" w:footer="0" w:header="0"/>
        </w:sectPr>
      </w:pPr>
    </w:p>
    <w:bookmarkStart w:id="64" w:name="page65"/>
    <w:bookmarkEnd w:id="64"/>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GAMING AND LEISURE PROPERTIES, INC.</w:t>
      </w:r>
    </w:p>
    <w:p>
      <w:pPr>
        <w:spacing w:after="0" w:line="101" w:lineRule="exact"/>
        <w:rPr>
          <w:sz w:val="20"/>
          <w:szCs w:val="20"/>
          <w:color w:val="auto"/>
        </w:rPr>
      </w:pPr>
    </w:p>
    <w:p>
      <w:pPr>
        <w:ind w:left="5280" w:right="2740" w:hanging="5929"/>
        <w:spacing w:after="0" w:line="282" w:lineRule="auto"/>
        <w:tabs>
          <w:tab w:leader="none" w:pos="5260" w:val="left"/>
        </w:tabs>
        <w:rPr>
          <w:sz w:val="20"/>
          <w:szCs w:val="20"/>
          <w:color w:val="auto"/>
        </w:rPr>
      </w:pPr>
      <w:r>
        <w:rPr>
          <w:rFonts w:ascii="Times New Roman" w:cs="Times New Roman" w:eastAsia="Times New Roman" w:hAnsi="Times New Roman"/>
          <w:sz w:val="17"/>
          <w:szCs w:val="17"/>
          <w:color w:val="auto"/>
        </w:rPr>
        <w:t>October 29,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DESIREE A. BURKE</w:t>
      </w:r>
      <w:r>
        <w:rPr>
          <w:rFonts w:ascii="Times New Roman" w:cs="Times New Roman" w:eastAsia="Times New Roman" w:hAnsi="Times New Roman"/>
          <w:sz w:val="17"/>
          <w:szCs w:val="17"/>
          <w:color w:val="auto"/>
        </w:rPr>
        <w:t xml:space="preserve"> Desiree A. Burke</w:t>
      </w:r>
    </w:p>
    <w:p>
      <w:pPr>
        <w:spacing w:after="0" w:line="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i w:val="1"/>
          <w:iCs w:val="1"/>
          <w:color w:val="auto"/>
        </w:rPr>
        <w:t>Chief Financial Officer and Treasurer</w:t>
      </w:r>
    </w:p>
    <w:p>
      <w:pPr>
        <w:spacing w:after="0" w:line="3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65</w:t>
      </w:r>
    </w:p>
    <w:p>
      <w:pPr>
        <w:sectPr>
          <w:pgSz w:w="11900" w:h="16838" w:orient="portrait"/>
          <w:cols w:equalWidth="0" w:num="1">
            <w:col w:w="10440"/>
          </w:cols>
          <w:pgMar w:left="320" w:top="854" w:right="11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1"/>
          <w:szCs w:val="21"/>
          <w:b w:val="1"/>
          <w:bCs w:val="1"/>
          <w:color w:val="auto"/>
        </w:rPr>
        <w:t>Exhibit 22.1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List of Subsidiary Issuers of Guaranteed Securities</w:t>
      </w:r>
    </w:p>
    <w:p>
      <w:pPr>
        <w:spacing w:after="0" w:line="14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1"/>
          <w:szCs w:val="21"/>
          <w:color w:val="auto"/>
        </w:rPr>
        <w:t>The following subsidiaries of Gaming and Leisure Properties, Inc. (the “Company”) were, as of September 30, 2026, issuers of the (i) $500 million 5.75% senior unsecured notes due June 2028, (ii) $750 million 5.30% senior unsecured notes due January 2029, (iii) $700 million 4.00% senior unsecured notes due January 2030, (iv) $700 million 4.000% senior unsecured notes due January 2031, (v) $800 million 3.25% senior unsecured notes due January 2032, (vi) $600 million 5.25% senior unsecured notes due February 2033, (vii) $400 million 6.75% senior unsecured notes due December 2033, (viii) $800 million 5.625% senior unsecured notes due September 2034, (ix) $800 million 5.625% senior unsecured notes due March 2036, (x) $700 million 5.75% senior unsecured notes due November 2037, (xi) $400 million 6.25% senior unsecured notes due September 2054, each guaranteed by the Company:</w:t>
      </w:r>
    </w:p>
    <w:tbl>
      <w:tblPr>
        <w:tblLayout w:type="fixed"/>
        <w:tblInd w:w="10" w:type="dxa"/>
        <w:tblCellMar>
          <w:top w:w="0" w:type="dxa"/>
          <w:left w:w="0" w:type="dxa"/>
          <w:bottom w:w="0" w:type="dxa"/>
          <w:right w:w="0" w:type="dxa"/>
        </w:tblCellMar>
      </w:tblPr>
      <w:tr>
        <w:trPr>
          <w:trHeight w:val="275"/>
        </w:trPr>
        <w:tc>
          <w:tcPr>
            <w:tcW w:w="5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Entity</w:t>
            </w:r>
          </w:p>
        </w:tc>
        <w:tc>
          <w:tcPr>
            <w:tcW w:w="55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b w:val="1"/>
                <w:bCs w:val="1"/>
                <w:color w:val="auto"/>
              </w:rPr>
              <w:t>Jurisdiction of Incorporation or Formation</w:t>
            </w:r>
          </w:p>
        </w:tc>
      </w:tr>
      <w:tr>
        <w:trPr>
          <w:trHeight w:val="262"/>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GLP Capital, L.P.</w:t>
            </w:r>
          </w:p>
        </w:tc>
        <w:tc>
          <w:tcPr>
            <w:tcW w:w="5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Pennsylvania</w:t>
            </w:r>
          </w:p>
        </w:tc>
      </w:tr>
      <w:tr>
        <w:trPr>
          <w:trHeight w:val="264"/>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GLP Financing II, Inc.</w:t>
            </w:r>
          </w:p>
        </w:tc>
        <w:tc>
          <w:tcPr>
            <w:tcW w:w="5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Delaware</w:t>
            </w:r>
          </w:p>
        </w:tc>
      </w:tr>
    </w:tbl>
    <w:p>
      <w:pPr>
        <w:sectPr>
          <w:pgSz w:w="11900" w:h="16838" w:orient="portrait"/>
          <w:cols w:equalWidth="0" w:num="1">
            <w:col w:w="11240"/>
          </w:cols>
          <w:pgMar w:left="320" w:top="1361"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 THE SECURITIES EXCHANGE ACT OF 1934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Peter M. Carlino, certify that:</w:t>
      </w:r>
    </w:p>
    <w:p>
      <w:pPr>
        <w:spacing w:after="0" w:line="217" w:lineRule="exact"/>
        <w:rPr>
          <w:sz w:val="20"/>
          <w:szCs w:val="20"/>
          <w:color w:val="auto"/>
        </w:rPr>
      </w:pPr>
    </w:p>
    <w:p>
      <w:pPr>
        <w:ind w:left="300" w:hanging="297"/>
        <w:spacing w:after="0"/>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Gaming and Leisure Properties, Inc.;</w:t>
      </w:r>
    </w:p>
    <w:p>
      <w:pPr>
        <w:spacing w:after="0" w:line="217" w:lineRule="exact"/>
        <w:rPr>
          <w:rFonts w:ascii="Times New Roman" w:cs="Times New Roman" w:eastAsia="Times New Roman" w:hAnsi="Times New Roman"/>
          <w:sz w:val="17"/>
          <w:szCs w:val="17"/>
          <w:color w:val="auto"/>
        </w:rPr>
      </w:pPr>
    </w:p>
    <w:p>
      <w:pPr>
        <w:ind w:right="180" w:firstLine="3"/>
        <w:spacing w:after="0" w:line="287" w:lineRule="auto"/>
        <w:tabs>
          <w:tab w:leader="none" w:pos="301"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right="260" w:firstLine="3"/>
        <w:spacing w:after="0" w:line="287" w:lineRule="auto"/>
        <w:tabs>
          <w:tab w:leader="none" w:pos="301"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right="140" w:firstLine="3"/>
        <w:spacing w:after="0" w:line="270" w:lineRule="auto"/>
        <w:tabs>
          <w:tab w:leader="none" w:pos="29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right="20" w:firstLine="622"/>
        <w:spacing w:after="0" w:line="270" w:lineRule="auto"/>
        <w:tabs>
          <w:tab w:leader="none" w:pos="981"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firstLine="622"/>
        <w:spacing w:after="0" w:line="270" w:lineRule="auto"/>
        <w:tabs>
          <w:tab w:leader="none" w:pos="991"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right="60" w:firstLine="622"/>
        <w:spacing w:after="0" w:line="287" w:lineRule="auto"/>
        <w:tabs>
          <w:tab w:leader="none" w:pos="981"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jc w:val="both"/>
        <w:ind w:right="80" w:firstLine="622"/>
        <w:spacing w:after="0" w:line="270" w:lineRule="auto"/>
        <w:tabs>
          <w:tab w:leader="none" w:pos="991"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right="40" w:firstLine="3"/>
        <w:spacing w:after="0" w:line="287" w:lineRule="auto"/>
        <w:tabs>
          <w:tab w:leader="none" w:pos="29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right="420" w:firstLine="622"/>
        <w:spacing w:after="0" w:line="287" w:lineRule="auto"/>
        <w:tabs>
          <w:tab w:leader="none" w:pos="972"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right="20" w:firstLine="622"/>
        <w:spacing w:after="0" w:line="287" w:lineRule="auto"/>
        <w:tabs>
          <w:tab w:leader="none" w:pos="981"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660" w:val="left"/>
          <w:tab w:leader="none" w:pos="65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October 29, 2026</w:t>
      </w:r>
      <w:r>
        <w:rPr>
          <w:sz w:val="20"/>
          <w:szCs w:val="20"/>
          <w:color w:val="auto"/>
        </w:rPr>
        <w:tab/>
      </w:r>
      <w:r>
        <w:rPr>
          <w:rFonts w:ascii="Times New Roman" w:cs="Times New Roman" w:eastAsia="Times New Roman" w:hAnsi="Times New Roman"/>
          <w:sz w:val="17"/>
          <w:szCs w:val="17"/>
          <w:u w:val="single" w:color="auto"/>
          <w:color w:val="auto"/>
        </w:rPr>
        <w:t>/s/ Peter M. Carlino</w:t>
      </w:r>
    </w:p>
    <w:p>
      <w:pPr>
        <w:spacing w:after="0" w:line="3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Name: Peter M. Carlino</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i w:val="1"/>
          <w:iCs w:val="1"/>
          <w:color w:val="auto"/>
        </w:rPr>
        <w:t>Chief Executive Officer (Principal Executive Officer)</w:t>
      </w:r>
    </w:p>
    <w:p>
      <w:pPr>
        <w:sectPr>
          <w:pgSz w:w="11900" w:h="16838" w:orient="portrait"/>
          <w:cols w:equalWidth="0" w:num="1">
            <w:col w:w="11240"/>
          </w:cols>
          <w:pgMar w:left="320" w:top="854"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 THE SECURITIES EXCHANGE ACT OF 1934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Desiree A. Burke, certify that:</w:t>
      </w:r>
    </w:p>
    <w:p>
      <w:pPr>
        <w:spacing w:after="0" w:line="217" w:lineRule="exact"/>
        <w:rPr>
          <w:sz w:val="20"/>
          <w:szCs w:val="20"/>
          <w:color w:val="auto"/>
        </w:rPr>
      </w:pPr>
    </w:p>
    <w:p>
      <w:pPr>
        <w:ind w:left="660" w:hanging="657"/>
        <w:spacing w:after="0"/>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Gaming and Leisure Properties, Inc.;</w:t>
      </w:r>
    </w:p>
    <w:p>
      <w:pPr>
        <w:spacing w:after="0" w:line="217" w:lineRule="exact"/>
        <w:rPr>
          <w:rFonts w:ascii="Times New Roman" w:cs="Times New Roman" w:eastAsia="Times New Roman" w:hAnsi="Times New Roman"/>
          <w:sz w:val="17"/>
          <w:szCs w:val="17"/>
          <w:color w:val="auto"/>
        </w:rPr>
      </w:pPr>
    </w:p>
    <w:p>
      <w:pPr>
        <w:ind w:right="600" w:firstLine="3"/>
        <w:spacing w:after="0" w:line="287" w:lineRule="auto"/>
        <w:tabs>
          <w:tab w:leader="none" w:pos="64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right="560" w:firstLine="3"/>
        <w:spacing w:after="0" w:line="287" w:lineRule="auto"/>
        <w:tabs>
          <w:tab w:leader="none" w:pos="64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right="80" w:firstLine="3"/>
        <w:spacing w:after="0" w:line="270" w:lineRule="auto"/>
        <w:tabs>
          <w:tab w:leader="none" w:pos="64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jc w:val="both"/>
        <w:ind w:right="140" w:firstLine="622"/>
        <w:spacing w:after="0" w:line="270" w:lineRule="auto"/>
        <w:tabs>
          <w:tab w:leader="none" w:pos="86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firstLine="622"/>
        <w:spacing w:after="0" w:line="270" w:lineRule="auto"/>
        <w:tabs>
          <w:tab w:leader="none" w:pos="99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right="160" w:firstLine="622"/>
        <w:spacing w:after="0" w:line="287" w:lineRule="auto"/>
        <w:tabs>
          <w:tab w:leader="none" w:pos="874"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jc w:val="both"/>
        <w:ind w:right="80" w:firstLine="622"/>
        <w:spacing w:after="0" w:line="270" w:lineRule="auto"/>
        <w:tabs>
          <w:tab w:leader="none" w:pos="99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right="480" w:firstLine="3"/>
        <w:spacing w:after="0" w:line="287" w:lineRule="auto"/>
        <w:tabs>
          <w:tab w:leader="none" w:pos="64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right="420" w:firstLine="622"/>
        <w:spacing w:after="0" w:line="287" w:lineRule="auto"/>
        <w:tabs>
          <w:tab w:leader="none" w:pos="972"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right="20" w:firstLine="622"/>
        <w:spacing w:after="0" w:line="287" w:lineRule="auto"/>
        <w:tabs>
          <w:tab w:leader="none" w:pos="98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660" w:val="left"/>
          <w:tab w:leader="none" w:pos="65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October 29, 2026</w:t>
      </w:r>
      <w:r>
        <w:rPr>
          <w:sz w:val="20"/>
          <w:szCs w:val="20"/>
          <w:color w:val="auto"/>
        </w:rPr>
        <w:tab/>
      </w:r>
      <w:r>
        <w:rPr>
          <w:rFonts w:ascii="Times New Roman" w:cs="Times New Roman" w:eastAsia="Times New Roman" w:hAnsi="Times New Roman"/>
          <w:sz w:val="17"/>
          <w:szCs w:val="17"/>
          <w:u w:val="single" w:color="auto"/>
          <w:color w:val="auto"/>
        </w:rPr>
        <w:t>/s/ Desiree A. Burke</w:t>
      </w:r>
    </w:p>
    <w:p>
      <w:pPr>
        <w:spacing w:after="0" w:line="3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Name: Desiree A. Burke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i w:val="1"/>
          <w:iCs w:val="1"/>
          <w:color w:val="auto"/>
        </w:rPr>
        <w:t>Chief Financial Officer and Treasurer (Principal Financial</w:t>
      </w:r>
    </w:p>
    <w:p>
      <w:pPr>
        <w:ind w:left="6540"/>
        <w:spacing w:after="0"/>
        <w:rPr>
          <w:sz w:val="20"/>
          <w:szCs w:val="20"/>
          <w:color w:val="auto"/>
        </w:rPr>
      </w:pPr>
      <w:r>
        <w:rPr>
          <w:rFonts w:ascii="Times New Roman" w:cs="Times New Roman" w:eastAsia="Times New Roman" w:hAnsi="Times New Roman"/>
          <w:sz w:val="17"/>
          <w:szCs w:val="17"/>
          <w:i w:val="1"/>
          <w:iCs w:val="1"/>
          <w:color w:val="auto"/>
        </w:rPr>
        <w:t>Officer)</w:t>
      </w:r>
    </w:p>
    <w:p>
      <w:pPr>
        <w:sectPr>
          <w:pgSz w:w="11900" w:h="16838" w:orient="portrait"/>
          <w:cols w:equalWidth="0" w:num="1">
            <w:col w:w="11240"/>
          </w:cols>
          <w:pgMar w:left="320" w:top="854"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200"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Gaming and Leisure Properties, Inc. (the “Company”) on Form 10-Q for the quarter ended September 30, 2026, as filed with the Securities and Exchange Commission on the date hereof (the “Report”), I, Peter M. Carlino, Chief Executive Officer and Principal Executive Officer of the Company, certify, pursuant to Section 906 of the Sarbanes-Oxley Act of 2002, 18 U.S.C. Section 1350, that, to my knowledge:</w:t>
      </w:r>
    </w:p>
    <w:p>
      <w:pPr>
        <w:spacing w:after="0" w:line="165" w:lineRule="exact"/>
        <w:rPr>
          <w:sz w:val="20"/>
          <w:szCs w:val="20"/>
          <w:color w:val="auto"/>
        </w:rPr>
      </w:pPr>
    </w:p>
    <w:p>
      <w:pPr>
        <w:ind w:left="920" w:hanging="298"/>
        <w:spacing w:after="0"/>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u w:val="single" w:color="auto"/>
          <w:color w:val="auto"/>
        </w:rPr>
        <w:t>/s/ Peter M. Carlino</w:t>
      </w:r>
    </w:p>
    <w:p>
      <w:pPr>
        <w:spacing w:after="0" w:line="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Peter M. Carlino</w:t>
      </w:r>
    </w:p>
    <w:p>
      <w:pPr>
        <w:spacing w:after="0" w:line="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Chief Executive Officer and Principal Executive Officer</w:t>
      </w:r>
    </w:p>
    <w:p>
      <w:pPr>
        <w:spacing w:after="0" w:line="4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Date: October 29, 2026</w:t>
      </w:r>
    </w:p>
    <w:p>
      <w:pPr>
        <w:sectPr>
          <w:pgSz w:w="11900" w:h="16838" w:orient="portrait"/>
          <w:cols w:equalWidth="0" w:num="1">
            <w:col w:w="11240"/>
          </w:cols>
          <w:pgMar w:left="320" w:top="854"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200"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Gaming and Leisure Properties, Inc. (the “Company”) on Form 10-Q for the quarter ended September 30, 2026, as filed with the Securities and Exchange Commission on the date hereof (the “Report”), I, Desiree A. Burke, Chief Financial Officer and Principal Financial Officer of the Company, certify, pursuant to Section 906 of the Sarbanes-Oxley Act of 2002, 18 U.S.C. Section 1350, that, to my knowledge:</w:t>
      </w:r>
    </w:p>
    <w:p>
      <w:pPr>
        <w:spacing w:after="0" w:line="165" w:lineRule="exact"/>
        <w:rPr>
          <w:sz w:val="20"/>
          <w:szCs w:val="20"/>
          <w:color w:val="auto"/>
        </w:rPr>
      </w:pPr>
    </w:p>
    <w:p>
      <w:pPr>
        <w:ind w:left="1280" w:hanging="658"/>
        <w:spacing w:after="0"/>
        <w:tabs>
          <w:tab w:leader="none" w:pos="12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17" w:lineRule="exact"/>
        <w:rPr>
          <w:rFonts w:ascii="Times New Roman" w:cs="Times New Roman" w:eastAsia="Times New Roman" w:hAnsi="Times New Roman"/>
          <w:sz w:val="17"/>
          <w:szCs w:val="17"/>
          <w:color w:val="auto"/>
        </w:rPr>
      </w:pPr>
    </w:p>
    <w:p>
      <w:pPr>
        <w:ind w:left="1280" w:hanging="658"/>
        <w:spacing w:after="0"/>
        <w:tabs>
          <w:tab w:leader="none" w:pos="12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u w:val="single" w:color="auto"/>
          <w:color w:val="auto"/>
        </w:rPr>
        <w:t>/s/ Desiree A. Burke</w:t>
      </w:r>
    </w:p>
    <w:p>
      <w:pPr>
        <w:spacing w:after="0" w:line="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Desiree A. Burke</w:t>
      </w:r>
    </w:p>
    <w:p>
      <w:pPr>
        <w:spacing w:after="0" w:line="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Chief Financial Officer and Principal Financial Officer</w:t>
      </w:r>
    </w:p>
    <w:p>
      <w:pPr>
        <w:spacing w:after="0" w:line="4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Date: October 29, 2026</w:t>
      </w: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6"/>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9"/>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lvl w:ilvl="1">
      <w:lvlJc w:val="left"/>
      <w:lvlText w:val="%2"/>
      <w:numFmt w:val="upperLetter"/>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01"/>
    </w:lvl>
  </w:abstractNum>
  <w:abstractNum w:abstractNumId="28">
    <w:nsid w:val="737B8DDC"/>
    <w:multiLevelType w:val="hybridMultilevel"/>
    <w:lvl w:ilvl="0">
      <w:lvlJc w:val="left"/>
      <w:lvlText w:val="*"/>
      <w:numFmt w:val="bullet"/>
      <w:start w:val="1"/>
    </w:lvl>
    <w:lvl w:ilvl="1">
      <w:lvlJc w:val="left"/>
      <w:lvlText w:val="%2"/>
      <w:numFmt w:val="decimal"/>
      <w:start w:val="104"/>
    </w:lvl>
  </w:abstractNum>
  <w:abstractNum w:abstractNumId="29">
    <w:nsid w:val="6CEAF087"/>
    <w:multiLevelType w:val="hybridMultilevel"/>
    <w:lvl w:ilvl="0">
      <w:lvlJc w:val="left"/>
      <w:lvlText w:val="**"/>
      <w:numFmt w:val="bullet"/>
      <w:start w:val="1"/>
    </w:lvl>
    <w:lvl w:ilvl="1">
      <w:lvlJc w:val="left"/>
      <w:lvlText w:val="%2"/>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5" Type="http://schemas.openxmlformats.org/officeDocument/2006/relationships/hyperlink" Target="https://www.sec.gov/Archives/edgar/data/1575965/000157596518000016/glpiexhibit31amendedandres.htm" TargetMode="External"/><Relationship Id="rId86" Type="http://schemas.openxmlformats.org/officeDocument/2006/relationships/hyperlink" Target="https://www.sec.gov/Archives/edgar/data/1575965/000157596523000042/second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2026-10-29T16:16:39Z</dcterms:created>
  <dcterms:modified xsi:type="dcterms:W3CDTF">2026-10-29T16:16:39Z</dcterms:modified>
</cp:coreProperties>
</file>