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10" w:lineRule="exact"/>
        <w:rPr>
          <w:sz w:val="24"/>
          <w:szCs w:val="24"/>
          <w:color w:val="auto"/>
        </w:rPr>
      </w:pPr>
    </w:p>
    <w:p>
      <w:pPr>
        <w:ind w:left="39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001-36124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Gaming and Leisure Properties, Inc.</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34" w:right="339" w:bottom="1440" w:gutter="0" w:footer="0" w:header="0"/>
        </w:sectPr>
      </w:pPr>
    </w:p>
    <w:p>
      <w:pPr>
        <w:spacing w:after="0" w:line="26"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3"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46-2116489</w:t>
      </w:r>
    </w:p>
    <w:p>
      <w:pPr>
        <w:spacing w:after="0" w:line="3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8"/>
          <w:szCs w:val="18"/>
          <w:color w:val="auto"/>
        </w:rPr>
        <w:t>(I.R.S. Employer</w:t>
      </w:r>
    </w:p>
    <w:p>
      <w:pPr>
        <w:spacing w:after="0" w:line="2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16" w:lineRule="exact"/>
        <w:rPr>
          <w:sz w:val="24"/>
          <w:szCs w:val="24"/>
          <w:color w:val="auto"/>
        </w:rPr>
      </w:pPr>
    </w:p>
    <w:p>
      <w:pPr>
        <w:sectPr>
          <w:pgSz w:w="11900" w:h="16838" w:orient="portrait"/>
          <w:cols w:equalWidth="0" w:num="2">
            <w:col w:w="6980" w:space="720"/>
            <w:col w:w="3540"/>
          </w:cols>
          <w:pgMar w:left="320" w:top="234" w:right="33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845 Berkshire Blvd., Suite 200</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Wyomissing, PA 19610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ectPr>
          <w:pgSz w:w="11900" w:h="16838" w:orient="portrait"/>
          <w:cols w:equalWidth="0" w:num="1">
            <w:col w:w="11240"/>
          </w:cols>
          <w:pgMar w:left="320" w:top="234" w:right="339" w:bottom="1440" w:gutter="0" w:footer="0" w:header="0"/>
          <w:type w:val="continuous"/>
        </w:sectPr>
      </w:pP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610-401-2900</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pacing w:after="0" w:line="11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36"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580" w:type="dxa"/>
            <w:vAlign w:val="bottom"/>
            <w:tcBorders>
              <w:top w:val="single" w:sz="8" w:color="auto"/>
              <w:left w:val="single" w:sz="8" w:color="auto"/>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 w:type="dxa"/>
            <w:vAlign w:val="bottom"/>
            <w:tcBorders>
              <w:right w:val="single" w:sz="8" w:color="auto"/>
            </w:tcBorders>
          </w:tcPr>
          <w:p>
            <w:pPr>
              <w:spacing w:after="0"/>
              <w:rPr>
                <w:sz w:val="18"/>
                <w:szCs w:val="18"/>
                <w:color w:val="auto"/>
              </w:rPr>
            </w:pP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00" w:type="dxa"/>
            <w:vAlign w:val="bottom"/>
            <w:tcBorders>
              <w:right w:val="single" w:sz="8" w:color="auto"/>
            </w:tcBorders>
          </w:tcPr>
          <w:p>
            <w:pPr>
              <w:spacing w:after="0"/>
              <w:rPr>
                <w:sz w:val="18"/>
                <w:szCs w:val="18"/>
                <w:color w:val="auto"/>
              </w:rPr>
            </w:pP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380" w:type="dxa"/>
            <w:vAlign w:val="bottom"/>
            <w:tcBorders>
              <w:right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GLPI</w:t>
            </w:r>
          </w:p>
        </w:tc>
        <w:tc>
          <w:tcPr>
            <w:tcW w:w="400" w:type="dxa"/>
            <w:vAlign w:val="bottom"/>
            <w:tcBorders>
              <w:right w:val="single" w:sz="8" w:color="auto"/>
            </w:tcBorders>
          </w:tcPr>
          <w:p>
            <w:pPr>
              <w:spacing w:after="0"/>
              <w:rPr>
                <w:sz w:val="17"/>
                <w:szCs w:val="17"/>
                <w:color w:val="auto"/>
              </w:rPr>
            </w:pP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w:t>
            </w:r>
          </w:p>
        </w:tc>
      </w:tr>
    </w:tbl>
    <w:p>
      <w:pPr>
        <w:spacing w:after="0" w:line="167" w:lineRule="exact"/>
        <w:rPr>
          <w:sz w:val="24"/>
          <w:szCs w:val="24"/>
          <w:color w:val="auto"/>
        </w:rPr>
      </w:pPr>
    </w:p>
    <w:p>
      <w:pPr>
        <w:jc w:val="both"/>
        <w:ind w:right="40" w:firstLine="324"/>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8" w:lineRule="exact"/>
        <w:rPr>
          <w:sz w:val="24"/>
          <w:szCs w:val="24"/>
          <w:color w:val="auto"/>
        </w:rPr>
      </w:pPr>
    </w:p>
    <w:p>
      <w:pPr>
        <w:ind w:right="580" w:firstLine="324"/>
        <w:spacing w:after="0" w:line="22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80" w:lineRule="exact"/>
        <w:rPr>
          <w:sz w:val="24"/>
          <w:szCs w:val="24"/>
          <w:color w:val="auto"/>
        </w:rPr>
      </w:pPr>
    </w:p>
    <w:p>
      <w:pPr>
        <w:ind w:right="340" w:firstLine="324"/>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1100" w:type="dxa"/>
        <w:tblCellMar>
          <w:top w:w="0" w:type="dxa"/>
          <w:left w:w="0" w:type="dxa"/>
          <w:bottom w:w="0" w:type="dxa"/>
          <w:right w:w="0" w:type="dxa"/>
        </w:tblCellMar>
      </w:tblPr>
      <w:tr>
        <w:trPr>
          <w:trHeight w:val="230"/>
        </w:trPr>
        <w:tc>
          <w:tcPr>
            <w:tcW w:w="21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Large accelerated filer</w:t>
            </w:r>
          </w:p>
        </w:tc>
        <w:tc>
          <w:tcPr>
            <w:tcW w:w="13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1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Non-accelerated filer</w:t>
            </w:r>
          </w:p>
        </w:tc>
        <w:tc>
          <w:tcPr>
            <w:tcW w:w="13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4"/>
          <w:szCs w:val="24"/>
          <w:color w:val="auto"/>
        </w:rPr>
      </w:pPr>
    </w:p>
    <w:p>
      <w:pPr>
        <w:ind w:right="220" w:firstLine="324"/>
        <w:spacing w:after="0" w:line="230"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jc w:val="both"/>
        <w:ind w:left="340" w:right="2080"/>
        <w:spacing w:after="0" w:line="24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the number of shares outstanding of each of the issuer’s classes of common stock, as of the latest practicable date.</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5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57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April 22, 2022</w:t>
            </w:r>
          </w:p>
        </w:tc>
      </w:tr>
      <w:tr>
        <w:trPr>
          <w:trHeight w:val="23"/>
        </w:trPr>
        <w:tc>
          <w:tcPr>
            <w:tcW w:w="51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r>
      <w:tr>
        <w:trPr>
          <w:trHeight w:val="182"/>
        </w:trPr>
        <w:tc>
          <w:tcPr>
            <w:tcW w:w="5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400" w:type="dxa"/>
            <w:vAlign w:val="bottom"/>
          </w:tcPr>
          <w:p>
            <w:pPr>
              <w:spacing w:after="0"/>
              <w:rPr>
                <w:sz w:val="15"/>
                <w:szCs w:val="15"/>
                <w:color w:val="auto"/>
              </w:rPr>
            </w:pPr>
          </w:p>
        </w:tc>
        <w:tc>
          <w:tcPr>
            <w:tcW w:w="5120" w:type="dxa"/>
            <w:vAlign w:val="bottom"/>
          </w:tcPr>
          <w:p>
            <w:pPr>
              <w:jc w:val="right"/>
              <w:ind w:right="2128"/>
              <w:spacing w:after="0"/>
              <w:rPr>
                <w:sz w:val="20"/>
                <w:szCs w:val="20"/>
                <w:color w:val="auto"/>
              </w:rPr>
            </w:pPr>
            <w:r>
              <w:rPr>
                <w:rFonts w:ascii="Times New Roman" w:cs="Times New Roman" w:eastAsia="Times New Roman" w:hAnsi="Times New Roman"/>
                <w:sz w:val="14"/>
                <w:szCs w:val="14"/>
                <w:color w:val="auto"/>
              </w:rPr>
              <w:t>247,544,343</w:t>
            </w:r>
          </w:p>
        </w:tc>
        <w:tc>
          <w:tcPr>
            <w:tcW w:w="600" w:type="dxa"/>
            <w:vAlign w:val="bottom"/>
          </w:tcPr>
          <w:p>
            <w:pPr>
              <w:spacing w:after="0"/>
              <w:rPr>
                <w:sz w:val="15"/>
                <w:szCs w:val="15"/>
                <w:color w:val="auto"/>
              </w:rPr>
            </w:pPr>
          </w:p>
        </w:tc>
      </w:tr>
      <w:tr>
        <w:trPr>
          <w:trHeight w:val="791"/>
        </w:trPr>
        <w:tc>
          <w:tcPr>
            <w:tcW w:w="5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8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Forward-looking statements in this document include, but are not limited to, statements regarding the extent and duration of the economic disruptions related to the novel coronavirus COVID-19 (including variants thereof, "COVID-19") global pandemic on our tenants' operations and statements regarding our ability to grow our portfolio of gaming facilities.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256" w:lineRule="exact"/>
        <w:rPr>
          <w:sz w:val="20"/>
          <w:szCs w:val="20"/>
          <w:color w:val="auto"/>
        </w:rPr>
      </w:pPr>
    </w:p>
    <w:p>
      <w:pPr>
        <w:ind w:left="660" w:right="58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that higher inflation rates and uncertainty with respect to the future state of the economy could have on discretionary consumer spending, including on casino operations;</w:t>
      </w:r>
    </w:p>
    <w:p>
      <w:pPr>
        <w:spacing w:after="0" w:line="22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rising interest rates, inflation, and the phasing out of the London Interbank Offered Rate ("LIBOR");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consequences related to United States government monetary policies and stimulus packages on inflation rates and economic growth;</w:t>
      </w:r>
    </w:p>
    <w:p>
      <w:pPr>
        <w:spacing w:after="0" w:line="292"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had, and may continue to have, a significant impact on our tenants' financial conditions and operations. As a result of the outbreak, our casino operations and those of our tenants were forced to close temporarily at the onset of the pandemic, as federal, state and local officials</w:t>
      </w:r>
    </w:p>
    <w:p>
      <w:pPr>
        <w:spacing w:after="0" w:line="1" w:lineRule="exact"/>
        <w:rPr>
          <w:rFonts w:ascii="Times New Roman" w:cs="Times New Roman" w:eastAsia="Times New Roman" w:hAnsi="Times New Roman"/>
          <w:sz w:val="18"/>
          <w:szCs w:val="18"/>
          <w:color w:val="auto"/>
        </w:rPr>
      </w:pPr>
    </w:p>
    <w:p>
      <w:pPr>
        <w:ind w:left="660" w:right="12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undertook various steps to mitigate the spread of infections from COVID-19. Although our tenants' operations have recommenced operations to strong results and our tenants have improved their liquidity profiles, there can be no assurance whether these encouraging results will continue in future periods, particularly with the potential for continued increased transmission from new strains of COVID-19;</w:t>
      </w:r>
    </w:p>
    <w:p>
      <w:pPr>
        <w:spacing w:after="0" w:line="19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uncertain future impact of the COVID-19 outbreak, including its effect on the ability or desire of people to gather in large groups (including in casinos), which is expected to impact our financial results, operations, outlooks, plans, goals, growth, cash flows, liquidity, and stock price;</w:t>
      </w:r>
    </w:p>
    <w:p>
      <w:pPr>
        <w:spacing w:after="0" w:line="202"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GLPI's ability to successfully consummate the announced transaction for the Tropicana Las Vegas Casino Hotel Resort ("Tropicana Las Vegas") with Bally's, including the ability of the parties to satisfy the various conditions to closing, including receipt of all required regulatory approvals, or other delays or impediments to completing the proposed transaction;</w:t>
      </w:r>
    </w:p>
    <w:p>
      <w:pPr>
        <w:spacing w:after="0" w:line="243" w:lineRule="exact"/>
        <w:rPr>
          <w:rFonts w:ascii="Times New Roman" w:cs="Times New Roman" w:eastAsia="Times New Roman" w:hAnsi="Times New Roman"/>
          <w:sz w:val="18"/>
          <w:szCs w:val="18"/>
          <w:color w:val="auto"/>
        </w:rPr>
      </w:pPr>
    </w:p>
    <w:p>
      <w:pPr>
        <w:ind w:left="660" w:right="1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availability of and the ability to identify suitable and attractive acquisition and development opportunities and the ability to acquire and lease the respective properties on favorable terms;</w:t>
      </w:r>
    </w:p>
    <w:p>
      <w:pPr>
        <w:spacing w:after="0" w:line="22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nature of our competition;</w:t>
      </w:r>
    </w:p>
    <w:p>
      <w:pPr>
        <w:spacing w:after="0" w:line="252" w:lineRule="exact"/>
        <w:rPr>
          <w:rFonts w:ascii="Times New Roman" w:cs="Times New Roman" w:eastAsia="Times New Roman" w:hAnsi="Times New Roman"/>
          <w:sz w:val="18"/>
          <w:szCs w:val="18"/>
          <w:color w:val="auto"/>
        </w:rPr>
      </w:pPr>
    </w:p>
    <w:p>
      <w:pPr>
        <w:ind w:left="660" w:right="9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or delays in obtaining, the regulatory approvals required to own and/or operate our properties, or other delays or impediments to completing our planned acquisitions or projects;</w:t>
      </w:r>
    </w:p>
    <w:p>
      <w:pPr>
        <w:spacing w:after="0" w:line="188"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206"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of certain asset, income, organizational, distribution, shareholder ownership and other requirements on a continuing basis in order for the Company to maintain its REIT status;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660" w:right="3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tenants, operators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202" w:lineRule="exact"/>
        <w:rPr>
          <w:rFonts w:ascii="Times New Roman" w:cs="Times New Roman" w:eastAsia="Times New Roman" w:hAnsi="Times New Roman"/>
          <w:sz w:val="18"/>
          <w:szCs w:val="18"/>
          <w:color w:val="auto"/>
        </w:rPr>
      </w:pPr>
    </w:p>
    <w:p>
      <w:pPr>
        <w:ind w:left="660" w:right="640" w:hanging="328"/>
        <w:spacing w:after="0" w:line="312"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166" w:lineRule="exact"/>
        <w:rPr>
          <w:rFonts w:ascii="Times New Roman" w:cs="Times New Roman" w:eastAsia="Times New Roman" w:hAnsi="Times New Roman"/>
          <w:sz w:val="17"/>
          <w:szCs w:val="17"/>
          <w:color w:val="auto"/>
        </w:rPr>
      </w:pPr>
    </w:p>
    <w:p>
      <w:pPr>
        <w:ind w:left="660" w:right="5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sufficient cash flows to service our outstanding indebtedness;</w:t>
      </w:r>
    </w:p>
    <w:p>
      <w:pPr>
        <w:spacing w:after="0" w:line="252"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through debt and equity markets in amounts and at rates and costs acceptable to GLPI, including for acquisitions or refinancings due to maturities;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our credit rating;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or regional economic conditions;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qualified personnel and our ability to retain our key management personnel;</w:t>
      </w:r>
    </w:p>
    <w:p>
      <w:pPr>
        <w:spacing w:after="0" w:line="252"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United States tax law and other state, federal or local laws, whether or not specific to real estate, REITs or the gaming, lodging or hospitality industries;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w:t>
      </w:r>
    </w:p>
    <w:p>
      <w:pPr>
        <w:spacing w:after="0" w:line="252"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weather or climate events or conditions, natural disasters, acts of terrorism and other international hostilities, war (including the current conflict between Russia and Ukraine) or political instability;</w:t>
      </w:r>
    </w:p>
    <w:p>
      <w:pPr>
        <w:spacing w:after="0" w:line="18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financing statements included herein do not reflect what the business, financial position or results of operations of GLPI may be in the future;</w:t>
      </w:r>
    </w:p>
    <w:p>
      <w:pPr>
        <w:spacing w:after="0" w:line="188"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inherent in the real estate business, including potential liability relating to environmental matters and illiquidity of real estate investments; and</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factors as discussed in the Company’s Annual Report on Form 10-K for the year ended December 31, 2021 (our "Annual Report"), in this Quarterly Report on Form 10-Q and Current Reports on Form 8-K as filed with the United States Securities and Exchange Commission.</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Certain of these factors and other factors, risks and uncertainties are discussed in the "Risk Factors" section in the Company’s Annual Report and this Quarterly Report on Form 10-Q.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You should consider the areas of risk described above, as well as those set forth in the "Risk Factors" section in the Company’s Annual Report and this Quarterly Report on Form 10-Q, in connection with considering any forward-looking statements that may be made by the Company generally.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80" w:type="dxa"/>
            <w:vAlign w:val="bottom"/>
            <w:gridSpan w:val="15"/>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9"/>
              </w:rPr>
              <w:t>GAMING AND LEISURE PROPERTIES, INC. AND SUBSIDIARIES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80" w:type="dxa"/>
            <w:vAlign w:val="bottom"/>
            <w:gridSpan w:val="9"/>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PART I.</w:t>
            </w: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w:t>
            </w: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 March 31, 2022 and December 31, 2021</w:t>
            </w:r>
          </w:p>
        </w:tc>
        <w:tc>
          <w:tcPr>
            <w:tcW w:w="1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9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 Three Months Ended March 31, 2022 and 2021</w:t>
            </w:r>
          </w:p>
        </w:tc>
        <w:tc>
          <w:tcPr>
            <w:tcW w:w="2000" w:type="dxa"/>
            <w:vAlign w:val="bottom"/>
            <w:gridSpan w:val="3"/>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Equity - Three Months Ended March 31, 2022 and 2021</w:t>
            </w:r>
          </w:p>
        </w:tc>
        <w:tc>
          <w:tcPr>
            <w:tcW w:w="122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 Three Months Ended March 31, 2022 and 2021</w:t>
            </w:r>
          </w:p>
        </w:tc>
        <w:tc>
          <w:tcPr>
            <w:tcW w:w="170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4720" w:type="dxa"/>
            <w:vAlign w:val="bottom"/>
            <w:gridSpan w:val="7"/>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2.</w:t>
            </w: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77"/>
              </w:rPr>
              <w:t>30</w:t>
            </w:r>
          </w:p>
        </w:tc>
        <w:tc>
          <w:tcPr>
            <w:tcW w:w="0" w:type="dxa"/>
            <w:vAlign w:val="bottom"/>
          </w:tcPr>
          <w:p>
            <w:pPr>
              <w:spacing w:after="0"/>
              <w:rPr>
                <w:sz w:val="1"/>
                <w:szCs w:val="1"/>
                <w:color w:val="auto"/>
              </w:rPr>
            </w:pPr>
          </w:p>
        </w:tc>
      </w:tr>
      <w:tr>
        <w:trPr>
          <w:trHeight w:val="163"/>
        </w:trPr>
        <w:tc>
          <w:tcPr>
            <w:tcW w:w="58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OPERATIONS</w:t>
            </w:r>
          </w:p>
        </w:tc>
        <w:tc>
          <w:tcPr>
            <w:tcW w:w="6520" w:type="dxa"/>
            <w:vAlign w:val="bottom"/>
            <w:tcBorders>
              <w:top w:val="single" w:sz="8" w:color="0000FF"/>
            </w:tcBorders>
            <w:gridSpan w:val="13"/>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5"/>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45</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40" w:type="dxa"/>
            <w:vAlign w:val="bottom"/>
            <w:tcBorders>
              <w:right w:val="single" w:sz="8" w:color="0000FF"/>
            </w:tcBorders>
            <w:gridSpan w:val="4"/>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46</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920" w:type="dxa"/>
            <w:vAlign w:val="bottom"/>
            <w:tcBorders>
              <w:right w:val="single" w:sz="8" w:color="0000FF"/>
            </w:tcBorders>
            <w:gridSpan w:val="5"/>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PART II.</w:t>
            </w: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47</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920" w:type="dxa"/>
            <w:vAlign w:val="bottom"/>
            <w:tcBorders>
              <w:right w:val="single" w:sz="8" w:color="0000FF"/>
            </w:tcBorders>
            <w:gridSpan w:val="5"/>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ITEM 1.</w:t>
            </w:r>
          </w:p>
        </w:tc>
        <w:tc>
          <w:tcPr>
            <w:tcW w:w="1160" w:type="dxa"/>
            <w:vAlign w:val="bottom"/>
            <w:gridSpan w:val="3"/>
          </w:tcPr>
          <w:p>
            <w:pPr>
              <w:spacing w:after="0"/>
              <w:rPr>
                <w:sz w:val="24"/>
                <w:szCs w:val="24"/>
                <w:color w:val="auto"/>
              </w:rPr>
            </w:pP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47</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920" w:type="dxa"/>
            <w:vAlign w:val="bottom"/>
            <w:tcBorders>
              <w:right w:val="single" w:sz="8" w:color="0000FF"/>
            </w:tcBorders>
            <w:gridSpan w:val="5"/>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1A.</w:t>
            </w:r>
          </w:p>
        </w:tc>
        <w:tc>
          <w:tcPr>
            <w:tcW w:w="1040" w:type="dxa"/>
            <w:vAlign w:val="bottom"/>
            <w:gridSpan w:val="2"/>
          </w:tcPr>
          <w:p>
            <w:pPr>
              <w:spacing w:after="0"/>
              <w:rPr>
                <w:sz w:val="24"/>
                <w:szCs w:val="24"/>
                <w:color w:val="auto"/>
              </w:rPr>
            </w:pP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47</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920" w:type="dxa"/>
            <w:vAlign w:val="bottom"/>
            <w:tcBorders>
              <w:right w:val="single" w:sz="8" w:color="0000FF"/>
            </w:tcBorders>
            <w:gridSpan w:val="5"/>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040" w:type="dxa"/>
            <w:vAlign w:val="bottom"/>
            <w:gridSpan w:val="2"/>
          </w:tcPr>
          <w:p>
            <w:pPr>
              <w:spacing w:after="0"/>
              <w:rPr>
                <w:sz w:val="24"/>
                <w:szCs w:val="24"/>
                <w:color w:val="auto"/>
              </w:rPr>
            </w:pP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47</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920" w:type="dxa"/>
            <w:vAlign w:val="bottom"/>
            <w:tcBorders>
              <w:right w:val="single" w:sz="8" w:color="0000FF"/>
            </w:tcBorders>
            <w:gridSpan w:val="5"/>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47</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800" w:type="dxa"/>
            <w:vAlign w:val="bottom"/>
            <w:tcBorders>
              <w:right w:val="single" w:sz="8" w:color="0000FF"/>
            </w:tcBorders>
            <w:gridSpan w:val="8"/>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47</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6540" w:type="dxa"/>
            <w:vAlign w:val="bottom"/>
            <w:tcBorders>
              <w:right w:val="single" w:sz="8" w:color="0000FF"/>
            </w:tcBorders>
            <w:gridSpan w:val="10"/>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w:t>
            </w: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47</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7120" w:type="dxa"/>
            <w:vAlign w:val="bottom"/>
            <w:tcBorders>
              <w:left w:val="single" w:sz="8" w:color="0000FF"/>
              <w:right w:val="single" w:sz="8" w:color="0000FF"/>
            </w:tcBorders>
            <w:gridSpan w:val="1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6.</w:t>
            </w: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48</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49</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6"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Gaming and Leisure Properties,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7,721,298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7,777,551</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leases, financing receivables,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1,867,721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1,201,670</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77,728</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 and land rights,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851,819</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724,595</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57,086</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10,720,480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10,690,449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8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dividend payable and accrued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63,543</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71,810</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183,945</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53,309</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unamortized debt issuance costs, bond premiums and original issuance discounts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6,555,077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6,552,372</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rental revenue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329,068</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39,464</w:t>
            </w: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7,251,995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7,300,309</w:t>
            </w:r>
          </w:p>
        </w:tc>
      </w:tr>
      <w:tr>
        <w:trPr>
          <w:trHeight w:val="196"/>
        </w:trPr>
        <w:tc>
          <w:tcPr>
            <w:tcW w:w="8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10)</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6"/>
        </w:trPr>
        <w:tc>
          <w:tcPr>
            <w:tcW w:w="8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6"/>
        </w:trPr>
        <w:tc>
          <w:tcPr>
            <w:tcW w:w="8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5"/>
        </w:trPr>
        <w:tc>
          <w:tcPr>
            <w:tcW w:w="8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($.01 par value, 50,000,000 shares authorized, no shares issued or outstanding at March 31,</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2022 and December 31, 2021)</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2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($.01 par value, 500,000,000 shares authorized, 247,544,343 and 247,206,937 shares issued and</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at March 31, 2022 and December 31, 2021, respectively)</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4,949,638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4,953,943</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(1,823,139)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(1,771,402)</w:t>
            </w: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 attributable to Gaming and Leisure Properties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3,128,974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3,185,013</w:t>
            </w:r>
          </w:p>
        </w:tc>
      </w:tr>
      <w:tr>
        <w:trPr>
          <w:trHeight w:val="176"/>
        </w:trPr>
        <w:tc>
          <w:tcPr>
            <w:tcW w:w="8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Noncontrolling interests in GLPI's Operating Partnership (7,366,683 units and 4,348,774 units outstanding at</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March 31, 2022 and December 31, 2021, respectively)</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339,511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205,127</w:t>
            </w: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3,468,485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3,390,140</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10,720,480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10,690,449</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Gaming and Leisure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Rental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287,777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263,842</w:t>
            </w:r>
          </w:p>
        </w:tc>
      </w:tr>
      <w:tr>
        <w:trPr>
          <w:trHeight w:val="23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from investment in leases, financing receivables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from real estate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263,842</w:t>
            </w:r>
          </w:p>
        </w:tc>
      </w:tr>
      <w:tr>
        <w:trPr>
          <w:trHeight w:val="23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Gaming, food, beverage and other</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37,701</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314,966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301,543</w:t>
            </w:r>
          </w:p>
        </w:tc>
      </w:tr>
      <w:tr>
        <w:trPr>
          <w:trHeight w:val="216"/>
        </w:trPr>
        <w:tc>
          <w:tcPr>
            <w:tcW w:w="8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Gaming, food, beverage and other</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19,926</w:t>
            </w:r>
          </w:p>
        </w:tc>
      </w:tr>
      <w:tr>
        <w:trPr>
          <w:trHeight w:val="229"/>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 rights and ground lease expense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w:t>
            </w:r>
          </w:p>
        </w:tc>
      </w:tr>
      <w:tr>
        <w:trPr>
          <w:trHeight w:val="23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16,082</w:t>
            </w:r>
          </w:p>
        </w:tc>
      </w:tr>
      <w:tr>
        <w:trPr>
          <w:trHeight w:val="229"/>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 or losses from dispositions of property</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58,701</w:t>
            </w:r>
          </w:p>
        </w:tc>
      </w:tr>
      <w:tr>
        <w:trPr>
          <w:trHeight w:val="229"/>
        </w:trPr>
        <w:tc>
          <w:tcPr>
            <w:tcW w:w="8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101,442</w:t>
            </w:r>
          </w:p>
        </w:tc>
      </w:tr>
      <w:tr>
        <w:trPr>
          <w:trHeight w:val="22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200,101</w:t>
            </w:r>
          </w:p>
        </w:tc>
      </w:tr>
      <w:tr>
        <w:trPr>
          <w:trHeight w:val="196"/>
        </w:trPr>
        <w:tc>
          <w:tcPr>
            <w:tcW w:w="8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(70,413)</w:t>
            </w:r>
          </w:p>
        </w:tc>
      </w:tr>
      <w:tr>
        <w:trPr>
          <w:trHeight w:val="230"/>
        </w:trPr>
        <w:tc>
          <w:tcPr>
            <w:tcW w:w="8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(70,289)</w:t>
            </w:r>
          </w:p>
        </w:tc>
      </w:tr>
      <w:tr>
        <w:trPr>
          <w:trHeight w:val="237"/>
        </w:trPr>
        <w:tc>
          <w:tcPr>
            <w:tcW w:w="8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129,812</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127,184</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 in the Operating Partnership</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attributable to common shareholders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attributable to common shareholders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Balance, December 31, 2021</w:t>
      </w:r>
    </w:p>
    <w:p>
      <w:pPr>
        <w:spacing w:after="0" w:line="27" w:lineRule="exact"/>
        <w:rPr>
          <w:sz w:val="20"/>
          <w:szCs w:val="20"/>
          <w:color w:val="auto"/>
        </w:rPr>
      </w:pPr>
    </w:p>
    <w:p>
      <w:pPr>
        <w:ind w:left="500" w:firstLine="162"/>
        <w:spacing w:after="0" w:line="234" w:lineRule="auto"/>
        <w:rPr>
          <w:sz w:val="20"/>
          <w:szCs w:val="20"/>
          <w:color w:val="auto"/>
        </w:rPr>
      </w:pPr>
      <w:r>
        <w:rPr>
          <w:rFonts w:ascii="Times New Roman" w:cs="Times New Roman" w:eastAsia="Times New Roman" w:hAnsi="Times New Roman"/>
          <w:sz w:val="18"/>
          <w:szCs w:val="18"/>
          <w:color w:val="auto"/>
        </w:rPr>
        <w:t>Issuance of common stock, net of costs</w:t>
      </w:r>
    </w:p>
    <w:p>
      <w:pPr>
        <w:spacing w:after="0" w:line="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Restricted stock activity</w:t>
      </w:r>
    </w:p>
    <w:p>
      <w:pPr>
        <w:spacing w:after="0" w:line="27" w:lineRule="exact"/>
        <w:rPr>
          <w:sz w:val="20"/>
          <w:szCs w:val="20"/>
          <w:color w:val="auto"/>
        </w:rPr>
      </w:pPr>
    </w:p>
    <w:p>
      <w:pPr>
        <w:ind w:left="500" w:right="540" w:firstLine="162"/>
        <w:spacing w:after="0" w:line="234" w:lineRule="auto"/>
        <w:rPr>
          <w:sz w:val="20"/>
          <w:szCs w:val="20"/>
          <w:color w:val="auto"/>
        </w:rPr>
      </w:pPr>
      <w:r>
        <w:rPr>
          <w:rFonts w:ascii="Times New Roman" w:cs="Times New Roman" w:eastAsia="Times New Roman" w:hAnsi="Times New Roman"/>
          <w:sz w:val="18"/>
          <w:szCs w:val="18"/>
          <w:color w:val="auto"/>
        </w:rPr>
        <w:t>Dividends paid ($0.69 per common share)</w:t>
      </w:r>
    </w:p>
    <w:p>
      <w:pPr>
        <w:spacing w:after="0" w:line="10" w:lineRule="exact"/>
        <w:rPr>
          <w:sz w:val="20"/>
          <w:szCs w:val="20"/>
          <w:color w:val="auto"/>
        </w:rPr>
      </w:pPr>
    </w:p>
    <w:p>
      <w:pPr>
        <w:ind w:left="500" w:right="20" w:firstLine="162"/>
        <w:spacing w:after="0" w:line="237" w:lineRule="auto"/>
        <w:rPr>
          <w:sz w:val="20"/>
          <w:szCs w:val="20"/>
          <w:color w:val="auto"/>
        </w:rPr>
      </w:pPr>
      <w:r>
        <w:rPr>
          <w:rFonts w:ascii="Times New Roman" w:cs="Times New Roman" w:eastAsia="Times New Roman" w:hAnsi="Times New Roman"/>
          <w:sz w:val="18"/>
          <w:szCs w:val="18"/>
          <w:color w:val="auto"/>
        </w:rPr>
        <w:t>Issuance of operating partnership units</w:t>
      </w:r>
    </w:p>
    <w:p>
      <w:pPr>
        <w:spacing w:after="0" w:line="10" w:lineRule="exact"/>
        <w:rPr>
          <w:sz w:val="20"/>
          <w:szCs w:val="20"/>
          <w:color w:val="auto"/>
        </w:rPr>
      </w:pPr>
    </w:p>
    <w:p>
      <w:pPr>
        <w:ind w:left="500" w:right="180" w:firstLine="162"/>
        <w:spacing w:after="0" w:line="237" w:lineRule="auto"/>
        <w:rPr>
          <w:sz w:val="20"/>
          <w:szCs w:val="20"/>
          <w:color w:val="auto"/>
        </w:rPr>
      </w:pPr>
      <w:r>
        <w:rPr>
          <w:rFonts w:ascii="Times New Roman" w:cs="Times New Roman" w:eastAsia="Times New Roman" w:hAnsi="Times New Roman"/>
          <w:sz w:val="18"/>
          <w:szCs w:val="18"/>
          <w:color w:val="auto"/>
        </w:rPr>
        <w:t>Distributions to noncontrolling interest</w:t>
      </w:r>
    </w:p>
    <w:p>
      <w:pPr>
        <w:spacing w:after="0" w:line="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Balance, March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280" w:right="2740"/>
        <w:spacing w:after="0" w:line="265" w:lineRule="auto"/>
        <w:rPr>
          <w:sz w:val="20"/>
          <w:szCs w:val="20"/>
          <w:color w:val="auto"/>
        </w:rPr>
      </w:pPr>
      <w:r>
        <w:rPr>
          <w:rFonts w:ascii="Times New Roman" w:cs="Times New Roman" w:eastAsia="Times New Roman" w:hAnsi="Times New Roman"/>
          <w:sz w:val="18"/>
          <w:szCs w:val="18"/>
          <w:b w:val="1"/>
          <w:bCs w:val="1"/>
          <w:color w:val="auto"/>
        </w:rPr>
        <w:t>Gaming and Leisure Properties, Inc. and Subsidiaries Condensed Consolidated Statements of Changes in Equity (in thousands, except share data)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560" w:type="dxa"/>
            <w:vAlign w:val="bottom"/>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6"/>
                <w:szCs w:val="16"/>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0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0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Interest Operating</w:t>
            </w: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260" w:type="dxa"/>
            <w:vAlign w:val="bottom"/>
          </w:tcPr>
          <w:p>
            <w:pPr>
              <w:spacing w:after="0"/>
              <w:rPr>
                <w:sz w:val="17"/>
                <w:szCs w:val="17"/>
                <w:color w:val="auto"/>
              </w:rPr>
            </w:pPr>
          </w:p>
        </w:tc>
        <w:tc>
          <w:tcPr>
            <w:tcW w:w="9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3"/>
        </w:trPr>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247,206,937</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4,953,943</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(1,771,402)</w:t>
            </w:r>
          </w:p>
        </w:tc>
        <w:tc>
          <w:tcPr>
            <w:tcW w:w="10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205,127</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3,390,140</w:t>
            </w: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4"/>
        </w:trPr>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337,406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(171,005)</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137,043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137,043</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121,692</w:t>
            </w:r>
          </w:p>
        </w:tc>
        <w:tc>
          <w:tcPr>
            <w:tcW w:w="0" w:type="dxa"/>
            <w:vAlign w:val="bottom"/>
          </w:tcPr>
          <w:p>
            <w:pPr>
              <w:spacing w:after="0"/>
              <w:rPr>
                <w:sz w:val="1"/>
                <w:szCs w:val="1"/>
                <w:color w:val="auto"/>
              </w:rPr>
            </w:pPr>
          </w:p>
        </w:tc>
      </w:tr>
      <w:tr>
        <w:trPr>
          <w:trHeight w:val="223"/>
        </w:trPr>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247,544,343</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4,949,638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(1,823,139)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339,511</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3,468,485</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2560" w:type="dxa"/>
            <w:vAlign w:val="bottom"/>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24"/>
                <w:szCs w:val="24"/>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0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 Operating</w:t>
            </w: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260" w:type="dxa"/>
            <w:vAlign w:val="bottom"/>
          </w:tcPr>
          <w:p>
            <w:pPr>
              <w:spacing w:after="0"/>
              <w:rPr>
                <w:sz w:val="16"/>
                <w:szCs w:val="16"/>
                <w:color w:val="auto"/>
              </w:rPr>
            </w:pPr>
          </w:p>
        </w:tc>
        <w:tc>
          <w:tcPr>
            <w:tcW w:w="9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-1675765</wp:posOffset>
            </wp:positionH>
            <wp:positionV relativeFrom="paragraph">
              <wp:posOffset>-2237740</wp:posOffset>
            </wp:positionV>
            <wp:extent cx="655764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7645" cy="154305"/>
                    </a:xfrm>
                    <a:prstGeom prst="rect">
                      <a:avLst/>
                    </a:prstGeom>
                    <a:noFill/>
                  </pic:spPr>
                </pic:pic>
              </a:graphicData>
            </a:graphic>
          </wp:anchor>
        </w:drawing>
        <w:drawing>
          <wp:anchor simplePos="0" relativeHeight="251657728" behindDoc="1" locked="0" layoutInCell="0" allowOverlap="1">
            <wp:simplePos x="0" y="0"/>
            <wp:positionH relativeFrom="column">
              <wp:posOffset>-1675765</wp:posOffset>
            </wp:positionH>
            <wp:positionV relativeFrom="paragraph">
              <wp:posOffset>-1817370</wp:posOffset>
            </wp:positionV>
            <wp:extent cx="655764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7645" cy="145415"/>
                    </a:xfrm>
                    <a:prstGeom prst="rect">
                      <a:avLst/>
                    </a:prstGeom>
                    <a:noFill/>
                  </pic:spPr>
                </pic:pic>
              </a:graphicData>
            </a:graphic>
          </wp:anchor>
        </w:drawing>
        <w:drawing>
          <wp:anchor simplePos="0" relativeHeight="251657728" behindDoc="1" locked="0" layoutInCell="0" allowOverlap="1">
            <wp:simplePos x="0" y="0"/>
            <wp:positionH relativeFrom="column">
              <wp:posOffset>-1675765</wp:posOffset>
            </wp:positionH>
            <wp:positionV relativeFrom="paragraph">
              <wp:posOffset>-1405890</wp:posOffset>
            </wp:positionV>
            <wp:extent cx="6557645"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265430"/>
                    </a:xfrm>
                    <a:prstGeom prst="rect">
                      <a:avLst/>
                    </a:prstGeom>
                    <a:noFill/>
                  </pic:spPr>
                </pic:pic>
              </a:graphicData>
            </a:graphic>
          </wp:anchor>
        </w:drawing>
        <w:drawing>
          <wp:anchor simplePos="0" relativeHeight="251657728" behindDoc="1" locked="0" layoutInCell="0" allowOverlap="1">
            <wp:simplePos x="0" y="0"/>
            <wp:positionH relativeFrom="column">
              <wp:posOffset>-1675765</wp:posOffset>
            </wp:positionH>
            <wp:positionV relativeFrom="paragraph">
              <wp:posOffset>-874395</wp:posOffset>
            </wp:positionV>
            <wp:extent cx="655764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080" w:space="40"/>
            <w:col w:w="7760"/>
          </w:cols>
          <w:pgMar w:left="320" w:top="126" w:right="699" w:bottom="1440" w:gutter="0" w:footer="0" w:header="0"/>
        </w:sectPr>
      </w:pPr>
    </w:p>
    <w:tbl>
      <w:tblPr>
        <w:tblLayout w:type="fixed"/>
        <w:tblInd w:w="420" w:type="dxa"/>
        <w:tblCellMar>
          <w:top w:w="0" w:type="dxa"/>
          <w:left w:w="0" w:type="dxa"/>
          <w:bottom w:w="0" w:type="dxa"/>
          <w:right w:w="0" w:type="dxa"/>
        </w:tblCellMar>
      </w:tblPr>
      <w:tr>
        <w:trPr>
          <w:trHeight w:val="23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232,452,220</w:t>
            </w: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4,284,789</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(1,612,096)</w:t>
            </w:r>
          </w:p>
        </w:tc>
        <w:tc>
          <w:tcPr>
            <w:tcW w:w="14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2,675,018</w:t>
            </w:r>
          </w:p>
        </w:tc>
      </w:tr>
      <w:tr>
        <w:trPr>
          <w:trHeight w:val="176"/>
        </w:trPr>
        <w:tc>
          <w:tcPr>
            <w:tcW w:w="27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Issuance of common stock, net of</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activity</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175"/>
        </w:trPr>
        <w:tc>
          <w:tcPr>
            <w:tcW w:w="27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Dividends paid ($0.65 per</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(151,496)</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(151,496)</w:t>
            </w:r>
          </w:p>
        </w:tc>
      </w:tr>
      <w:tr>
        <w:trPr>
          <w:trHeight w:val="230"/>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127,184</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127,184</w:t>
            </w: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2021</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232,781,653</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4,280,723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(1,636,408)</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2,646,643</w:t>
            </w:r>
          </w:p>
        </w:tc>
      </w:tr>
      <w:tr>
        <w:trPr>
          <w:trHeight w:val="20"/>
        </w:trPr>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6" w:right="6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Gaming and Leisure Properties,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42"/>
        </w:trPr>
        <w:tc>
          <w:tcPr>
            <w:tcW w:w="8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127,184</w:t>
            </w:r>
          </w:p>
        </w:tc>
      </w:tr>
      <w:tr>
        <w:trPr>
          <w:trHeight w:val="229"/>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61,544</w:t>
            </w:r>
          </w:p>
        </w:tc>
      </w:tr>
      <w:tr>
        <w:trPr>
          <w:trHeight w:val="229"/>
        </w:trPr>
        <w:tc>
          <w:tcPr>
            <w:tcW w:w="8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 bond premiums and original issuance discounts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30"/>
        </w:trPr>
        <w:tc>
          <w:tcPr>
            <w:tcW w:w="8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on financing receivables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Non-cash adjustment to financing lease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(Gains) or losses from dispositions of property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8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w:t>
            </w:r>
          </w:p>
        </w:tc>
      </w:tr>
      <w:tr>
        <w:trPr>
          <w:trHeight w:val="230"/>
        </w:trPr>
        <w:tc>
          <w:tcPr>
            <w:tcW w:w="8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Straight-line rent adjustments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29"/>
        </w:trPr>
        <w:tc>
          <w:tcPr>
            <w:tcW w:w="8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(Increase), decrease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r>
      <w:tr>
        <w:trPr>
          <w:trHeight w:val="229"/>
        </w:trPr>
        <w:tc>
          <w:tcPr>
            <w:tcW w:w="8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Increase, (decrease)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30"/>
        </w:trPr>
        <w:tc>
          <w:tcPr>
            <w:tcW w:w="82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Accrued interest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w:t>
            </w:r>
          </w:p>
        </w:tc>
      </w:tr>
      <w:tr>
        <w:trPr>
          <w:trHeight w:val="229"/>
        </w:trPr>
        <w:tc>
          <w:tcPr>
            <w:tcW w:w="8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w:t>
            </w:r>
          </w:p>
        </w:tc>
      </w:tr>
      <w:tr>
        <w:trPr>
          <w:trHeight w:val="230"/>
        </w:trPr>
        <w:tc>
          <w:tcPr>
            <w:tcW w:w="824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205,208</w:t>
            </w:r>
          </w:p>
        </w:tc>
      </w:tr>
      <w:tr>
        <w:trPr>
          <w:trHeight w:val="21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project expenditures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29"/>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Capital maintenance expenditures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30"/>
        </w:trPr>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property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Investment in leases, financing receivables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(129,047)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(131,417)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1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(151,496)</w:t>
            </w:r>
          </w:p>
        </w:tc>
      </w:tr>
      <w:tr>
        <w:trPr>
          <w:trHeight w:val="229"/>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Noncontrolling interest distributions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paid related to shares withheld for tax purposes on restricted stock award vestings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w:t>
            </w:r>
          </w:p>
        </w:tc>
      </w:tr>
      <w:tr>
        <w:trPr>
          <w:trHeight w:val="230"/>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(Costs) proceeds from issuance of common stock,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(670,340)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(161,380)</w:t>
            </w:r>
          </w:p>
        </w:tc>
      </w:tr>
      <w:tr>
        <w:trPr>
          <w:trHeight w:val="22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 including cash classified within assets held for sale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42,784</w:t>
            </w: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change in cash classified within assets held for sale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w:t>
            </w:r>
          </w:p>
        </w:tc>
      </w:tr>
      <w:tr>
        <w:trPr>
          <w:trHeight w:val="22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(568,575)</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34,289</w:t>
            </w: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724,595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486,451</w:t>
            </w:r>
          </w:p>
        </w:tc>
      </w:tr>
      <w:tr>
        <w:trPr>
          <w:trHeight w:val="22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156,020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520,740</w:t>
            </w: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 and Note 15 for supplemental cash flow information and noncash investing and financing activities.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Gaming and Leisure Properties,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Business and Operations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Gaming and Leisure Properties, Inc. ("GLPI") is a self-administered and self-managed Pennsylvania real estate investment trust ("REIT"). GLPI (together with its subsidiaries, the "Company") was incorporated on February 13, 2013, as a wholly-owned subsidiary of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Times New Roman" w:cs="Times New Roman" w:eastAsia="Times New Roman" w:hAnsi="Times New Roman"/>
          <w:sz w:val="18"/>
          <w:szCs w:val="18"/>
          <w:i w:val="1"/>
          <w:iCs w:val="1"/>
          <w:color w:val="auto"/>
        </w:rPr>
        <w:t>Spinoffs and Reverse Spinoffs ("</w:t>
      </w:r>
      <w:r>
        <w:rPr>
          <w:rFonts w:ascii="Times New Roman" w:cs="Times New Roman" w:eastAsia="Times New Roman" w:hAnsi="Times New Roman"/>
          <w:sz w:val="18"/>
          <w:szCs w:val="18"/>
          <w:color w:val="auto"/>
        </w:rPr>
        <w:t>ASC 505"</w:t>
      </w:r>
      <w:r>
        <w:rPr>
          <w:rFonts w:ascii="Times New Roman" w:cs="Times New Roman" w:eastAsia="Times New Roman" w:hAnsi="Times New Roman"/>
          <w:sz w:val="18"/>
          <w:szCs w:val="18"/>
          <w:i w:val="1"/>
          <w:iCs w:val="1"/>
          <w:color w:val="auto"/>
        </w:rPr>
        <w:t>).</w:t>
      </w:r>
    </w:p>
    <w:p>
      <w:pPr>
        <w:spacing w:after="0" w:line="219"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addition, during 2020, the Company and Tropicana LV, LLC, a wholly owned subsidiary of the Company which holds the real estate of Tropicana Las Vegas Casino Hotel Resort ("Tropicana Las Vegas"), elected to treat Tropicana LV, LLC as a TRS. Further, as partial consideration for the transactions with The Cordish Companies ("Cordish") described below, the Company's operating partnership has issued 7,366,683 newly-issued operating partnership units ("OP Units") to affiliates of Cordish. The OP Units are exchangeable for common shares of the Company on a one-for-one basis, subject to certain terms and conditions. As a result of the contribution, the OP became treated as a regarded partnership for income tax purposes, with the REIT being deemed to contribute substantially all of the assets and liabilities of the REIT in exchange for the general partnership and a majority of the limited partnership interests, and a minority limited partnership interest being owned by Cordish (the "UPREIT Transaction"). In advance of the UPREIT transaction, the Company elected GLP Financing II, Inc. to be treated as a TRS effective December 23, 2021.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 On July 1, 2021, the Company sold the operations of Hollywood Casino Perryville to Penn and is leasing the real estate to Penn pursuant to a standalone lease. On December 17, 2021, the Company sold the operations of Hollywood Casino Baton Rouge to Casino Queen and is leasing the real estate to Casino Queen pursuant to the Casino Queen Master Lease as described below. On December 17, 2021, GLPI declared a special dividend to the Company's shareholders to distribute the accumulated earnings and profits attributable to these sales. In 2021, as a result of the sale of the operations of Hollywood Casino Perryville and Hollywood Casino Baton Rouge, GLP Holdings, Inc. was merged into GLP Capital, L.P., a wholly owned subsidiary of GLPI.</w:t>
      </w:r>
    </w:p>
    <w:p>
      <w:pPr>
        <w:spacing w:after="0" w:line="22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GLPI’s primary business consists of acquiring, financing, and owning real estate property to be leased to gaming operators in triple-net lease arrangements. As of March 31, 2022, GLPI’s portfolio consisted of interests in 53 gaming and related facilities, including approximately 35 acres of real estate at Tropicana Las Vegas, the real property associated with 34 gaming and related facilities operated by Penn, the real property associated with 7 gaming and related facilities operated by Caesars Entertainment Corporation (NASDAQ: CZR) ("Caesars"), the real property associated with 4 gaming and related facilities operated by Boyd Gaming Corporation (NYSE: BYD) ("Boyd"), the real property associated with 2 gaming and related facilities operated by Bally's Corporation (NYSE: BALY) ("Bally's"), the real property associated with 3 gaming and related facilities operated by Cordish and the real property associated with 2 gaming and related facilities operated by Casino Queen Holding Company ("Casino Queen"). These facilities, including our corporate headquarters building, are geographically diversified across 17 states and contain approximately 28.5 million square feet. As of March 31, 2022, the Company's properties were 100% occupied. GLPI expects to continue growing its portfolio by pursuing opportunities to acquire additional gaming facilities to lease to gaming operators under prudent terms.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Penn Master Lease</w:t>
      </w:r>
    </w:p>
    <w:p>
      <w:pPr>
        <w:spacing w:after="0" w:line="25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Spin-Off, GLPI owns substantially all of Penn’s former real property assets (as of the consummation of the Spin-Off) and leases back most of those assets to Penn for use by its subsidiaries pursuant to a unitary master lease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"Penn Master Lease"). The Penn Master Lease is a triple-net operating lease, the current term of which expires October 31, 2033, with no purchase option, followed by three remaining 5-year renewal options (exercisable by the tenant) on the same terms and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Pinnacle Master Lease, Boyd Master Lease and Belterra Park Lease</w:t>
      </w:r>
    </w:p>
    <w:p>
      <w:pPr>
        <w:spacing w:after="0" w:line="254"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on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Belterra Park Loan, subject to a long-term lease (the "Belterra Park Lease") with a Boyd affiliate operating the property. The Belterra Park Lease rent terms</w:t>
      </w:r>
    </w:p>
    <w:p>
      <w:pPr>
        <w:spacing w:after="0" w:line="5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Meadows Lease</w:t>
      </w:r>
    </w:p>
    <w:p>
      <w:pPr>
        <w:spacing w:after="0" w:line="25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real estate assets of the Meadows Racetrack and Casino are leased to Penn pursuant to a single property triple-net lease (the "Meadows Lease"). The Meadows Lease commenced on September 9, 2016 and has an initial term of 10 years, with no purchase option, and the option to renew for three successive 5-year terms and one 4-year term (exercisable by the tenant) on the same terms and conditions. 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a maximum of 2% annually thereafter.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Caesars Master Lease</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L.P. ("GLP Capital"), the operating partnership of GLPI,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Black Hawk, Isle Casino Waterloo ("Waterloo"), Isle Casino Bettendorf ("Bettendorf") or Isle of Capri Casino Boonville, provided that the aggregate value of such new property, individually or collectively, is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were received on July 23, 2020. On December 18, 2020, the Company and Caesars completed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was increased to $62.5 million and the annual land component was increased to $23.7 million.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Lumière Place Lease</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1, 2018, the Company entered into a loan agreement with Caesars in connection with Caesars’s acquisition of Lumière Place Casino ("Lumière Place"), whereby the Company loaned Caesars $246.0 million (the "CZR loan"). The CZR loan bore interest at a rate equal to (i) 9.09% until October 1, 2019 and (ii) 9.27% until its maturity. On the one-year anniversary of the CZR loan, the mortgage evidenced by a deed of trust on the Lumière Place property terminated and the loan became unsecured. On June 24, 2020, the Company received approval from the Missouri Gaming Commission to own the Lumière Place property in satisfaction of the CZR loan. On September 29, 2020, the transaction closed and we entered into a new triple net lease with Caesars (the "Lumière Place Lease") the initial term of which expires on October 31, 2033, with four separate renewal options of five years each, exercisable at the tenant's option. The Lumière Place Lease's rent was adjusted on December 1, 2021 such that the annual escalator is now fixed at 1.25% for the second through fifth lease years, increasing to 1.75% for the sixth and seventh lease years and thereafter increasing by 2.0% for the remainder of the lease.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Bally's Master Lease</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from Bally's for a cash purchase price of approximately $144.0 million. The real estate assets of these two facilities were added to a new triple net master lease (the "Bally's Master Lease") which has an initial term of 15 years, with no purchase option, followed by four 5-year renewal options (exercisable by the tenant) on the same terms and conditions.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Tropicana Las Vegas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16, 2020, the Company and certain of its subsidiaries closed on its previously announced transaction to acquire the real property associated with the Tropicana Las Vegas from Penn in exchange for $307.5 million of rent credits which were applied against future rent obligations due under the parties' existing leases during 2020. An affiliate of Penn continues to operate the casino and hotel business of Tropicana Las Vegas pursuant to a triple net lease with GLPI for nominal rent for the earlier of two years (subject to three one-year extensions at the Company's option) or until the Tropicana Las Vegas is sold. See Note 15 for the anticipated sale of the building and sale-lease back of the land for this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Morgantown Lease</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1, 2020, the Company and Penn closed on their previously announced transaction whereby GLPI acquired the land under Penn's gaming facility under construction in Morgantown, Pennsylvania in exchange for $30.0 million in rent credits which were fully utilized by Penn in the fourth quarter of 2020. The Company is leasing the land back to an affiliate of Penn for an initial term of 20 years, followed by six 5-year renewal options exercisable by the tenant (the "Morgantown Lease").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Casino Queen Master Lease</w:t>
      </w:r>
    </w:p>
    <w:p>
      <w:pPr>
        <w:spacing w:after="0" w:line="24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November 25, 2020, the Company entered into a definitive agreement to sell the operations of our Hollywood Casino Baton Rouge to Casino Queen for $28.2 million (the "HCBR transaction"). The HCBR transaction closed on December 17, 2021. The Company retained ownership of all real estate assets at Hollywood Casino Baton Rouge and simultaneously entered into a triple net master lease with Casino Queen, which includes the Casino Queen property in East St. Louis that is currently leased by the Company to Casino Queen and the Hollywood Casino Baton Rouge facility ("Casino Queen Master Lease"). The initial annual cash rent is approximately $21.4 million and the lease has an initial term of 15 years with four 5 year renewal options exercisable by the tenant. This rental amount will be increased annually by 0.5% for the first six years. Beginning with the seventh lease year through the remainder of the lease term, if the Consumer Price Index ("CPI") increases by at least 0.25% for any lease year then annual rent shall be increased by</w:t>
      </w:r>
    </w:p>
    <w:p>
      <w:pPr>
        <w:spacing w:after="0" w:line="3"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1.25%, and if the CPI increase is less than 0.25% then rent will remain unchanged for such lease year. Additionally, the Company will complete the current landside development project that is in process and the rent under the Casino Queen Master Lease will be adjusted upon delivery to reflect a yield of 8.25% on GLPI's project costs. The Company will also have a right of first refusal with Casino Queen for other sale leaseback transactions up to $50 million over the next 2 years.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Perryville Lease</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15, 2020, the Company announced that Penn exercised its option to purchase from the Company the operations of our Hollywood Casino Perryville, located in Perryville, Maryland, for $31.1 million. The transaction closed on July 1, 2021 and the real estate assets of the Hollywood Casino Perryville are being leased to Penn on a triple net basis (the "Perryville Lease").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Maryland Live! Lease and Pennsylvania Live! Lease</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6, 2021, the Company announced that it had agreed to acquire the real property assets of Live! Casino &amp; Hotel Maryland, Live! Casino &amp; Hotel Philadelphia, and Live! Casino Pittsburgh, including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the Company completed its acquisition of the real property assets of Live! Casino &amp; Hotel Maryland and entered into a single asset lease for Live! Casino &amp; Hotel Maryland (the "Maryland Live Lease") which has an initial lease terms of 39 years, with a maximum term of 60 years inclusive of tenant renewal options. On March 1, 2022, the Company completed its acquisition of the real estate assets of Live! Casino &amp; Hotel Philadelphia and Live! Casino Pittsburgh for $689 million and leased back the real estate to Cordish pursuant to a new triple net master lease with Cordish (the "Pennsylvania Live! Master Lease"). The annual rent for the Maryland Live! Lease is $75.0 million and the Pennsylvania Live! Master Lease is $50.0 million both of which have a 1.75% fixed yearly escalator on the entirety of rent commencing on the leases' second anniversary.</w:t>
      </w:r>
    </w:p>
    <w:p>
      <w:pPr>
        <w:spacing w:after="0" w:line="2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5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spacing w:after="0" w:line="20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GLPI and its subsidiaries as well as the Company's operating partnership, which is a variable interest entity ("VIE") in which the Company is the primary beneficiary. The Company presents non-controlling interests and classifies such interests as a separate component of equity, separate from GLPI's stockholders' equity and as net income attributable to non-controlling interest in the Condensed Consolidated Statement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of Income. All intercompany accounts and transactions have been eliminated in consolidation.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 Certain prior period amounts have been reclassified to conform to the current period presentation. Specifically, property and equipment, net, is now classified in other assets on the Condensed Consolidated Balance Sheets, accounts payable has been combined with dividend payable and accrued expenses and finally, gaming, property and other taxes and income taxes payable were reclassified to other liabilities on the Condensed Consolidated Balance Sheets.</w:t>
      </w:r>
    </w:p>
    <w:p>
      <w:pPr>
        <w:spacing w:after="0" w:line="21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Operating results for the three months ended March 31, 2022 are not necessarily indicative of the results that may be expected for the year ending December 31, 2022. The consolidated financial statements contained in our Annual Report on Form 10-K for the year ended December 31, 2021 (our "Annual Report") should be read in conjunction with these condensed consolidated financial statements. The December 31, 2021 financial information has been derived from the Company’s audited consolidated financial statements.</w:t>
      </w:r>
    </w:p>
    <w:p>
      <w:pPr>
        <w:spacing w:after="0" w:line="20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of the Notes to the Consolidated Financial Statements included in the Company’s Annual Report and since the date of those financial statements, the Company has not had any significant changes to these accounting policies that have had a material impact on the Company's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5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described in Note 1, due to the sale of the operations of Hollywood Casino Perryville and Hollywood Casino Baton Rouge, the Company's operations consist solely of investments in real estate for which all such real estate properties are similar to one another in that they consist of destination and leisure properties and related offerings, whose tenants offer casino gaming, hotel, convention, dining, entertainment and retail amenities, have similar economic characteristics and are governed by triple-net operating leases. The operating results of the Company's real estate investments are reviewed in the aggregate, by the chief operating decision maker (as such term is defined in ASC 280 - Segment Reporting). As such as of January 1, 2022, the Company has one reportable segment.</w:t>
      </w: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New Accounting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Pronouncements Recently Adopted</w:t>
      </w:r>
    </w:p>
    <w:p>
      <w:pPr>
        <w:spacing w:after="0" w:line="25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March 2022, the FASB issued ASU No 2022-02,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which eliminates the accounting guidance for troubled debt restructurings ("TDRs) and requires that entities disclose current-period gross write-offs by year of origination for financing receivables and net investment in leases within the scope of ASC 326-20, </w:t>
      </w:r>
      <w:r>
        <w:rPr>
          <w:rFonts w:ascii="Times New Roman" w:cs="Times New Roman" w:eastAsia="Times New Roman" w:hAnsi="Times New Roman"/>
          <w:sz w:val="18"/>
          <w:szCs w:val="18"/>
          <w:i w:val="1"/>
          <w:iCs w:val="1"/>
          <w:color w:val="auto"/>
        </w:rPr>
        <w:t>Financial Instruments-Credit Losses-Measured and Amortized Cost</w:t>
      </w:r>
      <w:r>
        <w:rPr>
          <w:rFonts w:ascii="Times New Roman" w:cs="Times New Roman" w:eastAsia="Times New Roman" w:hAnsi="Times New Roman"/>
          <w:sz w:val="18"/>
          <w:szCs w:val="18"/>
          <w:color w:val="auto"/>
        </w:rPr>
        <w:t>. The Company early adopted the amendments in this update which had no impact on its financial statements or related disclosures as the Company has no TDRs or write-offs to disclose on its net investment in leases.</w:t>
      </w:r>
    </w:p>
    <w:p>
      <w:pPr>
        <w:spacing w:after="0" w:line="20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Investment in leases, financing receivables, net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Maryland Live! Lease that became effective on December 29, 2021 and the Pennsylvania Live! Master Lease that became effective March 1, 2022, the Company recorded an Investment in leases, financing receivables, net, as the sale lease back transactions were accounted for as failed sale leasebacks. The following is a summary of the balances of the Company's Investment in leases, financing receivables, net.</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3"/>
                <w:szCs w:val="13"/>
                <w:color w:val="auto"/>
              </w:rPr>
            </w:pPr>
          </w:p>
        </w:tc>
        <w:tc>
          <w:tcPr>
            <w:tcW w:w="2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lease payments receivable</w:t>
            </w:r>
          </w:p>
        </w:tc>
        <w:tc>
          <w:tcPr>
            <w:tcW w:w="11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6,771,931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4,012,937</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Estimated residual values of lease property (unguaranteed)</w:t>
            </w:r>
          </w:p>
        </w:tc>
        <w:tc>
          <w:tcPr>
            <w:tcW w:w="7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940,885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601,947</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7,712,816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4,614,884</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Unearned income</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(5,806,213)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(3,400,988)</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7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leases - financing receivables, net</w:t>
            </w:r>
          </w:p>
        </w:tc>
        <w:tc>
          <w:tcPr>
            <w:tcW w:w="7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1,867,721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1,201,670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6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present value of the net investment in the lease payment receivable and unguaranteed residual value at March 31, 2022 was $1,858.6 million and $48.0 million compared to $1,178.0 million and $35.9 million at December 31, 2021.</w:t>
      </w:r>
    </w:p>
    <w:p>
      <w:pPr>
        <w:spacing w:after="0" w:line="200" w:lineRule="exact"/>
        <w:rPr>
          <w:sz w:val="20"/>
          <w:szCs w:val="20"/>
          <w:color w:val="auto"/>
        </w:rPr>
      </w:pPr>
    </w:p>
    <w:p>
      <w:pPr>
        <w:spacing w:after="0" w:line="27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At March 31, 2022, minimum lease payments owed to us for each of the five succeeding years under the Company's financing receivables was as follows (in thousands):</w:t>
      </w:r>
    </w:p>
    <w:p>
      <w:pPr>
        <w:spacing w:after="0" w:line="127" w:lineRule="exact"/>
        <w:rPr>
          <w:sz w:val="20"/>
          <w:szCs w:val="20"/>
          <w:color w:val="auto"/>
        </w:rPr>
      </w:pPr>
    </w:p>
    <w:tbl>
      <w:tblPr>
        <w:tblLayout w:type="fixed"/>
        <w:tblInd w:w="2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Future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w w:val="71"/>
              </w:rPr>
              <w:t>Minimum</w:t>
            </w:r>
          </w:p>
        </w:tc>
        <w:tc>
          <w:tcPr>
            <w:tcW w:w="1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gridSpan w:val="2"/>
            <w:vMerge w:val="continue"/>
          </w:tcPr>
          <w:p>
            <w:pPr>
              <w:spacing w:after="0"/>
              <w:rPr>
                <w:sz w:val="11"/>
                <w:szCs w:val="11"/>
                <w:color w:val="auto"/>
              </w:rPr>
            </w:pPr>
          </w:p>
        </w:tc>
        <w:tc>
          <w:tcPr>
            <w:tcW w:w="1020" w:type="dxa"/>
            <w:vAlign w:val="bottom"/>
            <w:gridSpan w:val="7"/>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Lease Payments</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(remainder of year)</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95,403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127,222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129,286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131,532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133,816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6,154,672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6,771,931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follows ASC 326 “Credit Losses” (“ASC 326”), which requires that the Company measure and record current expected credit losses (“CECL”), the scope of which includes our Investment in leases - financing receivables. The Company has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The Company then records a CECL allowance based on the expected loss rate multiplied by the outstanding investment in lease balance.</w:t>
      </w:r>
    </w:p>
    <w:p>
      <w:pPr>
        <w:spacing w:after="0" w:line="34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Expected losses within our cash flows are determined by estimating the probability of default (“PD”) and loss given default (“LGD”) of our Investment in leases, financing receivables. We have engaged a nationally recognized data analytics firm to assist us with estimating both the PD and LGD. The PD and LGD are estimated during the initial term of the leases. The PD and LGD estimates for the lease term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financing receivables. Management will monitor the credit risk related to its financing receivable by obtaining the rent coverage on the lease on a periodic basis. The Company also monitors legislative changes to assess whether it would have an impact on the underlying performance of its tenant. We are unable to use our historical data to estimate losses as the Company has no loss history to date on its lease portfolio. Our tenants are current on all of their rental obligations as of March 31, 2022 and December 31, 2021.</w:t>
      </w: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rollforward of the allowance for credit losses for the Company's financing receivables is illustrated below (in thousands):</w:t>
      </w:r>
    </w:p>
    <w:p>
      <w:pPr>
        <w:spacing w:after="0" w:line="266"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3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Maryland Live!</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Pennsylvania Live!</w:t>
            </w:r>
          </w:p>
        </w:tc>
        <w:tc>
          <w:tcPr>
            <w:tcW w:w="2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Master Lease</w:t>
            </w:r>
          </w:p>
        </w:tc>
        <w:tc>
          <w:tcPr>
            <w:tcW w:w="2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32,277</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26,656</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at March 31, 2022</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32,277</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38,882</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amortized cost basis of the Company's investment in leases, financing receivables by year of origination is shown below as of March 31, 2022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Origination year</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leases, financing receivables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689,648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1,216,955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1,906,603</w:t>
            </w:r>
          </w:p>
        </w:tc>
      </w:tr>
      <w:tr>
        <w:trPr>
          <w:trHeight w:val="22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(32,277)</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(6,605)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(38,882)</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 cost basis at March 31, 2022</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657,371</w:t>
            </w: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1,210,350</w:t>
            </w:r>
          </w:p>
        </w:tc>
        <w:tc>
          <w:tcPr>
            <w:tcW w:w="1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1,867,721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as a percentage of outstanding financing receivable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2022, the Company received an updated earnings forecast from its tenant on the Maryland Live! Casino</w:t>
      </w:r>
    </w:p>
    <w:p>
      <w:pPr>
        <w:spacing w:after="0" w:line="27" w:lineRule="exact"/>
        <w:rPr>
          <w:sz w:val="20"/>
          <w:szCs w:val="20"/>
          <w:color w:val="auto"/>
        </w:rPr>
      </w:pPr>
    </w:p>
    <w:p>
      <w:pPr>
        <w:ind w:firstLine="8"/>
        <w:spacing w:after="0" w:line="252" w:lineRule="auto"/>
        <w:tabs>
          <w:tab w:leader="none" w:pos="1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operations for 2022. This resulted in an improved rent coverage ratio in its reserve calculation which led to a reduction in its reserve at March 31, 2022. The reason for the higher allowance for credit losses as a percentage of the outstanding investment in leases for the Pennsylvania Live! Master Lease compared to the Maryland Live! Lease is primarily due to the significantly higher expected rent coverage ratio on the Maryland Live! Lease compared to the Pennsylvania Live! Master Lease among other factors such as a changing economic forecast. Future changes in economic probability factors and earnings assumptions at the underlying facilities may result in non-cash provisions or recoveries in future periods that could materially impact our results of operations.</w:t>
      </w:r>
    </w:p>
    <w:p>
      <w:pPr>
        <w:spacing w:after="0" w:line="2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Real Estate Investments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 estate investments, net, represents investments in 52 rental properties and the corporate headquarters building and is summarized as follows: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4"/>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improvements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3,141,553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3,141,646</w:t>
            </w:r>
          </w:p>
        </w:tc>
      </w:tr>
      <w:tr>
        <w:trPr>
          <w:trHeight w:val="229"/>
        </w:trPr>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6,311,573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6,311,573</w:t>
            </w:r>
          </w:p>
        </w:tc>
      </w:tr>
      <w:tr>
        <w:trPr>
          <w:trHeight w:val="230"/>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w:t>
            </w:r>
          </w:p>
        </w:tc>
      </w:tr>
      <w:tr>
        <w:trPr>
          <w:trHeight w:val="223"/>
        </w:trPr>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real estate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9,461,231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9,458,918</w:t>
            </w:r>
          </w:p>
        </w:tc>
      </w:tr>
      <w:tr>
        <w:trPr>
          <w:trHeight w:val="230"/>
        </w:trPr>
        <w:tc>
          <w:tcPr>
            <w:tcW w:w="7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(1,739,933)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(1,681,367)</w:t>
            </w:r>
          </w:p>
        </w:tc>
      </w:tr>
      <w:tr>
        <w:trPr>
          <w:trHeight w:val="223"/>
        </w:trPr>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investments,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7,721,298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7,777,551</w:t>
            </w:r>
          </w:p>
        </w:tc>
      </w:tr>
      <w:tr>
        <w:trPr>
          <w:trHeight w:val="20"/>
        </w:trPr>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Assets Held for Sale</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13, 2021, Bally’s agreed to acquire both GLPI’s non-land real estate assets and Penn's outstanding equity interests in Tropicana Las Vegas Hotel and Casino, Inc. for an aggregate cash acquisition price of $150 million. GLPI will retain ownership of the land and concurrently enter into a ground lease for 50 years with initial annual rent of $10.5 million. The ground lease will be supported by a Bally’s corporate guarantee and cross-defaulted with the Bally's Master Lease. This transaction is expected to close in the second half of 2022. The Company has classified the building value of Tropicana Las Vegas in Assets held for sale which totals $77.7 million and the land value in Real estate investments, net on the Condensed Consolidated Balance Sheets since the transaction is expected to close in the second half of 2022.</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ind w:right="8300" w:firstLine="8"/>
        <w:spacing w:after="0" w:line="534" w:lineRule="auto"/>
        <w:tabs>
          <w:tab w:leader="none" w:pos="31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Assets and Lease Liabilities Lease Assets</w:t>
      </w:r>
    </w:p>
    <w:p>
      <w:pPr>
        <w:spacing w:after="0" w:line="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2028 to 2108, when considering all renewal options. For certain of these ground leases, the Company’s tenants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sheets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sheets in conjunction with the Company's assumption of below market leases at the time it acquired the related land and building assets, the Company is required to report the right-of-use assets and land rights in the aggregate on the condensed consolidated balance sheets.</w:t>
      </w:r>
    </w:p>
    <w:p>
      <w:pPr>
        <w:spacing w:after="0" w:line="2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the Company's right-of use assets and land rights, net are detailed below (in thousands):</w:t>
      </w:r>
    </w:p>
    <w:p>
      <w:pPr>
        <w:spacing w:after="0" w:line="43" w:lineRule="exact"/>
        <w:rPr>
          <w:sz w:val="20"/>
          <w:szCs w:val="20"/>
          <w:color w:val="auto"/>
        </w:rPr>
      </w:pPr>
    </w:p>
    <w:tbl>
      <w:tblPr>
        <w:tblLayout w:type="fixed"/>
        <w:tblInd w:w="112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Pr>
          <w:p>
            <w:pPr>
              <w:spacing w:after="0"/>
              <w:rPr>
                <w:sz w:val="16"/>
                <w:szCs w:val="16"/>
                <w:color w:val="auto"/>
              </w:rPr>
            </w:pPr>
          </w:p>
        </w:tc>
        <w:tc>
          <w:tcPr>
            <w:tcW w:w="17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5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 use assets - operating leases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183,136</w:t>
            </w:r>
          </w:p>
        </w:tc>
      </w:tr>
      <w:tr>
        <w:trPr>
          <w:trHeight w:val="229"/>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Land rights, net</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662,693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668,683</w:t>
            </w:r>
          </w:p>
        </w:tc>
      </w:tr>
      <w:tr>
        <w:trPr>
          <w:trHeight w:val="248"/>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and land rights,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851,819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 Rights</w:t>
      </w:r>
    </w:p>
    <w:p>
      <w:pPr>
        <w:spacing w:after="0" w:line="256"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8"/>
          <w:szCs w:val="18"/>
          <w:color w:val="auto"/>
        </w:rPr>
        <w:t>The land rights are amortized over the individual lease term of the related ground lease, including all renewal options, which ranged from 10 years to 92 years at their respective acquisition dates. Land rights net, consist of the following:</w:t>
      </w:r>
    </w:p>
    <w:tbl>
      <w:tblPr>
        <w:tblLayout w:type="fixed"/>
        <w:tblInd w:w="740" w:type="dxa"/>
        <w:tblCellMar>
          <w:top w:w="0" w:type="dxa"/>
          <w:left w:w="0" w:type="dxa"/>
          <w:bottom w:w="0" w:type="dxa"/>
          <w:right w:w="0" w:type="dxa"/>
        </w:tblCellMar>
      </w:tblPr>
      <w:tr>
        <w:trPr>
          <w:trHeight w:val="149"/>
        </w:trPr>
        <w:tc>
          <w:tcPr>
            <w:tcW w:w="7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24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7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rights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727,796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730,783</w:t>
            </w:r>
          </w:p>
        </w:tc>
      </w:tr>
      <w:tr>
        <w:trPr>
          <w:trHeight w:val="230"/>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(65,103)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(62,100)</w:t>
            </w: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rights,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662,693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668,683</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 period ended March 31, 2022, the Company recorded $2.7 million of accelerated land right amortization as it donated a portion of the land underlying a ground lease.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2022, estimated future amortization expense related to the Company’s land rights by fiscal year is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5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36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360" w:type="dxa"/>
            <w:vAlign w:val="bottom"/>
          </w:tcPr>
          <w:p>
            <w:pPr>
              <w:spacing w:after="0"/>
              <w:rPr>
                <w:sz w:val="19"/>
                <w:szCs w:val="19"/>
                <w:color w:val="auto"/>
              </w:rPr>
            </w:pPr>
          </w:p>
        </w:tc>
        <w:tc>
          <w:tcPr>
            <w:tcW w:w="5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(remainder of year)</w:t>
            </w:r>
          </w:p>
        </w:tc>
        <w:tc>
          <w:tcPr>
            <w:tcW w:w="400" w:type="dxa"/>
            <w:vAlign w:val="bottom"/>
            <w:shd w:val="clear" w:color="auto" w:fill="CCEEFF"/>
          </w:tcPr>
          <w:p>
            <w:pPr>
              <w:spacing w:after="0"/>
              <w:rPr>
                <w:sz w:val="19"/>
                <w:szCs w:val="19"/>
                <w:color w:val="auto"/>
              </w:rPr>
            </w:pPr>
          </w:p>
        </w:tc>
        <w:tc>
          <w:tcPr>
            <w:tcW w:w="24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9,869</w:t>
            </w: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54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600,188</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54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662,693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Lease Liabilities</w:t>
            </w: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780" w:type="dxa"/>
            <w:vAlign w:val="bottom"/>
            <w:gridSpan w:val="5"/>
            <w:vMerge w:val="continue"/>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660" w:type="dxa"/>
            <w:vAlign w:val="bottom"/>
            <w:gridSpan w:val="9"/>
          </w:tcPr>
          <w:p>
            <w:pPr>
              <w:jc w:val="right"/>
              <w:ind w:right="1290"/>
              <w:spacing w:after="0"/>
              <w:rPr>
                <w:sz w:val="20"/>
                <w:szCs w:val="20"/>
                <w:color w:val="auto"/>
              </w:rPr>
            </w:pPr>
            <w:r>
              <w:rPr>
                <w:rFonts w:ascii="Times New Roman" w:cs="Times New Roman" w:eastAsia="Times New Roman" w:hAnsi="Times New Roman"/>
                <w:sz w:val="18"/>
                <w:szCs w:val="18"/>
                <w:color w:val="auto"/>
              </w:rPr>
              <w:t>At March 31, 2022, maturities of the Company's operating lease liabilities were as follows (in thousands):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2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(remainder of year)</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3"/>
          </w:tcPr>
          <w:p>
            <w:pPr>
              <w:spacing w:after="0"/>
              <w:rPr>
                <w:sz w:val="19"/>
                <w:szCs w:val="19"/>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3"/>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13,505</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3"/>
          </w:tcPr>
          <w:p>
            <w:pPr>
              <w:spacing w:after="0"/>
              <w:rPr>
                <w:sz w:val="19"/>
                <w:szCs w:val="19"/>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13,452</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3"/>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610,692</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674,834</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(491,424)</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183,410</w:t>
            </w: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Expense</w:t>
      </w:r>
    </w:p>
    <w:p>
      <w:pPr>
        <w:spacing w:after="0" w:line="25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Operating lease costs represent the entire amount of expense recognized for operating leases that are recorded on the condensed consolidated balance sheets.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43" w:lineRule="exact"/>
        <w:rPr>
          <w:sz w:val="20"/>
          <w:szCs w:val="20"/>
          <w:color w:val="auto"/>
        </w:rPr>
      </w:pPr>
    </w:p>
    <w:tbl>
      <w:tblPr>
        <w:tblLayout w:type="fixed"/>
        <w:tblInd w:w="232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314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r>
      <w:tr>
        <w:trPr>
          <w:trHeight w:val="23"/>
        </w:trPr>
        <w:tc>
          <w:tcPr>
            <w:tcW w:w="34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0"/>
        </w:trPr>
        <w:tc>
          <w:tcPr>
            <w:tcW w:w="34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9"/>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land right assets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w:t>
            </w:r>
          </w:p>
        </w:tc>
      </w:tr>
      <w:tr>
        <w:trPr>
          <w:trHeight w:val="248"/>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related to the land right intangibles, as well as variable lease costs and the majority of the Company's operating lease costs are recorded within land rights and ground lease expense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6"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Disclosures Related to Leases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operating leases was as follows:</w:t>
      </w:r>
    </w:p>
    <w:p>
      <w:pPr>
        <w:spacing w:after="0" w:line="43"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33"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1460" w:type="dxa"/>
            <w:vAlign w:val="bottom"/>
          </w:tcPr>
          <w:p>
            <w:pPr>
              <w:spacing w:after="0"/>
              <w:rPr>
                <w:sz w:val="21"/>
                <w:szCs w:val="21"/>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 operating leases</w:t>
            </w:r>
          </w:p>
        </w:tc>
        <w:tc>
          <w:tcPr>
            <w:tcW w:w="20" w:type="dxa"/>
            <w:vAlign w:val="bottom"/>
            <w:tcBorders>
              <w:top w:val="single" w:sz="8" w:color="auto"/>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jc w:val="center"/>
              <w:ind w:left="202"/>
              <w:spacing w:after="0"/>
              <w:rPr>
                <w:sz w:val="20"/>
                <w:szCs w:val="20"/>
                <w:color w:val="auto"/>
              </w:rPr>
            </w:pPr>
            <w:r>
              <w:rPr>
                <w:rFonts w:ascii="Times New Roman" w:cs="Times New Roman" w:eastAsia="Times New Roman" w:hAnsi="Times New Roman"/>
                <w:sz w:val="18"/>
                <w:szCs w:val="18"/>
                <w:color w:val="auto"/>
                <w:w w:val="98"/>
              </w:rPr>
              <w:t>51.62 years</w:t>
            </w:r>
          </w:p>
        </w:tc>
        <w:tc>
          <w:tcPr>
            <w:tcW w:w="320" w:type="dxa"/>
            <w:vAlign w:val="bottom"/>
            <w:tcBorders>
              <w:top w:val="single" w:sz="8" w:color="auto"/>
            </w:tcBorders>
            <w:shd w:val="clear" w:color="auto" w:fill="CCEEFF"/>
          </w:tcPr>
          <w:p>
            <w:pPr>
              <w:spacing w:after="0"/>
              <w:rPr>
                <w:sz w:val="21"/>
                <w:szCs w:val="21"/>
                <w:color w:val="auto"/>
              </w:rPr>
            </w:pPr>
          </w:p>
        </w:tc>
        <w:tc>
          <w:tcPr>
            <w:tcW w:w="720" w:type="dxa"/>
            <w:vAlign w:val="bottom"/>
          </w:tcPr>
          <w:p>
            <w:pPr>
              <w:spacing w:after="0"/>
              <w:rPr>
                <w:sz w:val="21"/>
                <w:szCs w:val="21"/>
                <w:color w:val="auto"/>
              </w:rPr>
            </w:pPr>
          </w:p>
        </w:tc>
      </w:tr>
      <w:tr>
        <w:trPr>
          <w:trHeight w:val="234"/>
        </w:trPr>
        <w:tc>
          <w:tcPr>
            <w:tcW w:w="146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600" w:type="dxa"/>
            <w:vAlign w:val="bottom"/>
            <w:gridSpan w:val="2"/>
          </w:tcPr>
          <w:p>
            <w:pPr>
              <w:jc w:val="right"/>
              <w:ind w:right="382"/>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49"/>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was as follows:</w:t>
            </w: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49"/>
        </w:trPr>
        <w:tc>
          <w:tcPr>
            <w:tcW w:w="14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146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r>
      <w:tr>
        <w:trPr>
          <w:trHeight w:val="184"/>
        </w:trPr>
        <w:tc>
          <w:tcPr>
            <w:tcW w:w="146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Borders>
              <w:top w:val="single" w:sz="8" w:color="auto"/>
            </w:tcBorders>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7620</wp:posOffset>
            </wp:positionV>
            <wp:extent cx="16630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ind w:left="87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-127635</wp:posOffset>
            </wp:positionV>
            <wp:extent cx="57861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86120" cy="145415"/>
                    </a:xfrm>
                    <a:prstGeom prst="rect">
                      <a:avLst/>
                    </a:prstGeom>
                    <a:noFill/>
                  </pic:spPr>
                </pic:pic>
              </a:graphicData>
            </a:graphic>
          </wp:anchor>
        </w:drawing>
      </w:r>
    </w:p>
    <w:p>
      <w:pPr>
        <w:spacing w:after="0" w:line="7" w:lineRule="exact"/>
        <w:rPr>
          <w:sz w:val="20"/>
          <w:szCs w:val="20"/>
          <w:color w:val="auto"/>
        </w:rPr>
      </w:pPr>
    </w:p>
    <w:p>
      <w:pPr>
        <w:ind w:left="1500"/>
        <w:spacing w:after="0"/>
        <w:tabs>
          <w:tab w:leader="none" w:pos="7880" w:val="left"/>
          <w:tab w:leader="none" w:pos="8780" w:val="left"/>
          <w:tab w:leader="none" w:pos="9240" w:val="left"/>
          <w:tab w:leader="none" w:pos="10140" w:val="left"/>
        </w:tabs>
        <w:rPr>
          <w:sz w:val="20"/>
          <w:szCs w:val="20"/>
          <w:color w:val="auto"/>
        </w:rPr>
      </w:pPr>
      <w:r>
        <w:rPr>
          <w:rFonts w:ascii="Times New Roman" w:cs="Times New Roman" w:eastAsia="Times New Roman" w:hAnsi="Times New Roman"/>
          <w:sz w:val="18"/>
          <w:szCs w:val="18"/>
          <w:color w:val="auto"/>
        </w:rPr>
        <w:t xml:space="preserve">Operating cash flows from operating leases </w:t>
      </w: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405</w:t>
        <w:tab/>
        <w:t>$</w:t>
      </w:r>
      <w:r>
        <w:rPr>
          <w:sz w:val="20"/>
          <w:szCs w:val="20"/>
          <w:color w:val="auto"/>
        </w:rPr>
        <w:tab/>
      </w:r>
      <w:r>
        <w:rPr>
          <w:rFonts w:ascii="Times New Roman" w:cs="Times New Roman" w:eastAsia="Times New Roman" w:hAnsi="Times New Roman"/>
          <w:sz w:val="18"/>
          <w:szCs w:val="18"/>
          <w:color w:val="auto"/>
        </w:rPr>
        <w:t>404</w:t>
      </w:r>
    </w:p>
    <w:p>
      <w:pPr>
        <w:spacing w:after="0" w:line="271" w:lineRule="exact"/>
        <w:rPr>
          <w:sz w:val="20"/>
          <w:szCs w:val="20"/>
          <w:color w:val="auto"/>
        </w:rPr>
      </w:pPr>
    </w:p>
    <w:p>
      <w:pPr>
        <w:ind w:firstLine="656"/>
        <w:spacing w:after="0" w:line="279" w:lineRule="auto"/>
        <w:tabs>
          <w:tab w:leader="none" w:pos="813"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condensed consolidated financial statements under ASC 842.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Lease Liabilities</w:t>
      </w:r>
    </w:p>
    <w:p>
      <w:pPr>
        <w:spacing w:after="0" w:line="256" w:lineRule="exact"/>
        <w:rPr>
          <w:sz w:val="20"/>
          <w:szCs w:val="20"/>
          <w:color w:val="auto"/>
        </w:rPr>
      </w:pPr>
    </w:p>
    <w:p>
      <w:pPr>
        <w:ind w:right="40" w:firstLine="648"/>
        <w:spacing w:after="0" w:line="273" w:lineRule="auto"/>
        <w:rPr>
          <w:sz w:val="20"/>
          <w:szCs w:val="20"/>
          <w:color w:val="auto"/>
        </w:rPr>
      </w:pPr>
      <w:r>
        <w:rPr>
          <w:rFonts w:ascii="Times New Roman" w:cs="Times New Roman" w:eastAsia="Times New Roman" w:hAnsi="Times New Roman"/>
          <w:sz w:val="17"/>
          <w:szCs w:val="17"/>
          <w:color w:val="auto"/>
        </w:rPr>
        <w:t>In connection with the acquisition of the real property assets of Live! Casino &amp; Hotel Maryland, the Company acquired the rights to land subject to a long-term ground lease which expires on June 6, 2111. As the Maryland Live! Lease was accounted for as an Investment in lease, financing receivable, the underlying ground lease was accounted for as a financing lease obligation within Lease liabilities on the Condensed Consolidated Balance Sheets. In accordance with ASC 842, the Company records revenue for the ground lease rent paid by its tenant with an offsetting expense in interest expense as the Company has concluded that as the lessee it is the primary obligor under the ground leases. The ground lease contains variable lease payments based on a percentage of gaming revenues generated by the facility and has fixed minimum annual payments. The Company discounted the fixed minimum annual payments at 5.0% to arrive at the initial lease obligation. At March 31, 2022, maturities of this finance lease were as follows (in thousands):</w:t>
      </w:r>
    </w:p>
    <w:p>
      <w:pPr>
        <w:spacing w:after="0" w:line="231"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6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4"/>
        </w:trPr>
        <w:tc>
          <w:tcPr>
            <w:tcW w:w="2300" w:type="dxa"/>
            <w:vAlign w:val="bottom"/>
            <w:tcBorders>
              <w:top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(remainder of year)</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3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7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r>
      <w:tr>
        <w:trPr>
          <w:trHeight w:val="22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7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r>
      <w:tr>
        <w:trPr>
          <w:trHeight w:val="230"/>
        </w:trPr>
        <w:tc>
          <w:tcPr>
            <w:tcW w:w="4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304,372</w:t>
            </w:r>
          </w:p>
        </w:tc>
      </w:tr>
      <w:tr>
        <w:trPr>
          <w:trHeight w:val="223"/>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315,047</w:t>
            </w:r>
          </w:p>
        </w:tc>
      </w:tr>
      <w:tr>
        <w:trPr>
          <w:trHeight w:val="230"/>
        </w:trPr>
        <w:tc>
          <w:tcPr>
            <w:tcW w:w="4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(261,614)</w:t>
            </w:r>
          </w:p>
        </w:tc>
      </w:tr>
      <w:tr>
        <w:trPr>
          <w:trHeight w:val="248"/>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finance lease liability</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53,433</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debt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$1,175 million revolver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term loan A-2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424,019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 million 5.375% senior unsecured notes due November 2023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$400 million 3.35% senior unsecured notes due September 2024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$850 million 5.25% senior unsecured notes due June 2025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$975 million 5.375% senior unsecured notes due April 2026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975,000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 million 5.75% senior unsecured notes due June 2028</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 million 5.30% senior unsecured notes due January 2029</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million 4.00% senior unsecured notes due January 2030</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 million 4.00% senior unsecured notes due January 2031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$800 million 3.25% senior unsecured notes due January 2032</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6,599,709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6,599,744</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 bond premiums and original issuance discounts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net of unamortized debt issuance costs, bond premiums and original issuance discounts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6,555,077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6,552,372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schedule of future minimum repayments of long-term debt as of March 31, 2022 (in thousands):</w:t>
      </w:r>
    </w:p>
    <w:p>
      <w:pPr>
        <w:spacing w:after="0" w:line="297" w:lineRule="exact"/>
        <w:rPr>
          <w:sz w:val="20"/>
          <w:szCs w:val="20"/>
          <w:color w:val="auto"/>
        </w:rPr>
      </w:pPr>
    </w:p>
    <w:tbl>
      <w:tblPr>
        <w:tblLayout w:type="fixed"/>
        <w:tblInd w:w="2160" w:type="dxa"/>
        <w:tblCellMar>
          <w:top w:w="0" w:type="dxa"/>
          <w:left w:w="0" w:type="dxa"/>
          <w:bottom w:w="0" w:type="dxa"/>
          <w:right w:w="0" w:type="dxa"/>
        </w:tblCellMar>
      </w:tblP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year)</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2023</w:t>
            </w:r>
          </w:p>
        </w:tc>
        <w:tc>
          <w:tcPr>
            <w:tcW w:w="5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924,168</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5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400,156</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5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850,164</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5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975,114</w:t>
            </w:r>
          </w:p>
        </w:tc>
      </w:tr>
      <w:tr>
        <w:trPr>
          <w:trHeight w:val="230"/>
        </w:trPr>
        <w:tc>
          <w:tcPr>
            <w:tcW w:w="5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Over 5 years</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3,450,000</w:t>
            </w:r>
          </w:p>
        </w:tc>
      </w:tr>
      <w:tr>
        <w:trPr>
          <w:trHeight w:val="248"/>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payments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6,599,709</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Unsecured Credit Facility</w:t>
      </w:r>
    </w:p>
    <w:p>
      <w:pPr>
        <w:spacing w:after="0" w:line="256"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Company's senior unsecured credit facility (the "Amended Credit Facility") consists of a $1,175 million revolving credit facility (the "Revolver") and a $424 million Term Loan A-2 facility. The Revolver and the Term Loan A-2 facility mature on May 21, 2023.</w:t>
      </w:r>
    </w:p>
    <w:p>
      <w:pPr>
        <w:spacing w:after="0" w:line="189"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At March 31, 2022, the Amended Credit Facility had a gross outstanding balance of $424.0 million, consisting of the Term Loan A-2 facility. Additionally, at March 31, 2022, the Company was contingently obligated under letters of credit issued pursuant to the Amended Credit Facility with face amounts aggregating approximately $0.4 million, resulting in $1,174.6 million of available borrowing capacity under the Revolver as of March 31, 2022.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interest rates payable on the loans are, at the Company's option, equal to either a LIBOR rate or a base rate plus an applicable margin, which ranges from 1.0% to 2.0% per annum for LIBOR loans and 0.0% to 1.0% per annum for base rate loans, in each case, depending on the credit ratings assigned to the Amended Credit Facility. At March 31, 2022, the applicable margin was 1.50% for LIBOR loans and 0.50% for base rate loans. In addition, the Company is required to pay a commitment fee on the unused portion of the commitments under the Revolver at a rate that ranges from 0.15% to 0.35% per annum, depending on the credit ratings assigned to the Amended Credit Facility. At March 31, 2022, the commitment fee rate was 0.25%. The Company is not required to repay any loans under the Amended Credit Facility prior to maturity and may prepay all or any portion of the loans under the Amended Credit Facility prior to maturity without premium or penalty, subject to reimbursement of any LIBOR breakage costs of the lenders. The Company's wholly owned subsidiary, GLP Capital, is the primary obligor under the Amended Credit Facility, which is guaranteed by GLPI.</w:t>
      </w:r>
    </w:p>
    <w:p>
      <w:pPr>
        <w:spacing w:after="0" w:line="2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Amended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Amended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Amended Credit Facility will enable the lenders under the Amended Credit Facility to accelerate the loans and terminate the commitments thereunder. At March 31, 2022, the Company was in compliance with all required financial covenants under the Amended Credit Facility.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Unsecured Notes</w:t>
      </w:r>
    </w:p>
    <w:p>
      <w:pPr>
        <w:spacing w:after="0" w:line="256"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At March 31, 2022, the Company had $6,175.0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2022, the Company was in compliance with all required financial covenants under its Senior Notes.</w:t>
      </w:r>
    </w:p>
    <w:p>
      <w:pPr>
        <w:spacing w:after="0" w:line="200" w:lineRule="exact"/>
        <w:rPr>
          <w:sz w:val="20"/>
          <w:szCs w:val="20"/>
          <w:color w:val="auto"/>
        </w:rPr>
      </w:pPr>
    </w:p>
    <w:p>
      <w:pPr>
        <w:spacing w:after="0" w:line="2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Fair Value of Financial Assets and Liabilities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spacing w:after="0" w:line="21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quoted prices in active markets for identical assets or liabilities.</w:t>
      </w:r>
    </w:p>
    <w:p>
      <w:pPr>
        <w:spacing w:after="0" w:line="252"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reflect the reporting entity's own assumptions, as there is little, if any, related market activity.</w:t>
      </w:r>
    </w:p>
    <w:p>
      <w:pPr>
        <w:spacing w:after="0" w:line="252" w:lineRule="exact"/>
        <w:rPr>
          <w:sz w:val="20"/>
          <w:szCs w:val="20"/>
          <w:color w:val="auto"/>
        </w:rPr>
      </w:pPr>
    </w:p>
    <w:p>
      <w:pPr>
        <w:ind w:right="420" w:firstLine="177"/>
        <w:spacing w:after="0" w:line="282" w:lineRule="auto"/>
        <w:rPr>
          <w:sz w:val="20"/>
          <w:szCs w:val="20"/>
          <w:color w:val="auto"/>
        </w:rPr>
      </w:pPr>
      <w:r>
        <w:rPr>
          <w:rFonts w:ascii="Times New Roman" w:cs="Times New Roman" w:eastAsia="Times New Roman" w:hAnsi="Times New Roman"/>
          <w:sz w:val="18"/>
          <w:szCs w:val="18"/>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methods and assumptions are used to estimate the fair value of each class of financial instruments for which it is practicable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Company’s cash and cash equivalents approximates the carrying value of the Company’s cash and cash equivalents, due to the short maturity of the cash equivalents.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Investment in leases, financing receivables, net</w:t>
      </w:r>
    </w:p>
    <w:p>
      <w:pPr>
        <w:spacing w:after="0" w:line="25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Company's net investment in leases, financing receivables, is based on the value of the underlying real estate property the Company owns related to the Maryland Live! Lease and the Pennsylvania Live! Master Lease. The initial fair value was the price paid by the Company to acquire the real estate. The initial fair value is then adjusted for changes in the commercial real estate price index and as such is a Level 3 measurement as defined under ASC 820.</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Deferred Compensation Plan Assets</w:t>
      </w:r>
    </w:p>
    <w:p>
      <w:pPr>
        <w:spacing w:after="0" w:line="254"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Senior Notes are estimated based on quoted prices in active markets and as such is a Level 1 measurement as defined under ASC 820. The fair value of the obligations in our Amended Credit Facility is based on indicative pricing from market information (Level 2 inputs).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fair values of the Company’s financial instruments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900" w:type="dxa"/>
            <w:vAlign w:val="bottom"/>
          </w:tcPr>
          <w:p>
            <w:pPr>
              <w:spacing w:after="0"/>
              <w:rPr>
                <w:sz w:val="16"/>
                <w:szCs w:val="16"/>
                <w:color w:val="auto"/>
              </w:rPr>
            </w:pPr>
          </w:p>
        </w:tc>
      </w:tr>
      <w:tr>
        <w:trPr>
          <w:trHeight w:val="23"/>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31"/>
        </w:trPr>
        <w:tc>
          <w:tcPr>
            <w:tcW w:w="5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41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51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spacing w:after="0"/>
              <w:rPr>
                <w:sz w:val="16"/>
                <w:szCs w:val="16"/>
                <w:color w:val="auto"/>
              </w:rPr>
            </w:pPr>
          </w:p>
        </w:tc>
        <w:tc>
          <w:tcPr>
            <w:tcW w:w="10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spacing w:after="0"/>
              <w:rPr>
                <w:sz w:val="16"/>
                <w:szCs w:val="16"/>
                <w:color w:val="auto"/>
              </w:rPr>
            </w:pPr>
          </w:p>
        </w:tc>
        <w:tc>
          <w:tcPr>
            <w:tcW w:w="9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14"/>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0"/>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156,020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156,020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724,595</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724,595</w:t>
            </w:r>
          </w:p>
        </w:tc>
      </w:tr>
      <w:tr>
        <w:trPr>
          <w:trHeight w:val="229"/>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leases, financing receivables,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1,867,721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1,926,682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1,201,670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1,213,896</w:t>
            </w:r>
          </w:p>
        </w:tc>
      </w:tr>
      <w:tr>
        <w:trPr>
          <w:trHeight w:val="230"/>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34,549</w:t>
            </w: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Amended Credit Facility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424,019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424,019</w:t>
            </w:r>
          </w:p>
        </w:tc>
      </w:tr>
      <w:tr>
        <w:trPr>
          <w:trHeight w:val="234"/>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Senior Notes</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6,175,000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6,186,270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6,175,000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6,645,574</w:t>
            </w:r>
          </w:p>
        </w:tc>
      </w:tr>
    </w:tbl>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assets or liabilities measured at fair value on a nonrecurring basis during the three months ended March 31, 2022 and 2021.</w:t>
      </w:r>
    </w:p>
    <w:p>
      <w:pPr>
        <w:spacing w:after="0" w:line="200" w:lineRule="exact"/>
        <w:rPr>
          <w:sz w:val="20"/>
          <w:szCs w:val="20"/>
          <w:color w:val="auto"/>
        </w:rPr>
      </w:pPr>
    </w:p>
    <w:p>
      <w:pPr>
        <w:spacing w:after="0" w:line="345" w:lineRule="exact"/>
        <w:rPr>
          <w:sz w:val="20"/>
          <w:szCs w:val="20"/>
          <w:color w:val="auto"/>
        </w:rPr>
      </w:pPr>
    </w:p>
    <w:p>
      <w:pPr>
        <w:ind w:right="8280" w:firstLine="8"/>
        <w:spacing w:after="0" w:line="518" w:lineRule="auto"/>
        <w:tabs>
          <w:tab w:leader="none" w:pos="40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Litigation</w:t>
      </w:r>
    </w:p>
    <w:p>
      <w:pPr>
        <w:spacing w:after="0" w:line="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condition, results of operations or liquidity. Further, no assurance can be given that the amount or scope of existing insurance coverage will be sufficient to cover losses arising from such matters.</w:t>
      </w:r>
    </w:p>
    <w:p>
      <w:pPr>
        <w:spacing w:after="0" w:line="200" w:lineRule="exact"/>
        <w:rPr>
          <w:sz w:val="20"/>
          <w:szCs w:val="20"/>
          <w:color w:val="auto"/>
        </w:rPr>
      </w:pPr>
    </w:p>
    <w:p>
      <w:pPr>
        <w:spacing w:after="0" w:line="228" w:lineRule="exact"/>
        <w:rPr>
          <w:sz w:val="20"/>
          <w:szCs w:val="20"/>
          <w:color w:val="auto"/>
        </w:rPr>
      </w:pPr>
    </w:p>
    <w:p>
      <w:pPr>
        <w:jc w:val="both"/>
        <w:ind w:right="9160" w:firstLine="8"/>
        <w:spacing w:after="0" w:line="534" w:lineRule="auto"/>
        <w:tabs>
          <w:tab w:leader="none" w:pos="39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Revenues from Real Estate</w:t>
      </w:r>
    </w:p>
    <w:p>
      <w:pPr>
        <w:spacing w:after="0" w:line="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As of March 31, 2022, 19 of the Company’s real estate investment properties were leased to a subsidiary of Penn under the Penn Master Lease, an additional 12 of the Company's real estate investment properties were leased to a subsidiary of Penn under the Amended Pinnacle Master Lease, 6 of the Company's real estate investment properties were leased to a subsidiary of Caesars under the Amended and Restated Caesars Master Lease, 3 of the Company's real estate investment properties were leased to a subsidiary of Boyd under the Boyd Master Lease, 2 of the Company's real estate investment properties were leased to a subsidiary of Bally's under the Bally's Master Lease, 2 of the Company's real estate investment properties were leased to a subsidiary of Cordish under the Pennsylvania Live! Master Lease and 2 of the Company's real estate properties were leased to a subsidiary of Casino Queen under the Casino Queen Master Lease. Additionally, the Meadows real estate assets are leased to Penn pursuant to the Meadows Lease, the Hollywood Casino Perryville real estate assets are leased to Penn pursuant to the Perryville Lease and the land under Penn's Hollywood Casino Morgantown is subject to the Morgantown Lease. Finally, the Company has single property triple net leases with Caesars under the Lumière Place Lease, Boyd under the Belterra Park Lease, and Cordish under the Maryland Live! Lease.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obligations under the Penn Master Lease and Amended Pinnacle Master Lease, as well as the Meadows Lease, Morgantown Lease and Perryville Lease, are guaranteed by Penn and, with respect to each lease, jointly and severally by Penn's subsidiaries that occupy and operate the facilities covered by such lease. Similarly, the obligations under the Amended and Restated Caesars Master Lease and Bally's Master Lease are jointly and severally guaranteed by the parent company and by the subsidiaries that occupy and operate the leased facilities. The obligations under the Boyd Master Lease are jointly and severally guaranteed by Boyd's subsidiaries that occupy and operate the facilities leased under the Boyd Master Lease. The obligations under the Maryland Live! Lease and the Pennsylvania Live! Master Lease are guaranteed by the Cordish subsidiaries that operate the facilities.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Rent</w:t>
      </w:r>
    </w:p>
    <w:p>
      <w:pPr>
        <w:spacing w:after="0" w:line="14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rent structure under the Penn Master Lease includes a fixed component, a portion of which is subject to an annual 2% escalator if certain rent coverage ratio thresholds are met, and a component that is based on the performance of the facilities, which is prospectively adjusted, subject to certain floors (namely the Hollywood Casino at Penn National Race Course property due to Penn's opening of a competing facility) (i) every five years to an amount equal to 4% of the average net revenues of all facilities under the Penn Master Lease (other than Hollywood Casino Columbus and Hollywood Casino Toledo) during the preceding five years in excess of a contractual baseline, and (ii) monthly by an amount equal to 20% of the net revenues of Hollywood Casino Columbus and Hollywood Casino Toledo during the preceding month in excess of a contractual baseline, although Hollywood Casino Toledo has a monthly percentage rent floor which equals $22.9 million annually due to Penn's acquisition of a competing facility, Greektown Casino-Hotel in Detroit, Michigan.</w:t>
      </w:r>
    </w:p>
    <w:p>
      <w:pPr>
        <w:spacing w:after="0" w:line="36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Similar to the Penn Master Lease, the Amended Pinnacle Master Lease also includes a fixed component, a portion of which is subject to an annual 2% escalator if certain rent coverage ratio thresholds are met and a component that is based on the performance of the facilities, which is prospectively adjusted subject to certain floors (namely the Bossier City Boomtown property due to Penn's acquisition of a competing facility, Margaritaville Resort Casino), every two years to an amount equal to 4% of the average net revenues of all facilities under the Amended Pinnacle Master Lease during the preceding two years in excess of a contractual baseline.</w:t>
      </w:r>
    </w:p>
    <w:p>
      <w:pPr>
        <w:spacing w:after="0" w:line="21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On July 23, 2020, the Amended and Restated Caesars Master Lease became effective as described more fully in Note 1. This modification was accounted for as a new lease which the Company concluded continued to meet the criteria for operating lease treatment. As a result, the existing deferred revenue at the time of the amendment is being recognized in the income statement over the Amended and Restated Caesars Master Lease's new initial lease term, which now expires in September 2038. The Company has concluded the renewal options of up to an additional 20 years at the tenant's option are not reasonably certain of being exercised as failure to renew would not result in a significant penalty to the tenant. In the fifth and sixth lease years the building base rent escalates at 1.25%. In the seventh and eighth lease years it escalates at 1.75% and then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escalates at 2% in the ninth lease year and each lease year thereafter. In addition, the guaranteed fixed escalations in the new initial lease term are recognized on a straight line basis.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18, 2020, following the receipt of required regulatory approvals, the Company and Caesars completed an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The Waterloo and Bettendorf facilities were added to the Amended and Restated Caesars Master Lease and the rent was increased by $520,000 annually. This Exchange Agreement resulted in a reconsideration of the Amended and Restated Caesars Master Lease which resulted in the continuation of operating lease treatment for accounting classification purposes.</w:t>
      </w:r>
    </w:p>
    <w:p>
      <w:pPr>
        <w:spacing w:after="0" w:line="214"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Boyd Master Lease includes a fixed component, a portion of which is subject to an annual 2% escalator if certain rent coverage ratio thresholds are met, and a component that is based on the performance of the facilities, which is adjusted every two years to an amount equal to 4% of the average annual net revenues of all facilities under the Boyd Master Lease during the preceding two years in excess of a contractual baseline.</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2020, the Company acquired the real estate of Belterra Park in satisfaction of the Belterra Park Loan, subject to the Belterra Park Lease 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every two years to an amount equal to 4% of the average annual net revenues of Belterra Park during the preceding two years in excess of a contractual baseline.</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September 29, 2020, the Company acquired the real estate of Lumière Place in satisfaction of the CZR loan, subject to the Lumière Place Lease, the initial term of which expires on October 31, 2033, with 4 separate renewal options of five years each, exercisable at the tenant's option. The Lumière Place Lease's rent terms were adjusted on December 1, 2021 such that the annual escalator is now fixed at 1.25% for the second through fifth lease years, increasing to 1.75% for the sixth and seventh lease years and thereafter increasing by 2.0% for the remainder of the lease.</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$31.0 million, at which point the escalator will be reduced to a maximum of 2% annually thereafter.</w:t>
      </w:r>
    </w:p>
    <w:p>
      <w:pPr>
        <w:spacing w:after="0" w:line="21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Morgantown Lease became effective on October 1, 2020 whereby the Company is leasing the land under Penn's gaming facility under construction for an initial cash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w:t>
      </w:r>
    </w:p>
    <w:p>
      <w:pPr>
        <w:spacing w:after="0" w:line="214" w:lineRule="exact"/>
        <w:rPr>
          <w:sz w:val="20"/>
          <w:szCs w:val="20"/>
          <w:color w:val="auto"/>
        </w:rPr>
      </w:pPr>
    </w:p>
    <w:p>
      <w:pPr>
        <w:ind w:right="60" w:firstLine="648"/>
        <w:spacing w:after="0" w:line="276" w:lineRule="auto"/>
        <w:rPr>
          <w:sz w:val="20"/>
          <w:szCs w:val="20"/>
          <w:color w:val="auto"/>
        </w:rPr>
      </w:pPr>
      <w:r>
        <w:rPr>
          <w:rFonts w:ascii="Times New Roman" w:cs="Times New Roman" w:eastAsia="Times New Roman" w:hAnsi="Times New Roman"/>
          <w:sz w:val="17"/>
          <w:szCs w:val="17"/>
          <w:color w:val="auto"/>
        </w:rPr>
        <w:t>The initial rent under the Casino Queen Master Lease, which became effective on December 17, 2021, is $21.4 million and such amount increases annually by 0.5% for the first six years. Beginning with the seventh lease year through the remainder of the lease term, if the CPI increases by at least</w:t>
      </w:r>
    </w:p>
    <w:p>
      <w:pPr>
        <w:spacing w:after="0" w:line="1"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0.25% for any lease year then annual rent shall be increased by 1.25%, and if the CPI increase is less than 0.25% then rent will remain unchanged for such lease year. The Company will also complete the current landside development project that is in process and rent under the Casino Queen Master Lease will be adjusted to reflect a yield of 8.25% on GLPI's project costs.</w:t>
      </w:r>
    </w:p>
    <w:p>
      <w:pPr>
        <w:spacing w:after="0" w:line="21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Perryville Lease with Penn that became effective July 1, 2021 has an initial annual rent of $7.77 million, $5.83 million of which will be subject to escalation provisions beginning in the second lease year through the fourth lease year and increasing by 1.50% during such period and then increasing by 1.25% for the remaining lease term. The escalation provisions beginning in the fifth lease year are subject to the CPI being at least 0.5% for the preceding lease year.</w:t>
      </w:r>
    </w:p>
    <w:p>
      <w:pPr>
        <w:spacing w:after="0" w:line="20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Bally's Master Lease became effective on June 3, 2021 in connection with the Company's acquisition of the real estate assets of Tropicana Evansville and Dover Downs Casino &amp; Hotel. Rent under the Bally's Master Lease is $40 million annually and is subject to an annual escalator of up to 2% determined in relation to the annual increase in CPI.</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December 29, 2021, the Maryland Live! Lease with Cordish became effective. Annual rent is $75.0 million and increases by 1.75% upon the second anniversary of the lease commencement. The Pennsylvania Live! Master Lease with Cordish became effective March 1, 2022 and has annual rent of $50 million initially, increasing by 1.75% upon the second anniversary of the lease commencement. These leases were accounted for as an Investment in leases, financing receivables. See Note 4 for the further information including the future annual cash payments to be received under these leases.</w:t>
      </w:r>
    </w:p>
    <w:p>
      <w:pPr>
        <w:spacing w:after="0" w:line="207"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Furthermore, the Company's master leases provide for a floor on the percentage rent described above,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A percentage rent floor was triggered on Penn's Hollywood Casino Toledo property, as a result of Penn's purchase of the operations of the Greektown Casino-Hotel in Detroit, Michigan and a percentage rent floor on the Amended Pinnacle Master Lease was triggered on the Bossier City Boomtown property due to Penn's acquisition of Margaritaville Resort Casino. Additionally, a percentage rent floor was triggered on the Hollywood Casino at Penn National Race Course in connection with Penn opening a facility in York, Pennsylvania which will go into effect at the next reset.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rent, as triple-net lessees, all of the Company's tenants are required to pay the following executory costs: (1) all facility maintenance,</w:t>
      </w:r>
    </w:p>
    <w:p>
      <w:pPr>
        <w:spacing w:after="0" w:line="27" w:lineRule="exact"/>
        <w:rPr>
          <w:sz w:val="20"/>
          <w:szCs w:val="20"/>
          <w:color w:val="auto"/>
        </w:rPr>
      </w:pPr>
    </w:p>
    <w:p>
      <w:pPr>
        <w:ind w:right="80" w:firstLine="8"/>
        <w:spacing w:after="0" w:line="255"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terms</w:t>
      </w:r>
    </w:p>
    <w:p>
      <w:pPr>
        <w:spacing w:after="0" w:line="256"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The Company determined, based on facts and circumstances prevailing at the time of each lease's inception, that neither Penn nor Casino Queen could continue as a going concern without the property(ies) that are leased to them under the Penn Master Lease and the Casino Queen Lease. At lease inception, all of Casino Queen's revenues and substantially all of Penn's revenues were generated from operations in connection with the leased properties. There are also various legal restrictions in the jurisdictions in which Penn and Casino Queen operate that limit the availability and location of gaming facilities, which makes relocation or replacement of the leased gaming facilities restrictive and potentially impracticable or unavailable. Moreover, under the terms of the Penn Master Lease, Penn must make renewal elections with respect to all of the leased property together; the tenant is not entitled to selectively renew certain of the leased property while not renewing other property. Accordingly, the Company concluded that failure by Penn or Casino Queen to renew the Penn Master Lease or Casino Queen Lease, respectively, would impose a significant penalty on such tenant such that renewal of all lease renewal options appeared at lease inception to be reasonably assured. Therefore, the Company concluded that the term of the Penn Master Lease and the Casino Queen Lease is 35 years, equal to the initial 15-year term plus all four of the 5-year renewal options.</w:t>
      </w:r>
    </w:p>
    <w:p>
      <w:pPr>
        <w:spacing w:after="0" w:line="22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Casino Queen Master Lease became effective December 17, 2021 and required an accounting reassessment due to changes in the rent and lease terms. The Company concluded the lease term is limited to its initial 15 year term. This was due to several factors that were not present at the inception of the original Casino Queen Lease. Since the formation of the Company on November 1, 2013, the Company has reassessed four of its nine leases that were originated prior to 2021. All four of these reassessments were done before the completion of their original initial lease terms. Additionally, Pinnacle sold its operations to Penn for fair value whose underlying real estate for the casino operations were leased from the Company. Finally, additional competitive threats have emerged in the regional markets for the properties in the Casino Queen Master Lease that were not present previously, particularly in the state of Illinois with respect to additional competitive pressures from video gaming terminals that have rapidly expanded in the state and continue to take market share from land based casinos. We believe all these factors preclude the Company from concluding all renewal periods are reasonably assured to be exercised in the Casino Queen Master Lease.</w:t>
      </w:r>
    </w:p>
    <w:p>
      <w:pPr>
        <w:spacing w:after="0" w:line="21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October 15, 2018, in conjunction with the Penn-Pinnacle Merger, the Pinnacle Master Lease was amended by a fourth amendment to allow for the sale of the operating assets of Ameristar Casino Hotel Kansas City, Ameristar Casino Resort Spa St. Charles and Belterra Casino Resort from Pinnacle to Boyd. As a result of this amendment, the Company reassessed the lease's classification and determined the Amended Pinnacle Master Lease qualified for operating lease treatment under ASC 840. Therefore, subsequent to the Penn-Pinnacle Merger, the Amended Pinnacle Master Lease is treated as an operating lease in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its entirety. Because the properties under the Amended Pinnacle Master Lease did not represent a meaningful portion of Penn's business at the time Penn assumed the Amended Pinnacle Master Lease, the Company concluded that the lease term of the Amended Pinnacle Master Lease was 10 years, equal to the initial 10-year term only.</w:t>
      </w:r>
    </w:p>
    <w:p>
      <w:pPr>
        <w:spacing w:after="0" w:line="20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Penn exercising its first renewal option on October 1, 2020, the Company reassessed the Amended Pinnacle Master Lease as the lease term now concludes on May 1, 2031. The Company continued to conclude that each individual lease component within the Amended Pinnacle Master Lease meets the definition of an operating lease. The deferred rent and fixed minimum lease payments at October 1, 2020 are being recognized on a straight-line basis over the new initial lease term ending on May 1, 2031.</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Because the Meadows Lease was a single property lease operated by a large multi-property operator, GLPI concluded it was not reasonably assured at lease inception that the operator would elect to exercise any lease renewal options. Therefore, the Company concluded that the lease term of the Meadows Lease was 10 years, equal to the initial 10-year term only. In conjunction with the Penn-Pinnacle Merger, Penn assumed the Meadows Lease from Pinnacle. The accounting for the Meadows Lease, including the lease term was not impacted by the change in tenant. Based upon similar fact patterns, the Company concluded it was not reasonably assured at lease inception that Caesars, Boyd or Bally's would elect to exercise all lease renewal options under the Caesars Master Lease, the Boyd Master Lease and the Bally's Master Lease as the earnings from these properties did not represent a meaningful portion of either tenant's business at lease inception. The Company concluded that the lease term of the Amended and Restated Caesars Master Lease was its remaining initial lease term which was extended by 5 years when the Amended and Restated Caesars Master Lease became effective on July 23, 2020. The lease terms of the Boyd Master Lease and Bally's Master Lease are 10 years and 15 years, respectively, equal to the initial terms of such master leases.</w:t>
      </w:r>
    </w:p>
    <w:p>
      <w:pPr>
        <w:spacing w:after="0" w:line="215"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The Belterra Park Lease, Morgantown Lease, Perryville Lease, Maryland Live! Lease and Lumière Park Lease are single property leases operated by large-multi-property operators and as such the Company concluded it was not reasonably assured at lease inception that the operator would elect to exercise any renewal options; as such, the lease term of these leases is equal to their initial terms. The Company also concluded that the lease term for the Pennsylvania Live! Master Lease was limited to its initial lease term given the relative size and geographic concentration of the properties in this lease.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Details of the Company's income from real estate for the three months ended March 31, 2022 was as follows (in thousands):</w:t>
      </w:r>
    </w:p>
    <w:p>
      <w:pPr>
        <w:spacing w:after="0" w:line="31"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r>
      <w:tr>
        <w:trPr>
          <w:trHeight w:val="195"/>
        </w:trPr>
        <w:tc>
          <w:tcPr>
            <w:tcW w:w="41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31, 2022</w:t>
            </w:r>
          </w:p>
        </w:tc>
      </w:tr>
      <w:tr>
        <w:trPr>
          <w:trHeight w:val="22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base rent</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214,413</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base rent</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51,905</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rent</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35,508</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income</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301,826</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Straight-line rent adjustments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Ground rent in revenue</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on financing receivables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rental revenue</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from real estate</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314,966</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the future minimum rental income from the Company's rental properties under non-cancelable operating leases, including any reasonably assured renewal periods, was as follows (in thousands):</w:t>
      </w:r>
    </w:p>
    <w:p>
      <w:pPr>
        <w:spacing w:after="0" w:line="113"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Future Rental</w:t>
            </w:r>
          </w:p>
        </w:tc>
        <w:tc>
          <w:tcPr>
            <w:tcW w:w="13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Straight-Line Rent</w:t>
            </w:r>
          </w:p>
        </w:tc>
        <w:tc>
          <w:tcPr>
            <w:tcW w:w="16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Future Base</w:t>
            </w:r>
          </w:p>
        </w:tc>
        <w:tc>
          <w:tcPr>
            <w:tcW w:w="120" w:type="dxa"/>
            <w:vAlign w:val="bottom"/>
          </w:tcPr>
          <w:p>
            <w:pPr>
              <w:spacing w:after="0"/>
              <w:rPr>
                <w:sz w:val="13"/>
                <w:szCs w:val="13"/>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Future Income to be</w:t>
            </w:r>
          </w:p>
        </w:tc>
        <w:tc>
          <w:tcPr>
            <w:tcW w:w="0" w:type="dxa"/>
            <w:vAlign w:val="bottom"/>
          </w:tcPr>
          <w:p>
            <w:pPr>
              <w:spacing w:after="0"/>
              <w:rPr>
                <w:sz w:val="1"/>
                <w:szCs w:val="1"/>
                <w:color w:val="auto"/>
              </w:rPr>
            </w:pPr>
          </w:p>
        </w:tc>
      </w:tr>
      <w:tr>
        <w:trPr>
          <w:trHeight w:val="148"/>
        </w:trPr>
        <w:tc>
          <w:tcPr>
            <w:tcW w:w="4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13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Ground Rents</w:t>
            </w:r>
          </w:p>
        </w:tc>
        <w:tc>
          <w:tcPr>
            <w:tcW w:w="1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Recognized Related to</w:t>
            </w:r>
          </w:p>
        </w:tc>
        <w:tc>
          <w:tcPr>
            <w:tcW w:w="0" w:type="dxa"/>
            <w:vAlign w:val="bottom"/>
          </w:tcPr>
          <w:p>
            <w:pPr>
              <w:spacing w:after="0"/>
              <w:rPr>
                <w:sz w:val="1"/>
                <w:szCs w:val="1"/>
                <w:color w:val="auto"/>
              </w:rPr>
            </w:pPr>
          </w:p>
        </w:tc>
      </w:tr>
      <w:tr>
        <w:trPr>
          <w:trHeight w:val="148"/>
        </w:trPr>
        <w:tc>
          <w:tcPr>
            <w:tcW w:w="40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Pr>
          <w:p>
            <w:pPr>
              <w:spacing w:after="0"/>
              <w:rPr>
                <w:sz w:val="12"/>
                <w:szCs w:val="12"/>
                <w:color w:val="auto"/>
              </w:rPr>
            </w:pPr>
          </w:p>
        </w:tc>
        <w:tc>
          <w:tcPr>
            <w:tcW w:w="138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(remainder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817,002</w:t>
            </w:r>
          </w:p>
        </w:tc>
        <w:tc>
          <w:tcPr>
            <w:tcW w:w="0" w:type="dxa"/>
            <w:vAlign w:val="bottom"/>
          </w:tcPr>
          <w:p>
            <w:pPr>
              <w:spacing w:after="0"/>
              <w:rPr>
                <w:sz w:val="1"/>
                <w:szCs w:val="1"/>
                <w:color w:val="auto"/>
              </w:rPr>
            </w:pPr>
          </w:p>
        </w:tc>
      </w:tr>
      <w:tr>
        <w:trPr>
          <w:trHeight w:val="230"/>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1,075,510</w:t>
            </w:r>
          </w:p>
        </w:tc>
        <w:tc>
          <w:tcPr>
            <w:tcW w:w="0" w:type="dxa"/>
            <w:vAlign w:val="bottom"/>
          </w:tcPr>
          <w:p>
            <w:pPr>
              <w:spacing w:after="0"/>
              <w:rPr>
                <w:sz w:val="1"/>
                <w:szCs w:val="1"/>
                <w:color w:val="auto"/>
              </w:rPr>
            </w:pPr>
          </w:p>
        </w:tc>
      </w:tr>
      <w:tr>
        <w:trPr>
          <w:trHeight w:val="229"/>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1,042,361</w:t>
            </w:r>
          </w:p>
        </w:tc>
        <w:tc>
          <w:tcPr>
            <w:tcW w:w="0" w:type="dxa"/>
            <w:vAlign w:val="bottom"/>
          </w:tcPr>
          <w:p>
            <w:pPr>
              <w:spacing w:after="0"/>
              <w:rPr>
                <w:sz w:val="1"/>
                <w:szCs w:val="1"/>
                <w:color w:val="auto"/>
              </w:rPr>
            </w:pPr>
          </w:p>
        </w:tc>
      </w:tr>
      <w:tr>
        <w:trPr>
          <w:trHeight w:val="230"/>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1,000,443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1,042,598</w:t>
            </w:r>
          </w:p>
        </w:tc>
        <w:tc>
          <w:tcPr>
            <w:tcW w:w="0" w:type="dxa"/>
            <w:vAlign w:val="bottom"/>
          </w:tcPr>
          <w:p>
            <w:pPr>
              <w:spacing w:after="0"/>
              <w:rPr>
                <w:sz w:val="1"/>
                <w:szCs w:val="1"/>
                <w:color w:val="auto"/>
              </w:rPr>
            </w:pPr>
          </w:p>
        </w:tc>
      </w:tr>
      <w:tr>
        <w:trPr>
          <w:trHeight w:val="229"/>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971,066</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12,192,059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87,272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12,463,566</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16,941,364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17,412,103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 See Note 4 for the future contractual cash receipts to be received by the Company under its Investment in leases, financing receivables.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Gaming, Food, Beverage and Other Revenues</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Gaming revenue generated by the TRS Properties in 2021 mainly consisted of revenue from slot machines, and to a lesser extent, table game and poker revenue. Gaming revenue is recognized net of certain sales incentives, including promotional allowances in accordance with ASC 606 -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The Company also deferred a portion of the revenue received from customers (who participate in points-based loyalty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at the time of play until a later period when the points are redeemed or forfeited. Other revenues at our TRS Properties were derived from our dining, retail and certain other ancillary activities.</w:t>
      </w:r>
    </w:p>
    <w:p>
      <w:pPr>
        <w:spacing w:after="0" w:line="2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calculates earnings per share ("EPS") in accordance with ASC 260 -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 The effect of the conversion of the OP Units to common shares is excluded from the computation on basic and diluted earnings per share because all net income attributable to the Noncontrolling interest holders are recorded as income attributable to non-controlling interests and thus is excluded from net income available to common shareholders. In accordance with ASC 260, the Company includes all performance-based restricted shares that would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have vested based upon the Company’s performance at quarter-end in the calculation of diluted EPS. Diluted EPS for the Company's common stock is computed using the more dilutive of the two-class method or the treasury stock method.</w:t>
      </w:r>
    </w:p>
    <w:p>
      <w:pPr>
        <w:spacing w:after="0" w:line="189" w:lineRule="exact"/>
        <w:rPr>
          <w:sz w:val="20"/>
          <w:szCs w:val="20"/>
          <w:color w:val="auto"/>
        </w:rPr>
      </w:pPr>
    </w:p>
    <w:p>
      <w:pPr>
        <w:ind w:right="34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reconciles the weighted-average common shares outstanding used in the calculation of basic EPS to the weighted-average common shares outstanding used in the calculation of diluted EPS for the three months ended March 31, 2022 and 2021:</w:t>
      </w:r>
    </w:p>
    <w:tbl>
      <w:tblPr>
        <w:tblLayout w:type="fixed"/>
        <w:tblInd w:w="174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0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5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5120" w:type="dxa"/>
            <w:vAlign w:val="bottom"/>
          </w:tcPr>
          <w:p>
            <w:pPr>
              <w:spacing w:after="0"/>
              <w:rPr>
                <w:sz w:val="16"/>
                <w:szCs w:val="16"/>
                <w:color w:val="auto"/>
              </w:rPr>
            </w:pPr>
          </w:p>
        </w:tc>
        <w:tc>
          <w:tcPr>
            <w:tcW w:w="14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120" w:type="dxa"/>
            <w:vAlign w:val="bottom"/>
          </w:tcPr>
          <w:p>
            <w:pPr>
              <w:spacing w:after="0"/>
              <w:rPr>
                <w:sz w:val="17"/>
                <w:szCs w:val="17"/>
                <w:color w:val="auto"/>
              </w:rPr>
            </w:pPr>
          </w:p>
        </w:tc>
        <w:tc>
          <w:tcPr>
            <w:tcW w:w="2040" w:type="dxa"/>
            <w:vAlign w:val="bottom"/>
            <w:gridSpan w:val="3"/>
          </w:tcPr>
          <w:p>
            <w:pPr>
              <w:jc w:val="center"/>
              <w:ind w:left="8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7"/>
                <w:szCs w:val="17"/>
                <w:color w:val="auto"/>
              </w:rPr>
            </w:pPr>
          </w:p>
        </w:tc>
      </w:tr>
      <w:tr>
        <w:trPr>
          <w:trHeight w:val="23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Determination of shares:</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232,775</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conversion of restricted stock awards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Assumed conversion of performance-based restricted stock awards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233,465</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right="36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EPS for the Company’s common stock for the three months ended March 31, 2022 and 2021:</w:t>
      </w:r>
    </w:p>
    <w:tbl>
      <w:tblPr>
        <w:tblLayout w:type="fixed"/>
        <w:tblInd w:w="174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5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3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Calculation of basic EPS: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119,268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127,184</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allocated to participating securities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earnings per share purposes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119,210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127,027</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232,775</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16"/>
        </w:trPr>
        <w:tc>
          <w:tcPr>
            <w:tcW w:w="5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Calculation of diluted EPS: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127,184</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233,465</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16"/>
        </w:trPr>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75"/>
        </w:trPr>
        <w:tc>
          <w:tcPr>
            <w:tcW w:w="5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Antidilutive securities excluded from the computation of diluted</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bl>
    <w:p>
      <w:pPr>
        <w:spacing w:after="0" w:line="3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5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As partial consideration for the closing of the real property assets under the Pennsylvania Live! Master Lease that occurred on March 1, 2022, the Company's operating partnership issued 3,017,909 newly-issued OP Units to affiliates of Cordish which were valued at $137.0 million. The OP Units are exchangeable for common shares of the Company on a one-for-one basis, subject to certain terms and conditions. As of March 31, 2022, the Company holds a 98.01% controlling financial interest in the operating partnership.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Sheets. The Company also paid $5.1 million in distributions to the non-controlling interest holders concurrently with the dividends paid to the Company's common shareholders, during the three month period ended March 31, 2022.</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lists the dividends declared and paid by the Company during the three months ended March 31, 2022 and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Shareholder Record</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Dividend Per</w:t>
            </w:r>
          </w:p>
        </w:tc>
        <w:tc>
          <w:tcPr>
            <w:tcW w:w="19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Period Covered</w:t>
            </w:r>
          </w:p>
        </w:tc>
        <w:tc>
          <w:tcPr>
            <w:tcW w:w="1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Distribution Date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Dividend Amount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920" w:type="dxa"/>
            <w:vAlign w:val="bottom"/>
            <w:gridSpan w:val="2"/>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w:t>
            </w:r>
          </w:p>
        </w:tc>
        <w:tc>
          <w:tcPr>
            <w:tcW w:w="0" w:type="dxa"/>
            <w:vAlign w:val="bottom"/>
          </w:tcPr>
          <w:p>
            <w:pPr>
              <w:spacing w:after="0"/>
              <w:rPr>
                <w:sz w:val="1"/>
                <w:szCs w:val="1"/>
                <w:color w:val="auto"/>
              </w:rPr>
            </w:pPr>
          </w:p>
        </w:tc>
      </w:tr>
      <w:tr>
        <w:trPr>
          <w:trHeight w:val="209"/>
        </w:trPr>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February 24, 2022</w:t>
            </w:r>
          </w:p>
        </w:tc>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March 11, 2022</w:t>
            </w:r>
          </w:p>
        </w:tc>
        <w:tc>
          <w:tcPr>
            <w:tcW w:w="11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Common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120" w:type="dxa"/>
            <w:vAlign w:val="bottom"/>
          </w:tcPr>
          <w:p>
            <w:pPr>
              <w:spacing w:after="0"/>
              <w:rPr>
                <w:sz w:val="14"/>
                <w:szCs w:val="14"/>
                <w:color w:val="auto"/>
              </w:rPr>
            </w:pP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First Quarter 2022</w:t>
            </w:r>
          </w:p>
        </w:tc>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March 25, 2022</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$170,805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gridSpan w:val="3"/>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Stock</w:t>
            </w: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0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0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February 22, 2021</w:t>
            </w:r>
          </w:p>
        </w:tc>
        <w:tc>
          <w:tcPr>
            <w:tcW w:w="18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9, 2021</w:t>
            </w:r>
          </w:p>
        </w:tc>
        <w:tc>
          <w:tcPr>
            <w:tcW w:w="1120" w:type="dxa"/>
            <w:vAlign w:val="bottom"/>
            <w:gridSpan w:val="2"/>
            <w:shd w:val="clear" w:color="auto" w:fill="CCEEFF"/>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Common</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2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 Quarter 2021</w:t>
            </w:r>
          </w:p>
        </w:tc>
        <w:tc>
          <w:tcPr>
            <w:tcW w:w="18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23, 2021</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$151,308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080" w:type="dxa"/>
            <w:vAlign w:val="bottom"/>
            <w:gridSpan w:val="3"/>
            <w:vMerge w:val="continue"/>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Stock</w:t>
            </w: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In addition, for both the three months ended March 31, 2022 and 2021, dividend payments were made to GLPI restricted stock award holders in the amount of $0.2 million. Finally, the Company declared a special earnings and profits dividend related to the sale of the operations at Hollywood Casino Perryville and Hollywood Casino Baton Rouge of $59.3 million to shareholders of record on December 27, 2021. The dividend was accrued in 2021 and paid on January 7, 2022.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stock compensation under ASC 718 -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of grant. The Company utilizes a third party valuation firm to measure the fair value of performance-based restricted stock awards at grant date using the Monte Carlo model.</w:t>
      </w:r>
    </w:p>
    <w:p>
      <w:pPr>
        <w:spacing w:after="0" w:line="18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2022, there was $7.3 million of total unrecognized compensation cost for restricted stock awards that will be recognized over the grants' remaining weighted average vesting period of 1.95 years. For the three months ended March 31, 2022, the Company recognized $4.2 million of compensation expense associated with these awards, compared to $3.4 million for the three months ended March 31, 2021, within general and administrative expenses on the condensed consolidated statements of income.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contains information on restricted stock award activity for the three months ended March 31, 2022:</w:t>
      </w:r>
    </w:p>
    <w:p>
      <w:pPr>
        <w:spacing w:after="0" w:line="31"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8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Number of Award</w:t>
            </w:r>
          </w:p>
        </w:tc>
      </w:tr>
      <w:tr>
        <w:trPr>
          <w:trHeight w:val="195"/>
        </w:trPr>
        <w:tc>
          <w:tcPr>
            <w:tcW w:w="466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28"/>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254,664</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237,613</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(202,098)</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290,179</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The triple-net measurement group includes publicly traded REITs, which the Company believes derive at least 75% of revenues from triple-net leases. As of March 31, 2022, there was $23.1 million of total unrecognized compensation cost, which will be recognized over the performance-based restricted stock awards' remaining weighted average vesting period of 2.26 years. For the three months ended March 31, 2022, the Company recognized $3.4 million of compensation expense associated with these awards</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within general and administrative expenses on the condensed consolidated statements of income compared to $2.4 million for the corresponding period in the prior year.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contains information on performance-based restricted stock award activity for the three months ended March 31, 2022:</w:t>
      </w:r>
    </w:p>
    <w:p>
      <w:pPr>
        <w:spacing w:after="0" w:line="27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1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Number of Performance-Based</w:t>
            </w:r>
          </w:p>
        </w:tc>
      </w:tr>
      <w:tr>
        <w:trPr>
          <w:trHeight w:val="195"/>
        </w:trPr>
        <w:tc>
          <w:tcPr>
            <w:tcW w:w="41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Award Shares</w:t>
            </w:r>
          </w:p>
        </w:tc>
      </w:tr>
      <w:tr>
        <w:trPr>
          <w:trHeight w:val="22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1,305,106</w:t>
            </w: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(380,070)</w:t>
            </w: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(30,816)</w:t>
            </w: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1,394,220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right="5020" w:hanging="652"/>
        <w:spacing w:after="0" w:line="413" w:lineRule="auto"/>
        <w:tabs>
          <w:tab w:leader="none" w:pos="417"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Disclosures of Cash Flow Information and Noncash Activities </w:t>
      </w:r>
      <w:r>
        <w:rPr>
          <w:rFonts w:ascii="Times New Roman" w:cs="Times New Roman" w:eastAsia="Times New Roman" w:hAnsi="Times New Roman"/>
          <w:sz w:val="18"/>
          <w:szCs w:val="18"/>
          <w:color w:val="auto"/>
        </w:rPr>
        <w:t>Supplemental disclosures of cash flow information are as follows:</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5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240" w:type="dxa"/>
            <w:vAlign w:val="bottom"/>
          </w:tcPr>
          <w:p>
            <w:pPr>
              <w:spacing w:after="0"/>
              <w:rPr>
                <w:sz w:val="17"/>
                <w:szCs w:val="17"/>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 net of refunds received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57,076</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58,645</w:t>
            </w:r>
          </w:p>
        </w:tc>
      </w:tr>
    </w:tbl>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p>
      <w:pPr>
        <w:spacing w:after="0" w:line="25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On March 1, 2022, as part of the consideration for the real estate assets acquired pursuant to the Pennsylvania Live! Master Lease, the Company issued approximately 3.0 million OP Units that were valued at $137.0 million and assumed debt of $422.9 million that was repaid after closing with the offsetting increase to Investment in leases, financing receivables. The Company did not engage in any noncash investing or financing activities during the three months ended March 31, 2021.</w:t>
      </w:r>
    </w:p>
    <w:p>
      <w:pPr>
        <w:spacing w:after="0" w:line="20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tab/>
        <w:t>Acquisitions</w:t>
      </w:r>
    </w:p>
    <w:p>
      <w:pPr>
        <w:spacing w:after="0" w:line="25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accounts for its acquisitions of real estate assets as asset acquisitions under ASC 805 -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Under asset acquisition accounting, incremental transaction costs incurred to acquire the purchased assets are also included as part of the asset cost.</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Current year acquisitions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1, 2022, the Company completed its previously announced transaction with Cordish to acquire the real property assets of Live! Casino</w:t>
      </w:r>
    </w:p>
    <w:p>
      <w:pPr>
        <w:spacing w:after="0" w:line="16" w:lineRule="exact"/>
        <w:rPr>
          <w:sz w:val="20"/>
          <w:szCs w:val="20"/>
          <w:color w:val="auto"/>
        </w:rPr>
      </w:pPr>
    </w:p>
    <w:p>
      <w:pPr>
        <w:jc w:val="both"/>
        <w:ind w:firstLine="8"/>
        <w:spacing w:after="0" w:line="242" w:lineRule="auto"/>
        <w:tabs>
          <w:tab w:leader="none" w:pos="20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Philadelphia and Live! Casino Pittsburgh and simultaneously entered into the Pennsylvania Live! Master Lease such that Cordish continues to operate the facilities. The Company has concluded that the Pennsylvania Live! Master Lease is required to be accounted for as an Investment in leases, financing receivables on our Condensed Consolidated Balance Sheets in accordance with ASC 310, since control of the underlying assets was not considered to have transferred to the Company under GAAP given the significant initial lease term of the Pennsylvania Live! Master Lease which was 39 years. The purchase price of $689.0 million was recorded in Investment in leases, financing receivables, net and the purchase price excludes the provision for credit losses of $32.3 million that was recorded through the Condensed Consolidated Statements of Income.</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Pending acquisitions</w:t>
      </w:r>
    </w:p>
    <w:p>
      <w:pPr>
        <w:spacing w:after="0" w:line="25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April 13, 2021, the Company announced that it had entered into a binding term sheet with Bally's to acquire the real estate of Bally’s casino property in Black Hawk, CO and its recently acquired property in Rock Island, IL, in a transaction that was subject to regulatory approval. This transaction closed on April 1, 2022 and total consideration for the acquisition was $150 million. The parties added the properties to the Bally's Master Lease for incremental rent of $12 million.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Bally’s has granted GLPI a right of first refusal to fund the real property acquisition or development project costs associated with any and all potential future transactions in Michigan, Maryland, New York and Virginia through one or more sale-leaseback or similar transactions for a term of seven years.</w:t>
      </w:r>
    </w:p>
    <w:p>
      <w:pPr>
        <w:spacing w:after="0" w:line="20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April 13, 2021, Bally’s also agreed to acquire both GLPI’s non-land real estate assets and Penn's outstanding equity interests in Tropicana Las Vegas Hotel and Casino, Inc. for an aggregate cash acquisition price of $150 million. GLPI would retain ownership of the land and will concurrently enter into a ground lease for 50 years with initial annual rent of $10.5 million. The ground lease will be supported by a Bally’s corporate guarantee and cross-defaulted with the Bally's Master Lease. This transaction is expected to close in the second half of 2022.</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discussed in Note 16, the Company closed its acquisition of the real estate assets of Bally's casino properties in Black Hawk, CO and Rock Island, IL on April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w:t>
      </w:r>
    </w:p>
    <w:p>
      <w:pPr>
        <w:spacing w:after="0" w:line="256"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GLPI is a self-administered and self-managed Pennsylvania REIT. The Company was formed from the 2013 tax-free spin-off of the real estate assets of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the TRS Properties and then spun-off GLPI to holders of Penn's common and preferred stock in the Spin-Off. The Company elected on its U.S. federal income tax return for its taxable year that began on January 1, 2014 to be treated as a REIT and the Company, together with an indirect wholly-owned subsidiary of the Company, GLP Holdings, Inc., jointly elected to treat each of GLP Holdings, Inc., Louisiana Casino Cruises, Inc. (d/b/a Hollywood Casino Baton Rouge) and Penn Cecil Maryland, Inc. (d/b/a Hollywood Casino Perryville) as a "taxable REIT subsidiary" effective on the first day of the first taxable year of GLPI as a REIT. In addition, during 2020, the Company and Tropicana LV, LLC, a wholly owned subsidiary of the Company which holds the real estate of Tropicana Las Vegas, elected to treat Tropicana LV, LLC as a “taxable REIT subsidiary”. Further, as partial consideration for the transactions with The Cordish Companies ("Cordish") described below, the Company's operating partnership issued 7,366,683 newly-issued operating partnership units ("OP Units") to affiliates of Cordish. The OP Units are exchangeable for common shares of the Company on a one-for-one basis, subject to certain terms and conditions. As a result of the contribution, the OP became treated as a regarded partnership for income tax purposes, with the REIT being deemed to contribute substantially all of the assets and liabilities of the REIT in exchange for the general partnership and a majority of the limited partnership interests, and a minority limited partnership interest being owned by Cordish (the "UPREIT Transaction"). In advance of the UPREIT Transaction, the Company elected GLP Financing II, Inc. to be treated as a TRS effective December 23, 2021. As a result of the Spin-Off, GLPI owns substantially all of Penn's former real property assets (as of the consummation of the Spin-Off) and leases back most of those assets to Penn for use by its subsidiaries, under a unitary master lease (the "Penn Master Lease"). The assets and liabilities of GLPI were recorded at their respective historical carrying values at the time of the Spin-Off. In 2021, as a result of the sale of the operations of Hollywood Casino Perryville and Hollywood Casino Baton Rouge, GLP Holdings, Inc. was merged into GLP Capital, L.P., a wholly owned subsidiary of GLPI.</w:t>
      </w:r>
    </w:p>
    <w:p>
      <w:pPr>
        <w:spacing w:after="0" w:line="1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GLPI's primary business consists of acquiring, financing, and owning real estate property to be leased to gaming operators in triple-net lease arrangements. As of March 31, 2022, GLPI's portfolio consisted of interests in 53 gaming and related facilities, including the Tropicana Las Vegas, the real property associated with 34 gaming and related facilities operated by Penn, the real property associated with 7 gaming and related facilities operated by Caesars Entertainment Corporation ("Caesars"), the real property associated with 4 gaming and related facilities operated by Boyd Gaming Corporation ("Boyd"), the real property associated with 2 gaming and related facilities operated by Bally's Corporation ("Bally's), the real property associated with 2 gaming and related facilities operated by Casino Queen Holding Company Inc. ("Casino Queen") and the real property associated with 3 gaming and related facilities operated by Cordish. These facilities, including our corporate headquarters building, are geographically diversified across 17 states and contain approximately 28.5 million square feet. As of March 31, 2022, our properties were 100% occupied. We expect to continue growing our portfolio by pursuing opportunities to acquire additional gaming facilities to lease to gaming operators under prudent terms.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Penn Master Lease</w:t>
      </w:r>
    </w:p>
    <w:p>
      <w:pPr>
        <w:spacing w:after="0" w:line="254"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Penn Master Lease is a triple-net operating lease, the term of which expires October 31, 2033, with no purchase option, followed by three remaining 5-year renewal options (exercisable by the tenant) on the same terms and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Pinnacle Master Lease, Boyd Master Lease and Belterra Park Lease</w:t>
      </w:r>
    </w:p>
    <w:p>
      <w:pPr>
        <w:spacing w:after="0" w:line="25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on April 30, 2031, with no purchase option, followed by four remaining 5-year renewal options (exercisable by the tenant) on the same terms and conditions (the "Pinnacle Master Lease"). On October 15, 2018, the Company completed the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("Belterra Park") whereby the Company loaned Boyd $57.7 million (the "Belterra Park Loan"). In May 2020, the Company acquired the real estate of Belterra Park in satisfaction of the Belterra Park</w:t>
      </w:r>
    </w:p>
    <w:p>
      <w:pPr>
        <w:spacing w:after="0" w:line="1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Loan, subject to a long-term lease (the "Belterra Park Lease") 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Meadows Lease</w:t>
      </w:r>
    </w:p>
    <w:p>
      <w:pPr>
        <w:spacing w:after="0" w:line="25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real estate assets of the Meadows Racetrack and Casino are leased to Penn pursuant to single property triple-net lease (the "Meadows Lease"). The Meadows Lease commenced on September 9, 2016 and has an initial term of 10 years, with no purchase option, and the option to renew for three successive 5-year terms and one 4-year term (exercisable by the tenant) on the same terms and conditions. 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2% annually thereafter.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Caesars Master Lease</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L.P. ("GLP Capital"), the operating partnership of GLPI,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Black Hawk, Isle Casino Waterloo ("Waterloo"), Isle Casino Bettendorf ("Bettendorf") or Isle of Capri Casino Boonville, provided that the aggregate value of such new property, individually or collectively, is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of certain gaming regulatory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agencies and the expiration of applicable gaming regulatory advance notice periods which were received on July 23, 2020. On December 18, 2020, the Company and Caesars completed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was increased to $62.5 million and the annual land component was increased to $23.7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Lumière Place Lease</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1, 2018, the Company entered into a loan agreement with Caesars in connection with Caesars’s acquisition of Lumière Place Casino ("Lumière Place"), whereby the Company loaned Caesars $246.0 million (the "CZR loan"). The CZR loan bore interest at a rate equal to (i) 9.09% until October 1, 2019 and (ii) 9.27% until its maturity. On the one-year anniversary of the CZR loan, the mortgage evidenced by a deed of trust on the Lumière Place property terminated and the loan became unsecured. On June 24, 2020, the Company received approval from the Missouri Gaming Commission to own the Lumière Place property in satisfaction of the CZR loan. On September 29, 2020, the transaction closed and we entered into a new triple net lease with Caesars (the "Lumière Place Lease") the initial term of which expires on October 31, 2033, with four separate renewal options of five years each, exercisable at the tenant's option. The Lumière Place Lease's rent was adjusted on December 1, 2021 such that the annual escalator is now fixed at 1.25% for the second through fifth lease years, increasing to 1.75% for the sixth and seventh lease years and thereafter increasing by 2.0% for the remainder of the lease.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Bally's Master Lease</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from Bally's for a cash purchase price of approximately $144.0 million. The real estate assets of these two facilities were added to a new triple net master lease (the "Bally's Master Lease") which has an initial term of 15 years, with no purchase option, followed by four five-year renewal options (exercisable by the tenant) on the same terms and conditions.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Tropicana Las Vegas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16, 2020, the Company and certain of its subsidiaries closed on its previously announced transaction to acquire the real property associated with the Tropicana Las Vegas from Penn in exchange for rent credits of $307.5 million, which were applied against future rent obligations due under the parties' existing leases during 2020. An affiliate of Penn will continue to operate the casino and hotel business of the Tropicana Las Vegas pursuant to a triple net lease with GLPI for nominal rent for the earlier of two years (subject to three one-year extensions at the Company's option) or until the Tropicana Las Vegas is sold.</w:t>
      </w:r>
    </w:p>
    <w:p>
      <w:pPr>
        <w:spacing w:after="0" w:line="1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13, 2021, Bally's agreed to acquire the Company's non-land real estate assets and Penn's outstanding equity interests in Tropicana Las Vegas for $150.0 million. The Company will retain ownership of the land and concurrently enter into a 50 year ground lease with an initial annual rent of $10.5 million. The ground lease will be supported by a Bally's corporate guarantee and cross-defaulted with the Bally's Master Lease. This transaction is expected to close in the second half of 2022.</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Morgantown Lease</w:t>
      </w:r>
    </w:p>
    <w:p>
      <w:pPr>
        <w:spacing w:after="0" w:line="16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On October 1, 2020, the Company and Penn closed on their previously announced transaction whereby GLPI acquired the land under Penn's gaming facility under construction in Morgantown, Pennsylvania in exchange for $30.0 million in rent credits that were utilized by Penn in the fourth</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quarter of 2020. The Company is leasing the land back to an affiliate of Penn for an initial annual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Consumer Price Index ("CPI") increase is at least 0.5% for any lease year, the rent for such lease year shall increase by 1.25% of rent as of the immediately preceding lease year, and (b) if the CPI increase is less than 0.5% for such lease year, then the rent shall not increase for such lease year subject to escalation provisions following the opening of the property (the "Morgantown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Casino Queen Master Lease</w:t>
      </w:r>
    </w:p>
    <w:p>
      <w:pPr>
        <w:spacing w:after="0" w:line="2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25, 2020, the Company entered into a definitive agreement to sell the operations of Hollywood Casino Baton Rouge to Casino Queen for $28.2 million (the "HCBR transaction"). This transaction closed on December 17, 2021 which resulted in a pre-tax gain of $6.8 million (loss of $7.7 million after tax) for the year ended December 31, 2021. The Company retained ownership of all real estate assets at Hollywood Casino Baton Rouge and simultaneously entered into a triple net master lease with Casino Queen, which includes the Casino Queen property in East St. Louis that is currently leased by the Company to Casino Queen and the Hollywood Casino Baton Rouge facility (the "Casino Queen Master Lease"). The initial annual cash rent is approximately $21.4 million and the lease has an initial term of 15 years with four 5 year renewal options exercisable by the tenant. This rental amount will be increased annually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 will complete the current landside development project that is in process and the rent under the master lease will be adjusted upon delivery to reflect a yield of 8.25% on GLPI's project costs. The Company will also have a right of first refusal with Casino Queen for other sale leaseback transactions up to $50 million over the next 2 years.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Hollywood Casino Perryville</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15, 2020, the Company announced that Penn exercised its option to purchase from the Company the operations of our Hollywood Casino Perryville, located in Perryville, Maryland, for $31.1 million. The transaction closed on July 1, 2021 and the real estate assets of the Hollywood Casino Perryville are being leased to Penn on a triple net basis for an initial annual rent of $7.77 million, $5.83 million of which will be subject to escalation provisions beginning in the second lease year through the fourth lease year and increasing by 1.50% during such period and then increasing by 1.25% for the remaining lease term. The escalation provisions beginning in the fifth lease year are subject to the CPI being at least 0.5% for the preceding lease year (the "Perryville Lease").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Maryland Live! Lease and Pennsylvania Live! Lease</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6, 2021, the Company announced that it had agreed to acquire the real property assets of Live! Casino &amp; Hotel Maryland, Live! Casino &amp; Hotel Philadelphia, and Live! Casino Pittsburgh, including applicable long-term ground leases, from affiliates of Cordish for aggregate consideration of approximately $1.81 billion at deal announcement excluding transaction costs (the "Cordish Acquisitions"). The transaction also includes a binding partnership on future Cordish casino developments, as well as potential financing partnerships between the Company and Cordish in other areas of Cordish's portfolio of real estate and operating businesses. On December 29, 2021, GLPI closed the acquisition of the Live! Casino &amp; Hotel Maryland transaction and GLPI entered into a single asset lease for Live! Casino &amp; Hotel Maryland (the "Maryland Live! Lease"). On March 1, 2022, GLPI closed the acquisition of the Live! Casino &amp; Hotel Philadelphia and Live! Casino Pittsburgh and leased back the real estate to Cordish pursuant to a new triple net master lease with Cordish for Live! Casino &amp; Hotel Philadelphia and Live! Casino Pittsburgh (the "Pennsylvania Live! Master Lease"). The Pennsylvania Live! Master Lease and the Maryland Live! Lease have initial lease terms of 39 years, with a maximum term of 60 years inclusive of tenant renewal options. The annual rent for the Maryland Live! Lease is $75 million and for the Pennsylvania Live! Master Lease is $50 million both of which have a 1.75% fixed yearly escalator on the entirety of rent commencing on the leases' second anniversary.</w:t>
      </w:r>
    </w:p>
    <w:p>
      <w:pPr>
        <w:spacing w:after="0" w:line="11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majority of our earnings are the result of the rental revenues we receive from our triple-net master leases with Penn, Boyd, Bally's, Cordish and Caesars. Additionally, we have rental revenue from the Casino Queen Master Lease which is also a triple-net lease.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2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Additionally, in accordance with Accounting Standards Codification ("ASC") 842, we record revenue for the ground lease rent paid by our tenants with an offsetting expense in land rights and ground lease expense within the Condensed Consolidated Statements of Income as we have concluded that as the lessee we are the primary obligor under the ground leases. We sublease these ground leases back to our tenants, who are responsible for payment directly to the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Highlights</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reported total revenues and income from operations of $315.0 million and $199.8 million, respectively, for the three months ended March 31, 2022, compared to $301.5 million and $200.1 million, respectively, for the corresponding period in the prior year.</w:t>
      </w:r>
    </w:p>
    <w:p>
      <w:pPr>
        <w:spacing w:after="0" w:line="18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major factors affecting our results for the three months ended March 31, 2022, as compared to the three months ended March 31, 2021, were as follows:</w:t>
      </w:r>
    </w:p>
    <w:p>
      <w:pPr>
        <w:spacing w:after="0" w:line="162" w:lineRule="exact"/>
        <w:rPr>
          <w:sz w:val="20"/>
          <w:szCs w:val="20"/>
          <w:color w:val="auto"/>
        </w:rPr>
      </w:pPr>
    </w:p>
    <w:p>
      <w:pPr>
        <w:ind w:left="660" w:hanging="328"/>
        <w:spacing w:after="0" w:line="25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income from real estate increased by $51.1 million to $315.0 million for the three months ended March 31, 2022 compared to $263.8 million for the corresponding period in the prior year. Results for the three months ended March 31, 2022 benefited from the additions of the Casino Queen Master Lease, the Bally's Master Lease, the Perryville Lease, the Maryland Live! Lease and Pennsylvania Live! Master Lease which in the aggregate increased cash rental income by $38.9 million. The three months ended March 31, 2022 also benefited by $2.9 million compared to the corresponding period in the prior year from full escalations being incurred on the Amended Pinnacle Master Lease, the Boyd Master Lease and the Belterra Park Lease effective May 1, 2021 and the Penn Master Lease on November 1, 2021. The Company also recognized accretion of $3.7 million on its Investment in leases, financing receivables and favorable straight-line rent adjustments of $0.7 million and had higher ground rent income due primarily from the addition of the Bally's Master Lease and the Maryland Live! Lease.</w:t>
      </w:r>
    </w:p>
    <w:p>
      <w:pPr>
        <w:spacing w:after="0" w:line="21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Gaming, food, beverage and other revenue decreased by $37.7 million for the three months ended March 31, 2022, as compared to the corresponding period in the prior year due to the sale of the operations of the Hollywood Casino Perryville and Hollywood Casino Baton Rouge in 2021.</w:t>
      </w:r>
    </w:p>
    <w:p>
      <w:pPr>
        <w:spacing w:after="0" w:line="175"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3" w:val="left"/>
        </w:tabs>
        <w:numPr>
          <w:ilvl w:val="0"/>
          <w:numId w:val="16"/>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Total operating expenses increased by $13.7 million for the three months ended March 31, 2022, as compared to the corresponding periods in the prior year. The increase in operating expenses for the three months ended March 31, 2022 was the result of a provision for credit losses of $26.7 million on our Investment in leases, financing receivables due primarily to the origination of the Pennsylvania Live! Master Lease during the three months ended March 31, 2022 as well as higher land rights and ground lease expense of $7.0 million due primarily from the additions of the Bally's Master Lease and the Maryland Live! Lease as well as accelerated amortization of $2.7 million from a portion of donated land on a ground lease. The Company also incurred higher general and administrative expense of $5.7 million primarily related to bonus expense and stock based compensation expense due to improved performance. Partially offsetting these increases was the sale of the operations of Hollywood Casino Perryville and Hollywood Casino Baton Rouge in 2021 which resulted in lower gaming, food, beverage and other expense of $19.9 million and lower general and administrative expenses of $6.1 million for the three months ended March 31, 2022.</w:t>
      </w:r>
    </w:p>
    <w:p>
      <w:pPr>
        <w:spacing w:after="0" w:line="221" w:lineRule="exact"/>
        <w:rPr>
          <w:rFonts w:ascii="Calibri" w:cs="Calibri" w:eastAsia="Calibri" w:hAnsi="Calibri"/>
          <w:sz w:val="20"/>
          <w:szCs w:val="20"/>
          <w:b w:val="1"/>
          <w:bCs w:val="1"/>
          <w:color w:val="auto"/>
        </w:rPr>
      </w:pPr>
    </w:p>
    <w:p>
      <w:pPr>
        <w:ind w:left="660" w:right="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increased by $7.6 million for the three months ended March 31, 2022, due to higher interest expense associated with the increased borrowings to fund our recent acquisitions.</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decreased by $2.4 million for the three months ended March 31, 2022, as compared to the corresponding periods in the prior year due to the sale of the operations of Hollywood Casino Perryville and Hollywood Casino Baton Rouge.</w:t>
      </w:r>
    </w:p>
    <w:p>
      <w:pPr>
        <w:spacing w:after="0" w:line="188"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by $5.5 million for the three months ended March 31, 2022, as compared to the corresponding periods in the prior year, primarily due to the variances explained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allowance for credit losses, income taxes, and real estate investments as critical accounting estimates, as they are the most important to our financial statement presentation and require difficult, subjective and complex judgments.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80"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For further information on our critical accounting estimates, see Item 7. "Management’s Discussion and Analysis of Financial Condition and Results of Operations" and the Notes to our audited consolidated financial statements included in our most recent Annual Report. There has been no material change to these estimates for the three months ended March 31, 2022.</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the most important factors and trends that contribute or may contribute to our operating performance:</w:t>
      </w:r>
    </w:p>
    <w:p>
      <w:pPr>
        <w:spacing w:after="0" w:line="252" w:lineRule="exact"/>
        <w:rPr>
          <w:sz w:val="20"/>
          <w:szCs w:val="20"/>
          <w:color w:val="auto"/>
        </w:rPr>
      </w:pPr>
    </w:p>
    <w:p>
      <w:pPr>
        <w:ind w:left="660" w:right="1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announced or closed numerous transactions in the past two years and expect to continue to grow our portfolio by pursuing opportunities to acquire additional gaming facilities to lease to gaming operators under prudent terms.</w:t>
      </w:r>
    </w:p>
    <w:p>
      <w:pPr>
        <w:spacing w:after="0" w:line="188"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several wholly-owned subsidiaries of Penn lease a substantial number of our properties, pursuant to two master leases and three single property leases and account for a significant portion of our revenue.</w:t>
      </w:r>
    </w:p>
    <w:p>
      <w:pPr>
        <w:spacing w:after="0" w:line="188"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economic conditions, including uncertainty related to COVID-19, recent high inflation levels (that have been negatively impacted by the armed conflict between Russia and Ukraine) and the effect of such conditions on consumer spending for leisure and gaming activities, which may negatively impact our gaming tenants and operators and the variable rent and certain annual rent escalators we receive from our tenants as outlined in the long-term triple-net leases with these tenants.</w:t>
      </w:r>
    </w:p>
    <w:p>
      <w:pPr>
        <w:spacing w:after="0" w:line="206"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refinance our significant levels of debt at attractive terms and obtain favorable funding in connection with future business opportunities.</w:t>
      </w:r>
    </w:p>
    <w:p>
      <w:pPr>
        <w:spacing w:after="0" w:line="16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rules and regulations of U.S. federal income taxation are constantly under review by legislators, the Internal Revenue Service and the U.S. Department of the Treasury. Changes to the tax laws or interpretations thereof, including any changes proposed and implemented by the current administration, with or without retroactive application, could materially and adversely affect GLPI and its investors.</w:t>
      </w:r>
    </w:p>
    <w:p>
      <w:pPr>
        <w:spacing w:after="0" w:line="20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results of operations for the three months ended March 31, 2022 and 2021 are summarized below:</w:t>
      </w:r>
    </w:p>
    <w:p>
      <w:pPr>
        <w:spacing w:after="0" w:line="259" w:lineRule="exact"/>
        <w:rPr>
          <w:sz w:val="20"/>
          <w:szCs w:val="20"/>
          <w:color w:val="auto"/>
        </w:rPr>
      </w:pPr>
    </w:p>
    <w:tbl>
      <w:tblPr>
        <w:tblLayout w:type="fixed"/>
        <w:tblInd w:w="72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6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6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r>
      <w:tr>
        <w:trPr>
          <w:trHeight w:val="23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314,966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301,543</w:t>
            </w:r>
          </w:p>
        </w:tc>
      </w:tr>
      <w:tr>
        <w:trPr>
          <w:trHeight w:val="230"/>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115,170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101,442</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200,101</w:t>
            </w:r>
          </w:p>
        </w:tc>
      </w:tr>
      <w:tr>
        <w:trPr>
          <w:trHeight w:val="230"/>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(70,289)</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129,812</w:t>
            </w:r>
          </w:p>
        </w:tc>
      </w:tr>
      <w:tr>
        <w:trPr>
          <w:trHeight w:val="230"/>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127,184</w:t>
            </w:r>
          </w:p>
        </w:tc>
      </w:tr>
      <w:tr>
        <w:trPr>
          <w:trHeight w:val="230"/>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 in the Operating Partnership</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127,184</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FFO, AFFO and Adjusted EBITDA</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Funds From Operations ("FFO"), Adjusted Funds From Operations ("AFFO") and Adjusted EBITDA are non-U.S. generally accepted accounting principles ("GAAP") financial measures used by the Company as performance measures for benchmarking against the Company’s peers and as internal measures of business operating performance, which is used as a bonus metric. These metrics are presented assuming full conversion of limited partnership units to common shares and therefore before the income statement impact of non-controlling interests.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w:t>
      </w:r>
    </w:p>
    <w:p>
      <w:pPr>
        <w:spacing w:after="0" w:line="21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sales of property and real estate depreciation. We define AFFO as FFO excluding stock based compensation expense, the amortization of debt issuance costs, bond premiums and original issuance discounts, accretion on Investment in leases, financing receivables, non-cash adjustments to financing lease liabilities, other depreciation, amortization of land rights, straight-line rent adjustments, (gains) or losses on sales of</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operations, net of tax, losses on debt extinguishment and provision for credit losses, net, reduced by maintenance capital expenditures. Finally, we define Adjusted EBITDA as net income excluding interest, net, income tax expense, depreciation, (gains) or losses from dispositions of property, (gains) or losses on sales of operations, net of tax, stock based compensation expense, straight-line rent adjustments, amortization of land rights, accretion on Investment in leases, financing receivables, non-cash adjustments to financing lease liabilities, losses on debt extinguishment and provision for credit losses, net.</w:t>
      </w:r>
    </w:p>
    <w:p>
      <w:pPr>
        <w:spacing w:after="0" w:line="19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16" w:lineRule="exact"/>
        <w:rPr>
          <w:sz w:val="20"/>
          <w:szCs w:val="20"/>
          <w:color w:val="auto"/>
        </w:rPr>
      </w:pPr>
    </w:p>
    <w:p>
      <w:pPr>
        <w:ind w:right="220" w:firstLine="690"/>
        <w:spacing w:after="0" w:line="270" w:lineRule="auto"/>
        <w:rPr>
          <w:sz w:val="20"/>
          <w:szCs w:val="20"/>
          <w:color w:val="auto"/>
        </w:rPr>
      </w:pPr>
      <w:r>
        <w:rPr>
          <w:rFonts w:ascii="Times New Roman" w:cs="Times New Roman" w:eastAsia="Times New Roman" w:hAnsi="Times New Roman"/>
          <w:sz w:val="18"/>
          <w:szCs w:val="18"/>
          <w:color w:val="auto"/>
        </w:rPr>
        <w:t>The reconciliation of the Company’s net income per GAAP to FFO, AFFO, and Adjusted EBITDA for the three months ended March 31, 2022 and 2021 is as follows:</w:t>
      </w: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0" w:type="dxa"/>
            <w:vAlign w:val="bottom"/>
            <w:gridSpan w:val="4"/>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84"/>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3"/>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Pr>
          <w:p>
            <w:pPr>
              <w:spacing w:after="0"/>
              <w:rPr>
                <w:sz w:val="24"/>
                <w:szCs w:val="24"/>
                <w:color w:val="auto"/>
              </w:rPr>
            </w:pPr>
          </w:p>
        </w:tc>
      </w:tr>
      <w:tr>
        <w:trPr>
          <w:trHeight w:val="23"/>
        </w:trPr>
        <w:tc>
          <w:tcPr>
            <w:tcW w:w="53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7"/>
                <w:szCs w:val="17"/>
                <w:color w:val="auto"/>
              </w:rPr>
            </w:pPr>
          </w:p>
        </w:tc>
      </w:tr>
      <w:tr>
        <w:trPr>
          <w:trHeight w:val="23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121,692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127,184</w:t>
            </w: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or losses from dispositions of property</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depreciation</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56,389</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Funds from operations</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180,300</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183,573</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Straight-line rent adjustments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depreciation</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land rights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r>
      <w:tr>
        <w:trPr>
          <w:trHeight w:val="176"/>
        </w:trPr>
        <w:tc>
          <w:tcPr>
            <w:tcW w:w="5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debt issuance costs, bond premiums and original</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discounts</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on investment in leases, financing receivables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 to financing lease liabilities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maintenance expenditures</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funds from operations</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218,628</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195,720</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net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70,289</w:t>
            </w: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maintenance expenditures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175"/>
        </w:trPr>
        <w:tc>
          <w:tcPr>
            <w:tcW w:w="5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debt issuance costs, bond premiums and original</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5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issuance discounts</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2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293,306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266,605</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Net income, FFO, AFFO and Adjusted EBITDA were $121.7 million, $180.3 million, $218.6 million, and $293.3 million for the three months ended March 31, 2022. This compares to net income, FFO, AFFO and Adjusted EBITDA of $127.2 million, $183.6 million, $195.7 million and $266.6 million for the corresponding period in the prior year. The decline in net income was attributable to the provision for credit losses on our investment in leases, financing receivables of $26.7 million, higher interest expense to partially fund our recent acquisitions and land rights and ground lease expense of $14.5 million, higher corporate general and administrative expenses of $5.7 million, as well as the sale of our Hollywood Casino Perryville and Hollywood Casino</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Baton Rouge operations. These declines were partially offset by higher income from real estate of $51.1 million and lower income tax expense.</w:t>
      </w:r>
    </w:p>
    <w:p>
      <w:pPr>
        <w:spacing w:after="0" w:line="25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decrease in FFO is due to the items described above, excluding gains from dispositions of property and real estate depreciation. The increase in AFFO is due to the items described above, less the adjustments mentioned in the table above, primarily the add back of the provision for credit losses, net. Adjusted EBITDA also increased as compared to the prior year driven by the explanations above, as well as the adjustments mentioned in the table above, primarily related to interest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for the three months ended March 31, 2022 and 2021 were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20" w:type="dxa"/>
            <w:vAlign w:val="bottom"/>
          </w:tcPr>
          <w:p>
            <w:pPr>
              <w:spacing w:after="0"/>
              <w:rPr>
                <w:sz w:val="2"/>
                <w:szCs w:val="2"/>
                <w:color w:val="auto"/>
              </w:rPr>
            </w:pPr>
          </w:p>
        </w:tc>
        <w:tc>
          <w:tcPr>
            <w:tcW w:w="15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Rental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rPr>
              <w:t>23,935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30"/>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from real estate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rPr>
              <w:t>27,189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from real estate</w:t>
            </w: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314,966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263,842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rPr>
              <w:t>51,124</w:t>
            </w:r>
          </w:p>
        </w:tc>
        <w:tc>
          <w:tcPr>
            <w:tcW w:w="16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0" w:type="dxa"/>
            <w:vAlign w:val="bottom"/>
          </w:tcPr>
          <w:p>
            <w:pPr>
              <w:spacing w:after="0"/>
              <w:rPr>
                <w:sz w:val="1"/>
                <w:szCs w:val="1"/>
                <w:color w:val="auto"/>
              </w:rPr>
            </w:pPr>
          </w:p>
        </w:tc>
      </w:tr>
      <w:tr>
        <w:trPr>
          <w:trHeight w:val="230"/>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Gaming, food, beverage and other</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rPr>
              <w:t>(37,701)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rPr>
              <w:t>13,423</w:t>
            </w:r>
          </w:p>
        </w:tc>
        <w:tc>
          <w:tcPr>
            <w:tcW w:w="16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income from real estate</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2022 and 2021, total income from real estate was $315.0 million compared to $263.8 million for the corresponding period in the prior year. In accordance with ASC 842, the Company records revenue for the ground lease rent paid by its tenants with an offsetting expense in land rights and ground lease expense within the condensed consolidated statements of income as the Company has concluded that as the lessee it is the primary obligor under the ground leases. The Company subleases these ground leases back to its tenants, who are responsible for payment directly to the landlord. These amounts increased by $4.6 million for the three months ended March 31, 2022 compared to the corresponding period in the prior year due to the addition of the Bally's Master Lease, the Maryland Live! Lease and Pennsylvania Live! Master Lease which contained properties with ground leases.</w:t>
      </w:r>
    </w:p>
    <w:p>
      <w:pPr>
        <w:spacing w:after="0" w:line="21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Total income from real estate increased $51.1 million, or 19.4%, for the three months ended March 31, 2022 as compared to the corresponding period in the prior year. Results for the three months ended March 31, 2022 benefited from the additions of the Maryland Live! Lease, the Pennsylvania Live! Master Lease, the Casino Queen Master Lease, the Bally's Master Lease, and the Perryville Lease, which in the aggregate increased cash rental income by $38.9 million. The three months ended March 31, 2022 benefited from full escalations being incurred on the Amended Pinnacle Master Lease, the Boyd Master Lease and the Belterra Park Lease effective May 1, 2021, and the Penn Master Lease effective November 1, 2021 which increased building base rents by $2.9 million during the three months ended March 31, 2022. The Company also recognized accretion of $3.7 million on its Investments in leases, financing receivables, and favorable straight-line rent adjustments of $0.7 million and had higher ground rent income of $4.6 million as discussed above.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Details of the Company's income from real estate for the three months ended March 31, 2022 was as follows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Building base</w:t>
            </w:r>
          </w:p>
        </w:tc>
        <w:tc>
          <w:tcPr>
            <w:tcW w:w="140" w:type="dxa"/>
            <w:vAlign w:val="bottom"/>
          </w:tcPr>
          <w:p>
            <w:pPr>
              <w:spacing w:after="0"/>
              <w:rPr>
                <w:sz w:val="13"/>
                <w:szCs w:val="13"/>
                <w:color w:val="auto"/>
              </w:rPr>
            </w:pPr>
          </w:p>
        </w:tc>
        <w:tc>
          <w:tcPr>
            <w:tcW w:w="7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Land base</w:t>
            </w: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60" w:type="dxa"/>
            <w:vAlign w:val="bottom"/>
          </w:tcPr>
          <w:p>
            <w:pPr>
              <w:spacing w:after="0"/>
              <w:rPr>
                <w:sz w:val="13"/>
                <w:szCs w:val="13"/>
                <w:color w:val="auto"/>
              </w:rPr>
            </w:pPr>
          </w:p>
        </w:tc>
        <w:tc>
          <w:tcPr>
            <w:tcW w:w="76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 cash</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Straight-line</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Ground rent</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Accretion on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 rental</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 income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ind w:right="131"/>
              <w:spacing w:after="0" w:line="146" w:lineRule="exact"/>
              <w:rPr>
                <w:sz w:val="20"/>
                <w:szCs w:val="20"/>
                <w:color w:val="auto"/>
              </w:rPr>
            </w:pPr>
            <w:r>
              <w:rPr>
                <w:rFonts w:ascii="Times New Roman" w:cs="Times New Roman" w:eastAsia="Times New Roman" w:hAnsi="Times New Roman"/>
                <w:sz w:val="14"/>
                <w:szCs w:val="14"/>
                <w:b w:val="1"/>
                <w:bCs w:val="1"/>
                <w:color w:val="auto"/>
              </w:rPr>
              <w:t>rent</w:t>
            </w: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12"/>
              <w:spacing w:after="0" w:line="146"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52"/>
              <w:spacing w:after="0" w:line="146" w:lineRule="exact"/>
              <w:rPr>
                <w:sz w:val="20"/>
                <w:szCs w:val="20"/>
                <w:color w:val="auto"/>
              </w:rPr>
            </w:pPr>
            <w:r>
              <w:rPr>
                <w:rFonts w:ascii="Times New Roman" w:cs="Times New Roman" w:eastAsia="Times New Roman" w:hAnsi="Times New Roman"/>
                <w:sz w:val="14"/>
                <w:szCs w:val="14"/>
                <w:b w:val="1"/>
                <w:bCs w:val="1"/>
                <w:color w:val="auto"/>
                <w:w w:val="99"/>
              </w:rPr>
              <w:t>from real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31"/>
              <w:spacing w:after="0" w:line="129" w:lineRule="exact"/>
              <w:rPr>
                <w:sz w:val="20"/>
                <w:szCs w:val="20"/>
                <w:color w:val="auto"/>
              </w:rPr>
            </w:pPr>
            <w:r>
              <w:rPr>
                <w:rFonts w:ascii="Times New Roman" w:cs="Times New Roman" w:eastAsia="Times New Roman" w:hAnsi="Times New Roman"/>
                <w:sz w:val="14"/>
                <w:szCs w:val="14"/>
                <w:b w:val="1"/>
                <w:bCs w:val="1"/>
                <w:color w:val="auto"/>
              </w:rPr>
              <w:t>rent</w:t>
            </w:r>
          </w:p>
        </w:tc>
        <w:tc>
          <w:tcPr>
            <w:tcW w:w="140" w:type="dxa"/>
            <w:vAlign w:val="bottom"/>
          </w:tcPr>
          <w:p>
            <w:pPr>
              <w:spacing w:after="0"/>
              <w:rPr>
                <w:sz w:val="12"/>
                <w:szCs w:val="12"/>
                <w:color w:val="auto"/>
              </w:rPr>
            </w:pPr>
          </w:p>
        </w:tc>
        <w:tc>
          <w:tcPr>
            <w:tcW w:w="760" w:type="dxa"/>
            <w:vAlign w:val="bottom"/>
          </w:tcPr>
          <w:p>
            <w:pPr>
              <w:jc w:val="right"/>
              <w:ind w:right="212"/>
              <w:spacing w:after="0" w:line="129" w:lineRule="exact"/>
              <w:rPr>
                <w:sz w:val="20"/>
                <w:szCs w:val="20"/>
                <w:color w:val="auto"/>
              </w:rPr>
            </w:pPr>
            <w:r>
              <w:rPr>
                <w:rFonts w:ascii="Times New Roman" w:cs="Times New Roman" w:eastAsia="Times New Roman" w:hAnsi="Times New Roman"/>
                <w:sz w:val="14"/>
                <w:szCs w:val="14"/>
                <w:b w:val="1"/>
                <w:bCs w:val="1"/>
                <w:color w:val="auto"/>
              </w:rPr>
              <w:t>rent</w:t>
            </w:r>
          </w:p>
        </w:tc>
        <w:tc>
          <w:tcPr>
            <w:tcW w:w="140" w:type="dxa"/>
            <w:vAlign w:val="bottom"/>
          </w:tcPr>
          <w:p>
            <w:pPr>
              <w:spacing w:after="0"/>
              <w:rPr>
                <w:sz w:val="12"/>
                <w:szCs w:val="12"/>
                <w:color w:val="auto"/>
              </w:rPr>
            </w:pPr>
          </w:p>
        </w:tc>
        <w:tc>
          <w:tcPr>
            <w:tcW w:w="780" w:type="dxa"/>
            <w:vAlign w:val="bottom"/>
          </w:tcPr>
          <w:p>
            <w:pPr>
              <w:jc w:val="right"/>
              <w:ind w:right="212"/>
              <w:spacing w:after="0" w:line="129" w:lineRule="exact"/>
              <w:rPr>
                <w:sz w:val="20"/>
                <w:szCs w:val="20"/>
                <w:color w:val="auto"/>
              </w:rPr>
            </w:pPr>
            <w:r>
              <w:rPr>
                <w:rFonts w:ascii="Times New Roman" w:cs="Times New Roman" w:eastAsia="Times New Roman" w:hAnsi="Times New Roman"/>
                <w:sz w:val="14"/>
                <w:szCs w:val="14"/>
                <w:b w:val="1"/>
                <w:bCs w:val="1"/>
                <w:color w:val="auto"/>
              </w:rPr>
              <w:t>rent</w:t>
            </w:r>
          </w:p>
        </w:tc>
        <w:tc>
          <w:tcPr>
            <w:tcW w:w="160" w:type="dxa"/>
            <w:vAlign w:val="bottom"/>
          </w:tcPr>
          <w:p>
            <w:pPr>
              <w:spacing w:after="0"/>
              <w:rPr>
                <w:sz w:val="12"/>
                <w:szCs w:val="12"/>
                <w:color w:val="auto"/>
              </w:rPr>
            </w:pPr>
          </w:p>
        </w:tc>
        <w:tc>
          <w:tcPr>
            <w:tcW w:w="760" w:type="dxa"/>
            <w:vAlign w:val="bottom"/>
          </w:tcPr>
          <w:p>
            <w:pPr>
              <w:jc w:val="right"/>
              <w:ind w:right="112"/>
              <w:spacing w:after="0" w:line="129" w:lineRule="exact"/>
              <w:rPr>
                <w:sz w:val="20"/>
                <w:szCs w:val="20"/>
                <w:color w:val="auto"/>
              </w:rPr>
            </w:pPr>
            <w:r>
              <w:rPr>
                <w:rFonts w:ascii="Times New Roman" w:cs="Times New Roman" w:eastAsia="Times New Roman" w:hAnsi="Times New Roman"/>
                <w:sz w:val="14"/>
                <w:szCs w:val="14"/>
                <w:b w:val="1"/>
                <w:bCs w:val="1"/>
                <w:color w:val="auto"/>
              </w:rPr>
              <w:t>income</w:t>
            </w:r>
          </w:p>
        </w:tc>
        <w:tc>
          <w:tcPr>
            <w:tcW w:w="9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2"/>
                <w:szCs w:val="12"/>
                <w:color w:val="auto"/>
              </w:rPr>
            </w:pPr>
          </w:p>
        </w:tc>
        <w:tc>
          <w:tcPr>
            <w:tcW w:w="760" w:type="dxa"/>
            <w:vAlign w:val="bottom"/>
          </w:tcPr>
          <w:p>
            <w:pPr>
              <w:jc w:val="right"/>
              <w:ind w:right="31"/>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revenue</w:t>
            </w:r>
          </w:p>
        </w:tc>
        <w:tc>
          <w:tcPr>
            <w:tcW w:w="160" w:type="dxa"/>
            <w:vAlign w:val="bottom"/>
          </w:tcPr>
          <w:p>
            <w:pPr>
              <w:spacing w:after="0"/>
              <w:rPr>
                <w:sz w:val="12"/>
                <w:szCs w:val="12"/>
                <w:color w:val="auto"/>
              </w:rPr>
            </w:pPr>
          </w:p>
        </w:tc>
        <w:tc>
          <w:tcPr>
            <w:tcW w:w="760" w:type="dxa"/>
            <w:vAlign w:val="bottom"/>
          </w:tcPr>
          <w:p>
            <w:pPr>
              <w:jc w:val="center"/>
              <w:ind w:right="32"/>
              <w:spacing w:after="0" w:line="129" w:lineRule="exact"/>
              <w:rPr>
                <w:sz w:val="20"/>
                <w:szCs w:val="20"/>
                <w:color w:val="auto"/>
              </w:rPr>
            </w:pPr>
            <w:r>
              <w:rPr>
                <w:rFonts w:ascii="Times New Roman" w:cs="Times New Roman" w:eastAsia="Times New Roman" w:hAnsi="Times New Roman"/>
                <w:sz w:val="14"/>
                <w:szCs w:val="14"/>
                <w:b w:val="1"/>
                <w:bCs w:val="1"/>
                <w:color w:val="auto"/>
              </w:rPr>
              <w:t>leases</w:t>
            </w:r>
          </w:p>
        </w:tc>
        <w:tc>
          <w:tcPr>
            <w:tcW w:w="180" w:type="dxa"/>
            <w:vAlign w:val="bottom"/>
          </w:tcPr>
          <w:p>
            <w:pPr>
              <w:spacing w:after="0"/>
              <w:rPr>
                <w:sz w:val="12"/>
                <w:szCs w:val="12"/>
                <w:color w:val="auto"/>
              </w:rPr>
            </w:pPr>
          </w:p>
        </w:tc>
        <w:tc>
          <w:tcPr>
            <w:tcW w:w="740" w:type="dxa"/>
            <w:vAlign w:val="bottom"/>
          </w:tcPr>
          <w:p>
            <w:pPr>
              <w:jc w:val="right"/>
              <w:ind w:right="111"/>
              <w:spacing w:after="0" w:line="12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2"/>
                <w:szCs w:val="12"/>
                <w:color w:val="auto"/>
              </w:rPr>
            </w:pPr>
          </w:p>
        </w:tc>
        <w:tc>
          <w:tcPr>
            <w:tcW w:w="780" w:type="dxa"/>
            <w:vAlign w:val="bottom"/>
          </w:tcPr>
          <w:p>
            <w:pPr>
              <w:jc w:val="center"/>
              <w:ind w:right="52"/>
              <w:spacing w:after="0" w:line="129" w:lineRule="exact"/>
              <w:rPr>
                <w:sz w:val="20"/>
                <w:szCs w:val="20"/>
                <w:color w:val="auto"/>
              </w:rPr>
            </w:pPr>
            <w:r>
              <w:rPr>
                <w:rFonts w:ascii="Times New Roman" w:cs="Times New Roman" w:eastAsia="Times New Roman" w:hAnsi="Times New Roman"/>
                <w:sz w:val="14"/>
                <w:szCs w:val="14"/>
                <w:b w:val="1"/>
                <w:bCs w:val="1"/>
                <w:color w:val="auto"/>
              </w:rPr>
              <w:t>estate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30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 Master Lease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118,378</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Pinnacle Master Lease</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57,936</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17,814</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82,445</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 Meadows Lease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Penn Morgantown Lease</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 Perryville Lease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Caesars Master Lease</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Lumiere Place Lease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Boyd Master Lease</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19,289</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Boyd Belterra Lease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Bally's Master Lease</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Maryland Live! Lease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Pennsylvania Live! Master Lease</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Casino Queen Master Lease</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214,413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301,826</w:t>
            </w:r>
          </w:p>
        </w:tc>
        <w:tc>
          <w:tcPr>
            <w:tcW w:w="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40" w:firstLine="8"/>
        <w:spacing w:after="0" w:line="266" w:lineRule="auto"/>
        <w:tabs>
          <w:tab w:leader="none" w:pos="3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ASC 842, the Company records revenue for the ground lease rent paid by its tenants with an offsetting expense in land rights and ground lease expense within the condensed consolidated statements of income as the Company has concluded that as the lessee it is the primary obligor under the ground leases. The Company subleases these ground leases back to its tenants, who are responsible for payment directly to the landlord.</w:t>
      </w:r>
    </w:p>
    <w:p>
      <w:pPr>
        <w:spacing w:after="0" w:line="202" w:lineRule="exact"/>
        <w:rPr>
          <w:rFonts w:ascii="Times New Roman" w:cs="Times New Roman" w:eastAsia="Times New Roman" w:hAnsi="Times New Roman"/>
          <w:sz w:val="18"/>
          <w:szCs w:val="18"/>
          <w:color w:val="auto"/>
        </w:rPr>
      </w:pPr>
    </w:p>
    <w:p>
      <w:pPr>
        <w:ind w:right="80" w:firstLine="8"/>
        <w:spacing w:after="0" w:line="282" w:lineRule="auto"/>
        <w:tabs>
          <w:tab w:leader="none" w:pos="38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earnings on Investment in leases, financing receivables, based on the effective yield method using the discount rate implicit in the leases. The amounts above represent earnings recognized in excess of cash received during the period.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Gaming, food, beverage and other revenue</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Gaming, food, beverage and other revenue decreased by $37.7 million, for the three months ended March 31, 2022, as compared to the corresponding periods in the prior years due to the sale of the operations of Hollywood Casino Perryville and Hollywood Casino Baton Rouge in 2021.</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expenses for the three months ended March 31, 2022 and 2021 were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3"/>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7"/>
                <w:szCs w:val="17"/>
                <w:color w:val="auto"/>
              </w:rPr>
            </w:pP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0" w:type="dxa"/>
            <w:vAlign w:val="bottom"/>
          </w:tcPr>
          <w:p>
            <w:pPr>
              <w:spacing w:after="0"/>
              <w:rPr>
                <w:sz w:val="17"/>
                <w:szCs w:val="17"/>
                <w:color w:val="auto"/>
              </w:rPr>
            </w:pPr>
          </w:p>
        </w:tc>
        <w:tc>
          <w:tcPr>
            <w:tcW w:w="14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23"/>
        </w:trPr>
        <w:tc>
          <w:tcPr>
            <w:tcW w:w="4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Gaming, food, beverage and other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19,926</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(19,926)</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rights and ground lease expense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103.5 %</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and losses from dispositions of property</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58,701</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26,656</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115,170</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101,442</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Gaming, food, beverage and other</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Gaming, food, beverage and other expenses decreased by $19.9 million for the three months ended March 31, 2022 as compared to the corresponding periods in the prior year was due to the sale of the operations of Hollywood Casino Perryville and Hollywood Casino Baton Rouge during 2021.</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Land rights and ground lease expense</w:t>
      </w:r>
    </w:p>
    <w:p>
      <w:pPr>
        <w:spacing w:after="0" w:line="25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Land rights and ground lease expense includes the amortization of land rights and rent expense related to the Company's long-term ground leases. Land rights and ground lease expense increased by $7.0 million for the three months ended March 31, 2022, as compared to the corresponding period in the prior year. The increase is the result of higher rent expense due to the acquisition of the real estate of Maryland Live! Hotel &amp; Casino and Pittsburgh Live!</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Casino which both have ground leases as well as higher land right amortization due to the acquisition of Tropicana Evansville on June 3, 2021 and a $2.7 million accelerated write-off due to a partial donation of leased land.</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and Administrative Expense</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include items such as compensation costs (including stock based compensation), professional services and costs associated with development activities. General and administrative expenses decreased by $0.4 million for the three months ended March 31, 2022 as compared to the corresponding period in the prior year. The reason for the decline for the three months ended March 31, 2022 was primarily due to the sale of the operations of Hollywood Casino Perryville on July 1, 2021 and Hollywood Casino Baton Rouge on December 17, 2021 which lowered general and administrative expenses by $6.0 million, which was partially offset by increased costs of $5.6 million primarily attributable to higher bonus expense and stock based compensation charges due to improved performance and higher valuations on the Company's equity awards.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Depreciation</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Depreciation expense increased by $0.4 million for the three months ended March 31, 2022 as compared to the corresponding period in the prior year. The Company had higher real estate depreciation of $2.3 million due to the Company's acquisitions over the past year, partially offset by a $1.8 million decline in other depreciation due to the sale of the operations of Hollywood Casino Perryville and Hollywood Casino Baton Rouge and the impact of classifying the building value of Tropicana Las Vegas in assets held for sale in the second quarter of 2021.</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Provision for credit losses totaled $26.7 million for the three months ended March 31, 2022. As described in Note 4, the Company follows ASC 326 “Credit Losses”, which requires that the Company measure and record current expected credit losses (“CECL”), the scope of which includes our Investments in leases - financing receivables.</w:t>
      </w:r>
    </w:p>
    <w:p>
      <w:pPr>
        <w:spacing w:after="0" w:line="20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recorded an initial CECL reserve of $32.3 million on its Pennsylvania Live! Master Lease and the Company received an updated earnings forecast from its tenant on the Maryland Live! Casino &amp; Hotel operations for 2022. This resulted in an improved rent coverage ratio in its CECL reserve calculation for the Maryland Live! Lease, which led to a $5.6 million reduction in the CECL reserve need at March 31, 2022. Future changes in economic probability factors and earnings assumptions at the underlying facilities may result in non-cash provisions or recoveries in future periods that could materially impact our results of operations. The reason for the higher allowance for credit losses as a percentage of the outstanding investment in leases for the Pennsylvania Live! Master Lease compared to the Maryland Live! Lease is primarily due to the significantly higher expected rent coverage ratio on the Maryland Live! Lease compared to the Pennsylvania Live! Master Lease among other factors such as a changing economic forecast.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income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(expenses) for the three months ended March 31, 2022 and 2021 were as follows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20" w:type="dxa"/>
            <w:vAlign w:val="bottom"/>
          </w:tcPr>
          <w:p>
            <w:pPr>
              <w:spacing w:after="0"/>
              <w:rPr>
                <w:sz w:val="2"/>
                <w:szCs w:val="2"/>
                <w:color w:val="auto"/>
              </w:rPr>
            </w:pPr>
          </w:p>
        </w:tc>
        <w:tc>
          <w:tcPr>
            <w:tcW w:w="1520" w:type="dxa"/>
            <w:vAlign w:val="bottom"/>
            <w:vMerge w:val="restart"/>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Interest expense increased by $7.5 million for the three months ended March 31, 2022, as compared to the corresponding period in the prior year.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due to the issuance of additional unsecured senior notes that partially funded our recent acquisitions. See Note 8 for further details.</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income tax expense was approximately $0.2 million compared to income tax expense of $2.6 million for the three months ended March 31, 2021. The reason for the decrease was due to the sale of the operations of Hollywood Casino Perryville and Hollywood Casino Baton Rouge in 2021.</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 in the Operating Partnership</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As partial consideration for the Cordish transactions related to the Maryland Live! Lease and Pennsylvania Live! Master Lease, the Company's operating partnership issued OP Units to affiliates of Cordish. The OP Units are exchangeable for common shares of the Company on a one-for-one basis, subject to certain terms and conditions. The operating partnership is a variable interest entity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be significant to the VIE. Therefore, the Company consolidates the accounts of the operating partnership, and reflects the third party ownership in this entity as a noncontrolling interest in the Condensed Consolidated Balance Sheets and allocates the proportion of net income to the noncontrolling interests on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cash flow from operations, borrowings from banks, and proceeds from the issuance of debt and equity securities.</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$233.2 million and $205.2 million during the three months ended March 31, 2022 and 2021, respectively. The increase in net cash provided by operating activities of $28.0 million for the three months ended March 31, 2022, as compared to the corresponding period in the prior year, was primarily comprised of an increase in cash receipts from customers of $4.1 million along with decreases in cash paid to employees of $3.0 million, cash paid for operating expenses of $19.4 million and cash paid for interest of $1.5 million. The increase in cash receipts collected from our customers for the three months ended March 31, 2022, as compared to the corresponding period in the prior year, primarily benefited from the additions of the Maryland Live! Lease, the Pennsylvania Live! Master Lease, the Casino Queen Master Lease, the Bally's Master Lease, and the Perryville Lease and full escalations being incurred on the Amended Pinnacle Master Lease, the Boyd Master Lease, the Belterra Park Lease and the Penn Master Lease less the impact from the sale of the operations of Hollywood Casino Perryville and Hollywood Casino Baton Rouge which also led to the decline in cash paid for operating expenses.</w:t>
      </w:r>
    </w:p>
    <w:p>
      <w:pPr>
        <w:spacing w:after="0" w:line="21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Investing activities used cash of $131.4 million and $1.0 million during the three months ended March 31, 2022 and 2021, respectively. Net cash used in investing activities during the three months ended March 31, 2022 consisted primarily of $129.0 million for the acquisition of the real estate assets contained within the Pennsylvania Live! Master Lease which was accounted for as an Investment in lease, financing receivables and capital expenditures of $2.4 million. Net cash used in investing activities for the three months ended March 31, 2021 consisted of capital expenditures of $1.0 million.</w:t>
      </w:r>
    </w:p>
    <w:p>
      <w:pPr>
        <w:spacing w:after="0" w:line="207"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Financing activities used cash of $670.3 million and $161.4 million during the three months ended March 31, 2022 and 2021, respectively. Net cash used in financing activities during the three months ended March 31, 2022 was driven primarily by dividend payments of $230.4 million, noncontrolling interest distributions of $5.1 million and taxes paid related to shares withheld for tax purposes on restricted stock award vestings of $11.9 million and the repayment of long term debt of $422.9 million relating to the acquisition of the real estate assets contained within the Pennsylvania Live! Master Lease. Cash used in financing activities during the three months ended March 31, 2021 was driven primarily by dividend payments of $151.5 million, and taxes paid related to shares withheld for tax purposes on restricted stock award vestings of $9.8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Capital expenditures are accounted for as either capital project expenditures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210"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and 2021, we spent approximately $2.4 million and $1.0 million, respectively, for capital expenditures. The majority of the capital expenditures were related to a landside development project at Hollywood Casino Baton Rouge.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Unsecured Credit Facility</w:t>
      </w:r>
    </w:p>
    <w:p>
      <w:pPr>
        <w:spacing w:after="0" w:line="256"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Company's senior unsecured credit facility (the "Amended Credit Facility") consists of a $1,175 million revolving credit facility (the "Revolver") and a $424 million Term Loan A-2 facility. The Revolver and the Term Loan A-2 facility mature on May 21, 2023.</w:t>
      </w:r>
    </w:p>
    <w:p>
      <w:pPr>
        <w:spacing w:after="0" w:line="189"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At March 31, 2022, the Amended Credit Facility had a gross outstanding balance of $424.0 million, consisting of the Term Loan A-2 facility. Additionally, at March 31, 2022, the Company was contingently obligated under letters of credit issued pursuant to the Amended Credit Facility with face amounts aggregating approximately $0.4 million, resulting in $1,174.6 million of available borrowing capacity under the Revolver as of March 31, 2022.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interest rates payable on the loans are, at the Company's option, equal to either a LIBOR rate or a base rate plus an applicable margin, which ranges from 1.0% to 2.0% per annum for LIBOR loans and 0.0% to 1.0% per annum for base rate loans, in each case, depending on the credit ratings assigned to the Amended Credit Facility. At March 31, 2022, the applicable margin was 1.50% for LIBOR loans and 0.50% for base rate loans. In addition, the Company is required to pay a commitment fee on the unused portion of the commitments under the Revolver at a rate that ranges from 0.15% to 0.35% per annum, depending on the credit ratings assigned to the Amended Credit Facility. At March 31, 2022, the commitment fee rate was 0.25%. The Company is not required to repay any loans under the Amended Credit Facility prior to maturity and may prepay all or any portion of the loans under the Amended Credit Facility prior to maturity without premium or penalty, subject to reimbursement of any LIBOR breakage costs of the lenders. The Company's wholly owned subsidiary, GLP Capital, is the primary obligor under the Amended Credit Facility, which is guaranteed by GLPI.</w:t>
      </w:r>
    </w:p>
    <w:p>
      <w:pPr>
        <w:spacing w:after="0" w:line="2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Amended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Amended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Amended Credit Facility will enable the lenders under the Amended Credit Facility to accelerate the loans and terminate the commitments thereunder. At March 31, 2022, the Company was in compliance with all required financial covenants under the Amended Credit Facility.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Unsecured Notes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2022, the Company had $6,175.0 million of outstanding senior unsecured notes (the "Senior Notes").</w:t>
      </w:r>
    </w:p>
    <w:p>
      <w:pPr>
        <w:spacing w:after="0" w:line="225"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The Senior Notes were issued by GLP Capital and GLP Financing II, Inc. (the "Issuers"), two wholly-owned subsidiaries of GLPI, both of which are consolidated by GLPI, and are guaranteed on a senior unsecured basis by GLPI which such guarantees are full and unconditional. The Senior Notes are the Issuers' senior unsecured obligations and rank pari passu in right of payment with all of the Issuers' senior indebtedness, including the Amended Credit Facility, and senior in right of payment to all of the Issuers' subordinated indebtedness, without giving effect to collateral arrangements. GLPI is not subject to any material or significant restrictions on its ability to obtain funds from its subsidiaries through dividends or loans or to transfer assets from such subsidiaries, except as provided by applicable law and the covenants listed below. None of GLPI's other subsidiaries guarantee the Senior Notes.</w:t>
      </w:r>
    </w:p>
    <w:p>
      <w:pPr>
        <w:spacing w:after="0" w:line="224"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Each of the Company's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91"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GLPI owns all of the assets of GLP Capital and conducts all of its operations through the operating partnership. Based on the amendments to Rule 3-10 of Regulation S-X that the Securities and Exchange Commission released on January 4, 2021, we note that since GLPI fully and unconditionally guarantees the debt securities of the Issuers and consolidates both Issuers, we are not required to provide separate financial statements for the Issuers and GLPI since they are consolidated into GLPI and the GLPI guarantee is “full and unconditional.”</w:t>
      </w:r>
    </w:p>
    <w:p>
      <w:pPr>
        <w:spacing w:after="0" w:line="208"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Furthermore, as permitted under Rule 13-01(a)(4)(vi), we excluded the summarized financial information for the Issuers because the assets, liabilities and results of operations of the Issuers and GLPI are not materially different than the corresponding amounts in GLPI’s consolidated financial statements and we believe such summarized financial information would be repetitive and would not provide incremental value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2022, the Company was in compliance with all required financial covenants under its Senior Notes.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Requirements</w:t>
      </w:r>
    </w:p>
    <w:p>
      <w:pPr>
        <w:spacing w:after="0" w:line="25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LIBOR Transition</w:t>
      </w:r>
    </w:p>
    <w:p>
      <w:pPr>
        <w:spacing w:after="0" w:line="254"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majority of our debt is at fixed rates and our exposure to variable interest rates is currently limited to our Revolver and our Term Loan A-2. Both of these debt instruments are indexed to LIBOR which is expected to be phased out through mid-2023. The discontinuance of LIBOR would affect our interest expense and earnings. The borrowings under our Amended Credit Facility will be subject to the expected LIBOR transition. LIBOR is currently expected to transition to a new standard rate, the Secured Overnight Financing Rate (“SOFR”). We are currently monitoring the transition and cannot be certain whether SOFR will become the standard rate for our variable rate debt.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Outlook</w:t>
      </w:r>
    </w:p>
    <w:p>
      <w:pPr>
        <w:spacing w:after="0" w:line="254"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Based on our current level of operations and anticipated earnings, we believe that cash generated from operations and cash on hand, together with amounts available under our Amended Credit Facility, will be adequate to meet our anticipated debt service requirements, the $150 million purchase price for the real estate of Bally's Black Hawk and Rock Island properties, capital expenditures, working capital needs and dividend requirements. Additionally, we anticipate the sale of the non-land real estate assets at Tropicana Las Vegas to Bally's will result in $150.0 million of proceeds.</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expect the majority of our future growth to come from acquisitions of gaming and other properties to lease to third parties. If we consummate significant acquisitions in the future, our cash requirements may increase significantly and we would likely need to raise additional proceeds through a combination of either common equity (including under our "at the market" offering program relating to our common stock), issuance of additional operating partnership units, and/or debt offerings. In addition, although we have no significant debt maturities in 2022, the Company intends to refinance its Amended Credit Facility and certain senior unsecured note obligations in advance of their maturity dates in 2023. Our future operating performance and our ability to service or refinance our debt will be subject to future economic conditions and to financial, business and other factors, many of which are beyond our control. See "Risk Factors-Risks Related to Our Capital Structure" in the Company's Annual Report on Form 10-K for a discussion of the risk related to our capital structure.</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GLPI’s primary market risk exposure is interest rate risk with respect to its indebtedness of $6,599.7 million at March 31, 2022. Furthermore, $6,175.0 million of our obligations at March 31, 2022 are the Senior Notes that have fixed interest rates with maturity dates ranging from approximately one and one-half years to nine and three-quarter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w:t>
      </w:r>
    </w:p>
    <w:p>
      <w:pPr>
        <w:spacing w:after="0" w:line="216"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table below provides information at March 31, 2022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LIBOR rates at March 31, 2022.</w:t>
      </w:r>
    </w:p>
    <w:p>
      <w:pPr>
        <w:spacing w:after="0" w:line="228"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7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9"/>
              </w:rPr>
              <w:t>04/01/22-</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1/01/23-</w:t>
            </w:r>
          </w:p>
        </w:tc>
        <w:tc>
          <w:tcPr>
            <w:tcW w:w="10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1/01/24-</w:t>
            </w:r>
          </w:p>
        </w:tc>
        <w:tc>
          <w:tcPr>
            <w:tcW w:w="10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1/01/25-</w:t>
            </w: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1/01/26-</w:t>
            </w:r>
          </w:p>
        </w:tc>
        <w:tc>
          <w:tcPr>
            <w:tcW w:w="11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90"/>
        </w:trPr>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10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12/31/24</w:t>
            </w: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12/31/25</w:t>
            </w: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12/31/26</w:t>
            </w:r>
          </w:p>
        </w:tc>
        <w:tc>
          <w:tcPr>
            <w:tcW w:w="11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3/31/2022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6350</wp:posOffset>
            </wp:positionV>
            <wp:extent cx="52978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97805" cy="8255"/>
                    </a:xfrm>
                    <a:prstGeom prst="rect">
                      <a:avLst/>
                    </a:prstGeom>
                    <a:noFill/>
                  </pic:spPr>
                </pic:pic>
              </a:graphicData>
            </a:graphic>
          </wp:anchor>
        </w:drawing>
      </w:r>
    </w:p>
    <w:p>
      <w:pPr>
        <w:ind w:left="61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9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7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5"/>
        </w:trPr>
        <w:tc>
          <w:tcPr>
            <w:tcW w:w="4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Fixed rate</w:t>
            </w:r>
          </w:p>
        </w:tc>
        <w:tc>
          <w:tcPr>
            <w:tcW w:w="9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500,000</w:t>
            </w:r>
          </w:p>
        </w:tc>
        <w:tc>
          <w:tcPr>
            <w:tcW w:w="26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400,000</w:t>
            </w:r>
          </w:p>
        </w:tc>
        <w:tc>
          <w:tcPr>
            <w:tcW w:w="26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850,000</w:t>
            </w:r>
          </w:p>
        </w:tc>
        <w:tc>
          <w:tcPr>
            <w:tcW w:w="26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975,000</w:t>
            </w:r>
          </w:p>
        </w:tc>
        <w:tc>
          <w:tcPr>
            <w:tcW w:w="26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3,450,000</w:t>
            </w:r>
          </w:p>
        </w:tc>
        <w:tc>
          <w:tcPr>
            <w:tcW w:w="300" w:type="dxa"/>
            <w:vAlign w:val="bottom"/>
            <w:tcBorders>
              <w:top w:val="single" w:sz="8" w:color="CCEEFF"/>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6,175,000</w:t>
            </w:r>
          </w:p>
        </w:tc>
        <w:tc>
          <w:tcPr>
            <w:tcW w:w="420" w:type="dxa"/>
            <w:vAlign w:val="bottom"/>
            <w:tcBorders>
              <w:top w:val="single" w:sz="8" w:color="CCEEFF"/>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6,186,270</w:t>
            </w:r>
          </w:p>
        </w:tc>
      </w:tr>
      <w:tr>
        <w:trPr>
          <w:trHeight w:val="210"/>
        </w:trPr>
        <w:tc>
          <w:tcPr>
            <w:tcW w:w="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Average interest rate</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5.38%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3.35%</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5.25%</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5.38%</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4.36%</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4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Variable rate</w:t>
            </w:r>
          </w:p>
        </w:tc>
        <w:tc>
          <w:tcPr>
            <w:tcW w:w="7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424,019</w:t>
            </w:r>
          </w:p>
        </w:tc>
        <w:tc>
          <w:tcPr>
            <w:tcW w:w="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424,019</w:t>
            </w:r>
          </w:p>
        </w:tc>
        <w:tc>
          <w:tcPr>
            <w:tcW w:w="42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424,019</w:t>
            </w:r>
          </w:p>
        </w:tc>
      </w:tr>
      <w:tr>
        <w:trPr>
          <w:trHeight w:val="246"/>
        </w:trPr>
        <w:tc>
          <w:tcPr>
            <w:tcW w:w="40" w:type="dxa"/>
            <w:vAlign w:val="bottom"/>
          </w:tcPr>
          <w:p>
            <w:pPr>
              <w:spacing w:after="0"/>
              <w:rPr>
                <w:sz w:val="21"/>
                <w:szCs w:val="21"/>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Average interest rate </w:t>
            </w:r>
            <w:r>
              <w:rPr>
                <w:rFonts w:ascii="Times New Roman" w:cs="Times New Roman" w:eastAsia="Times New Roman" w:hAnsi="Times New Roman"/>
                <w:sz w:val="18"/>
                <w:szCs w:val="18"/>
                <w:color w:val="auto"/>
                <w:vertAlign w:val="superscript"/>
              </w:rPr>
              <w:t>(1)</w:t>
            </w: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4.71%</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139"/>
        </w:trPr>
        <w:tc>
          <w:tcPr>
            <w:tcW w:w="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r>
    </w:tbl>
    <w:p>
      <w:pPr>
        <w:spacing w:after="0" w:line="324" w:lineRule="exact"/>
        <w:rPr>
          <w:sz w:val="20"/>
          <w:szCs w:val="20"/>
          <w:color w:val="auto"/>
        </w:rPr>
      </w:pPr>
    </w:p>
    <w:p>
      <w:pPr>
        <w:ind w:right="280" w:firstLine="8"/>
        <w:spacing w:after="0" w:line="225" w:lineRule="auto"/>
        <w:tabs>
          <w:tab w:leader="none" w:pos="554"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Estimated rate, reflective of forward LIBOR plus the spread over LIBOR applicable to variable-rate borrowing. For considerations surrounding the phase out of LIBOR, refer to the discussion under the heading "Liquidity and Capital Resources" in this Form 10-Q.</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Controls and Procedures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March 31, 2022,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March 31, 2022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Information in response to this Item is incorporated by reference to the information set forth in "Note 11: Commitments and Contingencies" in the Notes to the condensed consolidated financial statements in Part I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Risk factors that affect our business and financial results are discussed in Part I, "Item 1A. Risk Factors," of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 There have been no material changes in our risk factors from those previously disclosed in our Annual Report.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repurchase any shares of common stock or sell any unregistered securities during the three months ended March 31,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69"/>
        </w:trPr>
        <w:tc>
          <w:tcPr>
            <w:tcW w:w="11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auto"/>
              </w:rPr>
              <w:t>Form of Director Restricted Stock Award under the Gaming and Leisure Properties, Inc. Second Amended and Restated 2013 Long-</w:t>
            </w:r>
          </w:p>
        </w:tc>
      </w:tr>
      <w:tr>
        <w:trPr>
          <w:trHeight w:val="184"/>
        </w:trPr>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Term Incentive Compensation Plan for Awards Issued after January 1, 2022. (incorporated by reference to Exhibit 10.33 to the</w:t>
            </w:r>
          </w:p>
        </w:tc>
      </w:tr>
      <w:tr>
        <w:trPr>
          <w:trHeight w:val="230"/>
        </w:trPr>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Company's current report on Form 10-K filed on February 24, 2022).</w:t>
            </w:r>
          </w:p>
        </w:tc>
      </w:tr>
      <w:tr>
        <w:trPr>
          <w:trHeight w:val="180"/>
        </w:trPr>
        <w:tc>
          <w:tcPr>
            <w:tcW w:w="11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Form of Restricted Stock Performance Award NNN under the Gaming and Leisure Properties, Inc. Second Amended and Restated</w:t>
            </w:r>
          </w:p>
        </w:tc>
      </w:tr>
      <w:tr>
        <w:trPr>
          <w:trHeight w:val="184"/>
        </w:trPr>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2013 Long-Term Incentive Compensation Plan for Awards issued in 2022. (incorporated by reference to Exhibit 10.38 to the</w:t>
            </w:r>
          </w:p>
        </w:tc>
      </w:tr>
      <w:tr>
        <w:trPr>
          <w:trHeight w:val="229"/>
        </w:trPr>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Company's current report on Form 10-K filed on February 24, 2022).</w:t>
            </w:r>
          </w:p>
        </w:tc>
      </w:tr>
      <w:tr>
        <w:trPr>
          <w:trHeight w:val="194"/>
        </w:trPr>
        <w:tc>
          <w:tcPr>
            <w:tcW w:w="11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22.1 *</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rPr>
              <w:t>List of Subsidiary Issuers of Guaranteed Securities</w:t>
            </w: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Principal Executive Officer and Principal Financial Officer Certification pursuant to Rule 13a-14(a) or 15d-14(a) of the Securities</w:t>
            </w:r>
          </w:p>
        </w:tc>
      </w:tr>
      <w:tr>
        <w:trPr>
          <w:trHeight w:val="156"/>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Exchange Act of 1934.</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Principal Executive Officer and Principal Financial Officer Certification pursuant to 18 U.S.C. Section 1350, as adopted pursuant to</w:t>
            </w:r>
          </w:p>
        </w:tc>
      </w:tr>
      <w:tr>
        <w:trPr>
          <w:trHeight w:val="155"/>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Section 906 of the Sarbanes- Oxley Act of 2002.</w:t>
            </w:r>
          </w:p>
        </w:tc>
        <w:tc>
          <w:tcPr>
            <w:tcW w:w="24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6" w:lineRule="exact"/>
        <w:rPr>
          <w:sz w:val="20"/>
          <w:szCs w:val="20"/>
          <w:color w:val="auto"/>
        </w:rPr>
      </w:pPr>
    </w:p>
    <w:p>
      <w:pPr>
        <w:ind w:left="1400" w:right="100" w:hanging="940"/>
        <w:spacing w:after="0" w:line="229" w:lineRule="auto"/>
        <w:tabs>
          <w:tab w:leader="none" w:pos="1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Gaming and Leisure Properties, Inc.'s Quarterly Report on Form 10-Q for the quarter ended March 31, 2022, formatted in Inline XBRL: (i) Condensed Consolidated Balance Sheets, ii) Condensed Consolidated Statements of Income, (iii) Condensed Consolidated Statements of Changes in Equity, (iv) Condensed Consolidated Statements of Cash Flows and</w:t>
      </w:r>
    </w:p>
    <w:p>
      <w:pPr>
        <w:ind w:left="1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Notes to the Condensed Consolidated Financial Statements.</w:t>
      </w:r>
    </w:p>
    <w:p>
      <w:pPr>
        <w:spacing w:after="0" w:line="7" w:lineRule="exact"/>
        <w:rPr>
          <w:sz w:val="20"/>
          <w:szCs w:val="20"/>
          <w:color w:val="auto"/>
        </w:rPr>
      </w:pPr>
    </w:p>
    <w:p>
      <w:pPr>
        <w:ind w:left="1400" w:right="80" w:hanging="940"/>
        <w:spacing w:after="0" w:line="234" w:lineRule="auto"/>
        <w:tabs>
          <w:tab w:leader="none" w:pos="14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March 31, 2022, formatted in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35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Filed herewith</w:t>
      </w:r>
    </w:p>
    <w:p>
      <w:pPr>
        <w:spacing w:after="0" w:line="38"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-508000</wp:posOffset>
            </wp:positionV>
            <wp:extent cx="170561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720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GAMING AND LEISURE PROPERTIES, INC.</w:t>
            </w:r>
          </w:p>
        </w:tc>
      </w:tr>
      <w:tr>
        <w:trPr>
          <w:trHeight w:val="41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April 29, 2022</w:t>
            </w:r>
          </w:p>
        </w:tc>
        <w:tc>
          <w:tcPr>
            <w:tcW w:w="27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PETER M. CARLINO</w:t>
            </w:r>
          </w:p>
        </w:tc>
        <w:tc>
          <w:tcPr>
            <w:tcW w:w="2560" w:type="dxa"/>
            <w:vAlign w:val="bottom"/>
          </w:tcPr>
          <w:p>
            <w:pPr>
              <w:spacing w:after="0"/>
              <w:rPr>
                <w:sz w:val="24"/>
                <w:szCs w:val="24"/>
                <w:color w:val="auto"/>
              </w:rPr>
            </w:pPr>
          </w:p>
        </w:tc>
      </w:tr>
      <w:tr>
        <w:trPr>
          <w:trHeight w:val="243"/>
        </w:trPr>
        <w:tc>
          <w:tcPr>
            <w:tcW w:w="31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M. Carlino</w:t>
            </w:r>
          </w:p>
        </w:tc>
      </w:tr>
      <w:tr>
        <w:trPr>
          <w:trHeight w:val="229"/>
        </w:trPr>
        <w:tc>
          <w:tcPr>
            <w:tcW w:w="31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Chairman of the Board and Chief Executive Officer</w:t>
            </w:r>
          </w:p>
        </w:tc>
      </w:tr>
      <w:tr>
        <w:trPr>
          <w:trHeight w:val="236"/>
        </w:trPr>
        <w:tc>
          <w:tcPr>
            <w:tcW w:w="31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 and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20"/>
          </w:cols>
          <w:pgMar w:left="320" w:top="126" w:right="65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Exhibit 22.1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List of Subsidiary Issuers of Guaranteed Securities</w:t>
      </w:r>
    </w:p>
    <w:p>
      <w:pPr>
        <w:spacing w:after="0" w:line="156"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21"/>
          <w:szCs w:val="21"/>
          <w:color w:val="auto"/>
        </w:rPr>
        <w:t>The following subsidiaries of Gaming and Leisure Properties, Inc. (the “Company”) were, as of March 31, 2022, issuers of the (i) $500 million 5.375% senior unsecured notes due November 2023, (ii) $400 million 3.35% senior unsecured notes due September 2024, (iii) $850 million 5.25% senior unsecured notes due June 2025, (iv) $975 million 5.375% senior unsecured notes due April 2026, (v) $500 million 5.75% senior unsecured notes due June 2028, (vi) $750 million 5.30% senior unsecured notes due January 2029, (vii) $700 million 4.00% senior unsecured notes due January 2030, (viii) $700 million 4.000% senior unsecured notes due January 2031, (vix) $800 million 3.25% senior unsecured notes due January 2032, each guaranteed by the Company:</w:t>
      </w:r>
    </w:p>
    <w:tbl>
      <w:tblPr>
        <w:tblLayout w:type="fixed"/>
        <w:tblInd w:w="10" w:type="dxa"/>
        <w:tblCellMar>
          <w:top w:w="0" w:type="dxa"/>
          <w:left w:w="0" w:type="dxa"/>
          <w:bottom w:w="0" w:type="dxa"/>
          <w:right w:w="0" w:type="dxa"/>
        </w:tblCellMar>
      </w:tblPr>
      <w:tr>
        <w:trPr>
          <w:trHeight w:val="264"/>
        </w:trPr>
        <w:tc>
          <w:tcPr>
            <w:tcW w:w="5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Entity</w:t>
            </w:r>
          </w:p>
        </w:tc>
        <w:tc>
          <w:tcPr>
            <w:tcW w:w="55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Jurisdiction of Incorporation or Formation</w:t>
            </w:r>
          </w:p>
        </w:tc>
      </w:tr>
      <w:tr>
        <w:trPr>
          <w:trHeight w:val="263"/>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GLP Capital, L.P.</w:t>
            </w:r>
          </w:p>
        </w:tc>
        <w:tc>
          <w:tcPr>
            <w:tcW w:w="5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Pennsylvania</w:t>
            </w:r>
          </w:p>
        </w:tc>
      </w:tr>
      <w:tr>
        <w:trPr>
          <w:trHeight w:val="263"/>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GLP Financing II, Inc.</w:t>
            </w:r>
          </w:p>
        </w:tc>
        <w:tc>
          <w:tcPr>
            <w:tcW w:w="5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Delaware</w:t>
            </w:r>
          </w:p>
        </w:tc>
      </w:tr>
    </w:tbl>
    <w:p>
      <w:pPr>
        <w:sectPr>
          <w:pgSz w:w="11900" w:h="16838" w:orient="portrait"/>
          <w:cols w:equalWidth="0" w:num="1">
            <w:col w:w="11240"/>
          </w:cols>
          <w:pgMar w:left="320" w:top="1418"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M. Carlino, certify that:</w:t>
      </w:r>
    </w:p>
    <w:p>
      <w:pPr>
        <w:spacing w:after="0" w:line="225" w:lineRule="exact"/>
        <w:rPr>
          <w:sz w:val="20"/>
          <w:szCs w:val="20"/>
          <w:color w:val="auto"/>
        </w:rPr>
      </w:pPr>
    </w:p>
    <w:p>
      <w:pPr>
        <w:ind w:left="680" w:hanging="672"/>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Gaming and Leisure Properties, Inc.;</w:t>
      </w:r>
    </w:p>
    <w:p>
      <w:pPr>
        <w:spacing w:after="0" w:line="225" w:lineRule="exact"/>
        <w:rPr>
          <w:rFonts w:ascii="Times New Roman" w:cs="Times New Roman" w:eastAsia="Times New Roman" w:hAnsi="Times New Roman"/>
          <w:sz w:val="18"/>
          <w:szCs w:val="18"/>
          <w:color w:val="auto"/>
        </w:rPr>
      </w:pPr>
    </w:p>
    <w:p>
      <w:pPr>
        <w:ind w:right="80" w:firstLine="8"/>
        <w:spacing w:after="0" w:line="282" w:lineRule="auto"/>
        <w:tabs>
          <w:tab w:leader="none" w:pos="67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82" w:lineRule="auto"/>
        <w:tabs>
          <w:tab w:leader="none" w:pos="67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67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ind w:firstLine="656"/>
        <w:spacing w:after="0" w:line="266" w:lineRule="auto"/>
        <w:tabs>
          <w:tab w:leader="none" w:pos="132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right="40" w:firstLine="656"/>
        <w:spacing w:after="0" w:line="266" w:lineRule="auto"/>
        <w:tabs>
          <w:tab w:leader="none" w:pos="103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20" w:firstLine="656"/>
        <w:spacing w:after="0" w:line="282" w:lineRule="auto"/>
        <w:tabs>
          <w:tab w:leader="none" w:pos="131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00" w:firstLine="656"/>
        <w:spacing w:after="0" w:line="266" w:lineRule="auto"/>
        <w:tabs>
          <w:tab w:leader="none" w:pos="131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700" w:firstLine="8"/>
        <w:spacing w:after="0" w:line="282" w:lineRule="auto"/>
        <w:tabs>
          <w:tab w:leader="none" w:pos="67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420" w:firstLine="656"/>
        <w:spacing w:after="0" w:line="282" w:lineRule="auto"/>
        <w:tabs>
          <w:tab w:leader="none" w:pos="132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00" w:firstLine="656"/>
        <w:spacing w:after="0" w:line="282" w:lineRule="auto"/>
        <w:tabs>
          <w:tab w:leader="none" w:pos="133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2022</w:t>
            </w: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Peter M. Carlino</w:t>
            </w:r>
          </w:p>
        </w:tc>
        <w:tc>
          <w:tcPr>
            <w:tcW w:w="2600" w:type="dxa"/>
            <w:vAlign w:val="bottom"/>
          </w:tcPr>
          <w:p>
            <w:pPr>
              <w:spacing w:after="0"/>
              <w:rPr>
                <w:sz w:val="18"/>
                <w:szCs w:val="18"/>
                <w:color w:val="auto"/>
              </w:rPr>
            </w:pPr>
          </w:p>
        </w:tc>
      </w:tr>
      <w:tr>
        <w:trPr>
          <w:trHeight w:val="243"/>
        </w:trPr>
        <w:tc>
          <w:tcPr>
            <w:tcW w:w="6520" w:type="dxa"/>
            <w:vAlign w:val="bottom"/>
          </w:tcPr>
          <w:p>
            <w:pPr>
              <w:spacing w:after="0"/>
              <w:rPr>
                <w:sz w:val="21"/>
                <w:szCs w:val="21"/>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Peter M. Carlino</w:t>
            </w:r>
          </w:p>
        </w:tc>
      </w:tr>
      <w:tr>
        <w:trPr>
          <w:trHeight w:val="236"/>
        </w:trPr>
        <w:tc>
          <w:tcPr>
            <w:tcW w:w="652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Chief Executive Officer and Principal Financial Officer</w:t>
            </w:r>
          </w:p>
        </w:tc>
      </w:tr>
    </w:tbl>
    <w:p>
      <w:pPr>
        <w:sectPr>
          <w:pgSz w:w="11900" w:h="16838" w:orient="portrait"/>
          <w:cols w:equalWidth="0" w:num="1">
            <w:col w:w="11240"/>
          </w:cols>
          <w:pgMar w:left="320" w:top="88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Gaming and Leisure Properties, Inc. (the “Company”) on Form 10-Q for the quarter ended March 31, 2022, as filed with the Securities and Exchange Commission on the date hereof (the “Report”), I, Peter M. Carlino, Chief Executive Officer and Principal Financial Officer of the Company, certify, pursuant to Section 906 of the Sarbanes-Oxley Act of 2002, 18 U.S.C. Section 1350, that, to my knowledge:</w:t>
      </w:r>
    </w:p>
    <w:p>
      <w:pPr>
        <w:spacing w:after="0" w:line="176" w:lineRule="exact"/>
        <w:rPr>
          <w:sz w:val="20"/>
          <w:szCs w:val="20"/>
          <w:color w:val="auto"/>
        </w:rPr>
      </w:pPr>
    </w:p>
    <w:p>
      <w:pPr>
        <w:ind w:left="1340" w:hanging="684"/>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Peter M. Carlino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Peter M. Carlino</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 and Principal Financial Officer</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Date: April 29, 2022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endash "/>
      <w:numFmt w:val="bullet"/>
      <w:start w:val="1"/>
    </w:lvl>
  </w:abstractNum>
  <w:abstractNum w:abstractNumId="5">
    <w:nsid w:val="1BEFD79F"/>
    <w:multiLevelType w:val="hybridMultilevel"/>
    <w:lvl w:ilvl="0">
      <w:lvlJc w:val="left"/>
      <w:lvlText w:val="&amp;"/>
      <w:numFmt w:val="bullet"/>
      <w:start w:val="1"/>
    </w:lvl>
  </w:abstractNum>
  <w:abstractNum w:abstractNumId="6">
    <w:nsid w:val="41A7C4C9"/>
    <w:multiLevelType w:val="hybridMultilevel"/>
    <w:lvl w:ilvl="0">
      <w:lvlJc w:val="left"/>
      <w:lvlText w:val="%1."/>
      <w:numFmt w:val="decimal"/>
      <w:start w:val="7"/>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0"/>
    </w:lvl>
  </w:abstractNum>
  <w:abstractNum w:abstractNumId="10">
    <w:nsid w:val="519B500D"/>
    <w:multiLevelType w:val="hybridMultilevel"/>
    <w:lvl w:ilvl="0">
      <w:lvlJc w:val="left"/>
      <w:lvlText w:val="%1."/>
      <w:numFmt w:val="decimal"/>
      <w:start w:val="11"/>
    </w:lvl>
  </w:abstractNum>
  <w:abstractNum w:abstractNumId="11">
    <w:nsid w:val="431BD7B7"/>
    <w:multiLevelType w:val="hybridMultilevel"/>
    <w:lvl w:ilvl="0">
      <w:lvlJc w:val="left"/>
      <w:lvlText w:val="(%1)"/>
      <w:numFmt w:val="decimal"/>
      <w:start w:val="2"/>
    </w:lvl>
  </w:abstractNum>
  <w:abstractNum w:abstractNumId="12">
    <w:nsid w:val="3F2DBA31"/>
    <w:multiLevelType w:val="hybridMultilevel"/>
    <w:lvl w:ilvl="0">
      <w:lvlJc w:val="left"/>
      <w:lvlText w:val="%1."/>
      <w:numFmt w:val="decimal"/>
      <w:start w:val="15"/>
    </w:lvl>
  </w:abstractNum>
  <w:abstractNum w:abstractNumId="13">
    <w:nsid w:val="7C83E458"/>
    <w:multiLevelType w:val="hybridMultilevel"/>
    <w:lvl w:ilvl="0">
      <w:lvlJc w:val="left"/>
      <w:lvlText w:val="&amp;"/>
      <w:numFmt w:val="bullet"/>
      <w:start w:val="1"/>
    </w:lvl>
  </w:abstractNum>
  <w:abstractNum w:abstractNumId="14">
    <w:nsid w:val="257130A3"/>
    <w:multiLevelType w:val="hybridMultilevel"/>
    <w:lvl w:ilvl="0">
      <w:lvlJc w:val="left"/>
      <w:lvlText w:val="\endash "/>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01"/>
    </w:lvl>
  </w:abstractNum>
  <w:abstractNum w:abstractNumId="20">
    <w:nsid w:val="2443A858"/>
    <w:multiLevelType w:val="hybridMultilevel"/>
    <w:lvl w:ilvl="0">
      <w:lvlJc w:val="left"/>
      <w:lvlText w:val="*"/>
      <w:numFmt w:val="bullet"/>
      <w:start w:val="1"/>
    </w:lvl>
    <w:lvl w:ilvl="1">
      <w:lvlJc w:val="left"/>
      <w:lvlText w:val="%2"/>
      <w:numFmt w:val="decimal"/>
      <w:start w:val="104"/>
    </w:lvl>
  </w:abstractNum>
  <w:abstractNum w:abstractNumId="21">
    <w:nsid w:val="2D1D5AE9"/>
    <w:multiLevelType w:val="hybridMultilevel"/>
    <w:lvl w:ilvl="0">
      <w:lvlJc w:val="left"/>
      <w:lvlText w:val="**"/>
      <w:numFmt w:val="bullet"/>
      <w:start w:val="1"/>
    </w:lvl>
    <w:lvl w:ilvl="1">
      <w:lvlJc w:val="left"/>
      <w:lvlText w:val="%2"/>
      <w:numFmt w:val="decimal"/>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2022-04-28T16:56:09Z</dcterms:created>
  <dcterms:modified xsi:type="dcterms:W3CDTF">2022-04-28T16:56:09Z</dcterms:modified>
</cp:coreProperties>
</file>