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7/31/2026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Gaming and Leisure Properties,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453" w:type="dxa"/>
        <w:jc w:val="left"/>
        <w:tblInd w:w="0" w:type="dxa"/>
        <w:tblLayout w:type="fixed"/>
        <w:tblCellMar>
          <w:top w:w="28" w:type="dxa"/>
          <w:left w:w="28" w:type="dxa"/>
          <w:bottom w:w="28" w:type="dxa"/>
          <w:right w:w="28" w:type="dxa"/>
        </w:tblCellMar>
      </w:tblPr>
      <w:tblGrid>
        <w:gridCol w:w="946"/>
        <w:gridCol w:w="830"/>
        <w:gridCol w:w="834"/>
        <w:gridCol w:w="109"/>
        <w:gridCol w:w="109"/>
        <w:gridCol w:w="109"/>
        <w:gridCol w:w="762"/>
        <w:gridCol w:w="762"/>
        <w:gridCol w:w="770"/>
        <w:gridCol w:w="109"/>
        <w:gridCol w:w="109"/>
        <w:gridCol w:w="109"/>
        <w:gridCol w:w="845"/>
        <w:gridCol w:w="845"/>
        <w:gridCol w:w="1205"/>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46-2116489</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845 Berkshire Blvd., Suite 200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Wyomissing, PA 19610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610-401-2900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63" w:type="dxa"/>
        <w:jc w:val="center"/>
        <w:tblInd w:w="0" w:type="dxa"/>
        <w:tblLayout w:type="fixed"/>
        <w:tblCellMar>
          <w:top w:w="28" w:type="dxa"/>
          <w:left w:w="28" w:type="dxa"/>
          <w:bottom w:w="28" w:type="dxa"/>
          <w:right w:w="28" w:type="dxa"/>
        </w:tblCellMar>
      </w:tblPr>
      <w:tblGrid>
        <w:gridCol w:w="1225"/>
        <w:gridCol w:w="1076"/>
        <w:gridCol w:w="1089"/>
        <w:gridCol w:w="109"/>
        <w:gridCol w:w="109"/>
        <w:gridCol w:w="109"/>
        <w:gridCol w:w="564"/>
        <w:gridCol w:w="564"/>
        <w:gridCol w:w="566"/>
        <w:gridCol w:w="109"/>
        <w:gridCol w:w="109"/>
        <w:gridCol w:w="109"/>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9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GLPI</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ind w:left="0" w:right="0" w:firstLine="7200"/>
        <w:jc w:val="left"/>
        <w:rPr/>
      </w:pPr>
      <w:r>
        <w:rPr/>
      </w:r>
    </w:p>
    <w:p>
      <w:pPr>
        <w:pStyle w:val="TextBody"/>
        <w:bidi w:val="0"/>
        <w:spacing w:lineRule="auto" w:line="288" w:before="0" w:after="0"/>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30, 2026, Gaming and Leisure Properties, Inc. issued a press release announcing its financial results for the three and six months ended June 30, 2026.  A copy of the press release is attached hereto as Exhibit 99.1 and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is being furnished pursuant to Item 2.02 and shall not be deemed to be “filed” for the purposes of Section 18 of the Securities Exchange Act of 1934, as amended (the “Exchange Act”), or otherwise subject to the liabilities of that section and shall not be incorporated by reference into any filing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color w:val="000000"/>
          <w:sz w:val="20"/>
        </w:rPr>
        <w:t>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931"/>
        <w:gridCol w:w="2916"/>
        <w:gridCol w:w="2952"/>
        <w:gridCol w:w="109"/>
        <w:gridCol w:w="109"/>
        <w:gridCol w:w="15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6630ex991final.htm">
              <w:r>
                <w:rPr>
                  <w:rStyle w:val="InternetLink"/>
                  <w:rFonts w:ascii="Times New Roman;serif" w:hAnsi="Times New Roman;serif"/>
                  <w:b w:val="false"/>
                  <w:color w:val="0000FF"/>
                  <w:sz w:val="20"/>
                  <w:u w:val="single"/>
                </w:rPr>
                <w:t>Gaming and Leisure Properties, Inc. Earnings Press Release, dated July 30, 2026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uarterlysupplementalq22.htm">
              <w:r>
                <w:rPr>
                  <w:rStyle w:val="InternetLink"/>
                  <w:rFonts w:ascii="Times New Roman;serif" w:hAnsi="Times New Roman;serif"/>
                  <w:b w:val="false"/>
                  <w:color w:val="0000FF"/>
                  <w:sz w:val="20"/>
                  <w:u w:val="single"/>
                </w:rPr>
                <w:t>Supplemental Financial Information, Second Quarter Ended June 30, 2026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Current Report on Form 8-K, dated July 31, 2026, formatted in Inline XBRL.</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6770" w:type="dxa"/>
        <w:jc w:val="left"/>
        <w:tblInd w:w="0" w:type="dxa"/>
        <w:tblLayout w:type="fixed"/>
        <w:tblCellMar>
          <w:top w:w="28" w:type="dxa"/>
          <w:left w:w="28" w:type="dxa"/>
          <w:bottom w:w="28" w:type="dxa"/>
          <w:right w:w="28" w:type="dxa"/>
        </w:tblCellMar>
      </w:tblPr>
      <w:tblGrid>
        <w:gridCol w:w="656"/>
        <w:gridCol w:w="576"/>
        <w:gridCol w:w="582"/>
        <w:gridCol w:w="602"/>
        <w:gridCol w:w="602"/>
        <w:gridCol w:w="602"/>
        <w:gridCol w:w="920"/>
        <w:gridCol w:w="920"/>
        <w:gridCol w:w="131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31, 2026</w:t>
            </w:r>
          </w:p>
        </w:tc>
        <w:tc>
          <w:tcPr>
            <w:tcW w:w="4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AND LEISURE PROPERTIES,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Desiree A. Burke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Desiree A. Burke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drawing>
          <wp:inline distT="0" distB="0" distL="0" distR="0">
            <wp:extent cx="2562225"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62225" cy="504825"/>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REPORTS RECORD SECOND QUARTER RESULTS AND UPDATES 2026 FULL YEAR GUIDANCE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WYOMISSING, PA — July 30, 2026</w:t>
      </w:r>
      <w:r>
        <w:rPr>
          <w:color w:val="000000"/>
        </w:rPr>
        <w:t xml:space="preserve"> — </w:t>
      </w:r>
      <w:r>
        <w:rPr>
          <w:rFonts w:ascii="Times New Roman;serif" w:hAnsi="Times New Roman;serif"/>
          <w:b w:val="false"/>
          <w:color w:val="000000"/>
          <w:sz w:val="20"/>
        </w:rPr>
        <w:t>Gaming and Leisure Properties, Inc. (NASDAQ: GLPI) (“GLPI” or the “Company”) today announced financial results for the quarter ended June 30, 2026.</w:t>
      </w:r>
    </w:p>
    <w:p>
      <w:pPr>
        <w:pStyle w:val="TextBody"/>
        <w:bidi w:val="0"/>
        <w:spacing w:before="0" w:after="0"/>
        <w:jc w:val="left"/>
        <w:rPr/>
      </w:pPr>
      <w:r>
        <w:rPr/>
      </w:r>
    </w:p>
    <w:p>
      <w:pPr>
        <w:pStyle w:val="TextBody"/>
        <w:bidi w:val="0"/>
        <w:spacing w:lineRule="auto" w:line="244" w:before="0" w:after="0"/>
        <w:jc w:val="left"/>
        <w:rPr>
          <w:rFonts w:ascii="Times New Roman;serif" w:hAnsi="Times New Roman;serif"/>
          <w:b/>
          <w:color w:val="000000"/>
          <w:sz w:val="20"/>
          <w:u w:val="single"/>
        </w:rPr>
      </w:pPr>
      <w:r>
        <w:rPr>
          <w:rFonts w:ascii="Times New Roman;serif" w:hAnsi="Times New Roman;serif"/>
          <w:b/>
          <w:color w:val="000000"/>
          <w:sz w:val="20"/>
          <w:u w:val="single"/>
        </w:rPr>
        <w:t>Financial Highlights</w:t>
      </w:r>
    </w:p>
    <w:p>
      <w:pPr>
        <w:pStyle w:val="TextBody"/>
        <w:bidi w:val="0"/>
        <w:spacing w:lineRule="auto" w:line="288" w:before="0" w:after="0"/>
        <w:jc w:val="left"/>
        <w:rPr>
          <w:color w:val="000000"/>
        </w:rPr>
      </w:pPr>
      <w:r>
        <w:rPr>
          <w:color w:val="000000"/>
        </w:rPr>
        <w:t> </w:t>
      </w:r>
    </w:p>
    <w:tbl>
      <w:tblPr>
        <w:tblW w:w="8929" w:type="dxa"/>
        <w:jc w:val="left"/>
        <w:tblInd w:w="0" w:type="dxa"/>
        <w:tblLayout w:type="fixed"/>
        <w:tblCellMar>
          <w:top w:w="28" w:type="dxa"/>
          <w:left w:w="28" w:type="dxa"/>
          <w:bottom w:w="28" w:type="dxa"/>
          <w:right w:w="28" w:type="dxa"/>
        </w:tblCellMar>
      </w:tblPr>
      <w:tblGrid>
        <w:gridCol w:w="1739"/>
        <w:gridCol w:w="1528"/>
        <w:gridCol w:w="1532"/>
        <w:gridCol w:w="109"/>
        <w:gridCol w:w="109"/>
        <w:gridCol w:w="109"/>
        <w:gridCol w:w="336"/>
        <w:gridCol w:w="982"/>
        <w:gridCol w:w="432"/>
        <w:gridCol w:w="173"/>
        <w:gridCol w:w="173"/>
        <w:gridCol w:w="173"/>
        <w:gridCol w:w="173"/>
        <w:gridCol w:w="109"/>
        <w:gridCol w:w="211"/>
        <w:gridCol w:w="616"/>
        <w:gridCol w:w="271"/>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4"/>
            <w:tcBorders/>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FFO </w:t>
            </w:r>
            <w:r>
              <w:rPr>
                <w:rFonts w:ascii="Times New Roman;serif" w:hAnsi="Times New Roman;serif"/>
                <w:b/>
                <w:color w:val="000000"/>
                <w:sz w:val="13"/>
              </w:rPr>
              <w:t>(1)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AFFO </w:t>
            </w:r>
            <w:r>
              <w:rPr>
                <w:rFonts w:ascii="Times New Roman;serif" w:hAnsi="Times New Roman;serif"/>
                <w:b/>
                <w:color w:val="000000"/>
                <w:sz w:val="13"/>
              </w:rPr>
              <w:t>(2)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Adjusted EBITDA </w:t>
            </w:r>
            <w:r>
              <w:rPr>
                <w:rFonts w:ascii="Times New Roman;serif" w:hAnsi="Times New Roman;serif"/>
                <w:b/>
                <w:color w:val="000000"/>
                <w:sz w:val="13"/>
              </w:rPr>
              <w:t>(3)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per diluted common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FFO, per diluted common share and OP/LTIP units </w:t>
            </w:r>
            <w:r>
              <w:rPr>
                <w:rFonts w:ascii="Times New Roman;serif" w:hAnsi="Times New Roman;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AFFO, per diluted common share and OP/LTIP units </w:t>
            </w:r>
            <w:r>
              <w:rPr>
                <w:rFonts w:ascii="Times New Roman;serif" w:hAnsi="Times New Roman;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Annualized dividend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 yield based on period end 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Funds from Operations ("FFO") is net income, excluding (gains) or losses from dispositions of property and real estate depreciation as defined by NAREIT.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Adjusted Funds From Operations ("AFFO") is FFO, excluding, as applicable to the particular period, stock-based compensation expense; the amortization of debt issuance costs, bond premiums and original issuance discounts; other depreciation; amortization of land rights; accretion on investment in leases; non-cash adjustments to financing lease liabilities; straight-line rent and deferred rent adjustments; losses on debt extinguishment and other financing costs; severance charges; capitalized interest; and provision (benefit) for credit losses, net, reduced by capital maintenance expenditures.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Adjusted EBITDA is net income, excluding, as applicable to the particular period, interest, net; income tax expense; real estate depreciation; other depreciation; (gains) or losses from dispositions of property; stock-based compensation expense; straight-line rent and deferred rent adjustments; amortization of land rights; accretion on investment in leases; non-cash adjustments to financing lease liabilities; losses on debt extinguishment and other financing costs; severance charges; and provision (benefit) for credit losses,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Metrics are presented assuming full conversion of limited partnership units to common shares and therefore before the effect on net income attributable to noncontrolling interests.</w:t>
      </w:r>
    </w:p>
    <w:p>
      <w:pPr>
        <w:pStyle w:val="TextBody"/>
        <w:bidi w:val="0"/>
        <w:spacing w:before="0" w:after="0"/>
        <w:ind w:left="0" w:right="0" w:firstLine="720"/>
        <w:jc w:val="both"/>
        <w:rPr/>
      </w:pPr>
      <w:r>
        <w:rPr/>
      </w:r>
    </w:p>
    <w:p>
      <w:pPr>
        <w:pStyle w:val="TextBody"/>
        <w:bidi w:val="0"/>
        <w:spacing w:lineRule="auto" w:line="26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Peter Carlino, Chairman and Chief Executive Officer of GLPI, commented, "Our second quarter results marked another period of record revenue, AFFO and Adjusted EBITDA. On an operating basis, second quarter total revenue rose 9.0% to $430.5 million, AFFO grew 10.1% to $304.0 million, and Adjusted EBITDA increased 12.2% to $405.5 million. The record results highlight GLPI’s unmatched ability to structure complex transactions and deliver creative funding solutions for quality tenants, while maintaining structurally strong lease coverage, an output of our disciplined underwriting approach. Recent acquisitions and an expanding base of leading regional gaming operators and tribal relationships are fueling our pipeline, while financial flexibility remains a core tenet of the Company. Reflecting this momentum, we raised the midpoint of our 2026 AFFO per share guidance, as we are now forecasting a range of $4.10 to $4.12. During the quarter, we also raised our quarterly </w:t>
      </w: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dividend to $0.82 per share, marking a 5.1% increase over the prior $0.78 dividend per share. As of June 30, 2026, our annualized dividend implied yield was 7.4%. </w:t>
      </w:r>
    </w:p>
    <w:p>
      <w:pPr>
        <w:pStyle w:val="TextBody"/>
        <w:bidi w:val="0"/>
        <w:spacing w:before="0" w:after="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erif" w:hAnsi="Times New Roman;serif"/>
          <w:b w:val="false"/>
          <w:color w:val="000000"/>
          <w:sz w:val="20"/>
        </w:rPr>
        <w:t xml:space="preserve">We remain very encouraged by trends across the regional gaming landscape, with same-store operator results showing healthy year over year gains through the mid-point of the calendar year, following a strong second quarter for the regional gaming sector. </w:t>
      </w:r>
    </w:p>
    <w:p>
      <w:pPr>
        <w:pStyle w:val="TextBody"/>
        <w:bidi w:val="0"/>
        <w:spacing w:before="0" w:after="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erif" w:hAnsi="Times New Roman;serif"/>
          <w:b w:val="false"/>
          <w:color w:val="000000"/>
          <w:sz w:val="20"/>
        </w:rPr>
        <w:t xml:space="preserve">Concurrent with strengthening tenant fundamentals, GLPI's 2026 growth has been driven by multiple development projects, investments in tenant facility upgrades, and executed sale-leaseback transactions. During the second quarter, we invested $191 million in tenant developments and completed the $225 million funding commitment for PENN Entertainment's Hollywood Casino Aurora land-based conversion. In the second half of 2026, GLPI anticipates additional development funding of approximately $400 million to $450 million, bringing the 2026 total development spend to a range of $750 million to $800 million, in line with our prior commentary. This activity, coupled with future funding plans, will continue to drive AFFO per share growth through 2027 and into 2028. </w:t>
      </w:r>
    </w:p>
    <w:p>
      <w:pPr>
        <w:pStyle w:val="TextBody"/>
        <w:bidi w:val="0"/>
        <w:spacing w:before="0" w:after="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erif" w:hAnsi="Times New Roman;serif"/>
          <w:b w:val="false"/>
          <w:color w:val="000000"/>
          <w:sz w:val="20"/>
        </w:rPr>
        <w:t xml:space="preserve">As of June 30, GLPI’s leverage stood at 4.8x, below the low end of our target range of 5.0x to 5.5x net debt to adjusted EBITDA. We expect to remain at or near the low end of the target leverage range as we execute on our announced pipeline. Our balance sheet position continues to provide financial flexibility when evaluating new transactions, and, moreover, allows us to drive accretive and accelerating AFFO growth, without the need for additional equity. </w:t>
      </w:r>
    </w:p>
    <w:p>
      <w:pPr>
        <w:pStyle w:val="TextBody"/>
        <w:bidi w:val="0"/>
        <w:spacing w:before="0" w:after="0"/>
        <w:jc w:val="both"/>
        <w:rPr/>
      </w:pPr>
      <w:r>
        <w:rPr/>
      </w:r>
    </w:p>
    <w:p>
      <w:pPr>
        <w:pStyle w:val="TextBody"/>
        <w:bidi w:val="0"/>
        <w:spacing w:lineRule="auto" w:line="268" w:before="0" w:after="0"/>
        <w:ind w:left="0" w:right="0" w:firstLine="720"/>
        <w:jc w:val="both"/>
        <w:rPr>
          <w:color w:val="000000"/>
        </w:rPr>
      </w:pPr>
      <w:r>
        <w:rPr>
          <w:color w:val="000000"/>
        </w:rPr>
        <w:t>“</w:t>
      </w:r>
      <w:r>
        <w:rPr>
          <w:rFonts w:ascii="Times New Roman;serif" w:hAnsi="Times New Roman;serif"/>
          <w:b w:val="false"/>
          <w:color w:val="000000"/>
          <w:sz w:val="20"/>
        </w:rPr>
        <w:t>Looking at the balance of the year, GLPI remains well positioned for growth, both in the near and long-term, supported by our strong operator relationships, our rights and options to participate in select tenants’ future growth and expansion, a healthy deal pipeline, and our ability to competitively structure and fund innovative transactions. In addition, our solid balance sheet and liquidity position the Company to grow cash flows, support future dividend growth, and build value for shareholders over the medium and long-term.”</w:t>
      </w:r>
    </w:p>
    <w:p>
      <w:pPr>
        <w:pStyle w:val="TextBody"/>
        <w:bidi w:val="0"/>
        <w:spacing w:before="0" w:after="0"/>
        <w:ind w:left="0" w:right="0" w:firstLine="720"/>
        <w:jc w:val="both"/>
        <w:rPr/>
      </w:pPr>
      <w:r>
        <w:rPr/>
      </w:r>
    </w:p>
    <w:p>
      <w:pPr>
        <w:pStyle w:val="TextBody"/>
        <w:bidi w:val="0"/>
        <w:spacing w:lineRule="auto" w:line="264" w:before="0" w:after="0"/>
        <w:jc w:val="left"/>
        <w:rPr/>
      </w:pPr>
      <w:r>
        <w:rPr>
          <w:rFonts w:ascii="Times New Roman;serif" w:hAnsi="Times New Roman;serif"/>
          <w:b/>
          <w:color w:val="000000"/>
          <w:sz w:val="20"/>
          <w:u w:val="single"/>
        </w:rPr>
        <w:t>Recent Developments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On June 30, 2026, the Company entered into a second amendment to its loan related to the Hard Rock Casino Rockford, pursuant to which the borrower repaid $16.0 million of principal. The amendment also provides for scheduled future principal repayments on or before March 31, 2028, and March 31, 2029. The maturity date was extended to December 31, 2029, and includes an option for GLPI to acquire the building improvements at Hard Rock Casino Rockford.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On June 24, 2026, the Company funded $216.3 million to complete the $225 million commitment on the Aurora landside development project for PENN Entertainment, Inc. (NASDAQ: PENN) ("PENN") at a 7.75% capitalization rate.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On June 1, 2026, the Company settled a forward sale agreement pursuant, to which it issued 7,589,487 shares of common stock and raised net proceeds of $351.0 million.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On March 4, 2026, the Company issued $800 million of senior notes due on March 1, 2036. The notes were priced at 99.857% of par value, with a coupon of 5.625%. The Company used the net proceeds to repay borrowings outstanding under the Company's term loan credit facility, as well as for working capital and general corporate purposes.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On February 11, 2026, GLPI exercised its option to acquire the real property assets of Bally’s Twin River Lincoln Casino Resort for a purchase price of $700 million and additional annual rent of $56.0 million (8.0% cap rate). The Company issued 332,890 OP Units in connection with the transaction, with the balance of the consideration paid in cash.</w:t>
      </w:r>
    </w:p>
    <w:p>
      <w:pPr>
        <w:pStyle w:val="TextBody"/>
        <w:bidi w:val="0"/>
        <w:spacing w:before="0" w:after="0"/>
        <w:jc w:val="both"/>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On January 15, 2026, GLPI entered into a development agreement with The Cordish Companies ("Cordish") to fund up to $440 million of real estate construction costs for the Live! Virginia Casino &amp; Hotel and acquired the project land for $27 million, representing a total commitment of $467 million at an 8.0% cap 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Dividends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2026, the Company announced that its Board of Directors declared a second quarter dividend of $0.82 per share on the Company's common stock that was paid on June 26, 2026 to shareholders of record on June 12, 2026. </w:t>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2026 Guidance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Reflecting the current operating and competitive environment, the Company is updating its AFFO guidance for the full year 2026 based on the following assumptions and other factors: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guidance does not include the impact on operating results from any possible future acquisitions or dispositions, future capital markets activity, or other future non-recurring transactions that have yet to be announced. The updated guidance incorporates the additional development fundings of approximately $400 million to $450 million, which will be funded relatively evenly by quarter throughout the remainder of 2026, which will bring total development spending for 2026 to a range of $750 million to $800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guidance assumes there will be no material changes in applicable legislation, regulatory environment, world events, including weather, recent consumer trends, economic conditions, oil prices, competitive landscape or other circumstances beyond our control that may adversely affect the Company's results of operations.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estimates AFFO for the year ending December 31, 2026 will be between $1.219 billion and $1.225 billion, or between $4.10 and $4.12 per diluted share and OP/LTIP units. GLPI's prior guidance contemplated AFFO for the year ending December 31, 2026 of between $1.212 billion and $1.223 billion, or between $4.08 and $4.12 per diluted share and OP/LTIP units.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Company does not provide a reconciliation for non-GAAP estimates on a forward-looking basis, including the information above, where it is unable to provide a meaningful or accurate calculation or estimation of reconciling items and the information is not available without unreasonable effort.</w:t>
      </w:r>
      <w:r>
        <w:rPr>
          <w:color w:val="000000"/>
        </w:rPr>
        <w:t xml:space="preserve"> </w:t>
      </w:r>
      <w:r>
        <w:rPr>
          <w:rFonts w:ascii="Times New Roman;serif" w:hAnsi="Times New Roman;serif"/>
          <w:b w:val="false"/>
          <w:color w:val="000000"/>
          <w:sz w:val="20"/>
        </w:rPr>
        <w:t>This is due to the inherent difficulty of forecasting the timing and/or amounts of various items that would impact net income, which is the most directly comparable forward-looking GAAP financial measure. This includes, for example, provision for credit losses, net, and other non-core items that have not yet occurred, are out of the Company’s control and/or cannot be reasonably predicted.</w:t>
      </w:r>
      <w:r>
        <w:rPr>
          <w:color w:val="000000"/>
        </w:rPr>
        <w:t xml:space="preserve"> </w:t>
      </w:r>
      <w:r>
        <w:rPr>
          <w:rFonts w:ascii="Times New Roman;serif" w:hAnsi="Times New Roman;serif"/>
          <w:b w:val="false"/>
          <w:color w:val="000000"/>
          <w:sz w:val="20"/>
        </w:rPr>
        <w:t>For the same reasons, the Company is unable to address the probable significance of the unavailable information.</w:t>
      </w:r>
      <w:r>
        <w:rPr>
          <w:color w:val="000000"/>
        </w:rPr>
        <w:t xml:space="preserve"> </w:t>
      </w:r>
      <w:r>
        <w:rPr>
          <w:rFonts w:ascii="Times New Roman;serif" w:hAnsi="Times New Roman;serif"/>
          <w:b w:val="false"/>
          <w:color w:val="000000"/>
          <w:sz w:val="20"/>
        </w:rPr>
        <w:t xml:space="preserve">In particular, the Company is unable to predict with reasonable certainty the amount of the change in the provision for credit losses, net, under ASU No. 2016-13 - Financial Instruments - Credit Losses ("ASC 326") in future periods. The non-cash change in the provision for credit losses under ASC 326 with respect to future periods is dependent upon future events that are entirely outside of the Company's control and may not be reliably predicted, including the performance and future outlook of our tenant's operations for our leases that are accounted for as investment in leases, as well as broader macroeconomic factors and future predictions of such factors. As a result, forward-looking non-GAAP financial measures provided without the most directly comparable GAAP financial measures may vary materially from the corresponding GAAP financial measures.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Portfolio Update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GLPI's primary business consists of acquiring, financing, and owning real estate property to be leased to gaming operators in triple-net lease arrangements. The Company also extends loans that produce fixed or variable returns which may convert into leased rent upon project completion or stabilization. As of June 30, 2026, GLPI's portfolio consisted of interests in 71 gaming and related facilities, including the real property associated with 34 gaming and related facilities operated by PENN, the real property associated with 6 gaming and related facilities operated by Caesars Entertainment, Inc. (NASDAQ: CZR) ("Caesars"), the real property associated with 4 gaming and related facilities operated by Boyd Gaming Corporation (NYSE: BYD) ("Boyd"), the real property associated with 16 gaming and related facilities operated by Bally's Corporation (NYSE: BALY) ("Bally's"), 2 facilities under development; one with Bally's in Chicago, Illinois, and the other for Cordish and Bruce Smith Enterprise in Petersburg, Virginia, the real property associated with 3 gaming and related facilities operated by Cordish, 1 gaming and related facility operated by American Racing &amp; Entertainment LLC ("American Racing"), 4 gaming and related facilities operated by Strategic Gaming Management, LLC ("Strategic") and 1 facility managed by a subsidiary of Hard Rock International ("Hard Rock"). These facilities are geographically diversified across 21 states.</w:t>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Conference Call Details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hold a conference call on July 31, 2026, at 10:00 a.m. (Eastern Time) to discuss its financial results, current business trends and market conditions.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Participate in the Telephone Conference Call: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Dial in at least five minutes before the scheduled start time.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Domestic: 1-877/407-0784</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International: 1-201/689-8560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Conference Call Playback: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Domestic: 1-844/512-2921</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International: 1-412/317-6671</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Passcode: 13761467</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playback can be accessed through Friday, August 7,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Webcast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conference call will be available in the Investor Relations section of the Company's website at www.glpropinc.com. To listen to a live broadcast, go to the site at least 15 minutes prior to the scheduled start time in order to register, download and install any necessary software. A replay of the call will also be available for 90 days thereafter on the Company’s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and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 (unaudited)</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26"/>
        <w:gridCol w:w="1379"/>
        <w:gridCol w:w="138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82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 in leases, financing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investment in leases, sales-type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real estate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from real estate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790,111 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rights and ground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from dispositions of property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(benefit) for credit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289,213 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500,898 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Losses on debt extinguishment and other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(173,270)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326,519 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the Operating Partnership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shareholders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attributable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attributable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cash flow hedges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derivative gain to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327,383 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 in the Operating Partnership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common shareholders</w:t>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317,460 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Year Revenue Detail</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bl>
      <w:tblPr>
        <w:tblW w:w="10640" w:type="dxa"/>
        <w:jc w:val="center"/>
        <w:tblInd w:w="0" w:type="dxa"/>
        <w:tblLayout w:type="fixed"/>
        <w:tblCellMar>
          <w:top w:w="28" w:type="dxa"/>
          <w:left w:w="28" w:type="dxa"/>
          <w:bottom w:w="28" w:type="dxa"/>
          <w:right w:w="28" w:type="dxa"/>
        </w:tblCellMar>
      </w:tblPr>
      <w:tblGrid>
        <w:gridCol w:w="794"/>
        <w:gridCol w:w="210"/>
        <w:gridCol w:w="212"/>
        <w:gridCol w:w="211"/>
        <w:gridCol w:w="826"/>
        <w:gridCol w:w="109"/>
        <w:gridCol w:w="211"/>
        <w:gridCol w:w="721"/>
        <w:gridCol w:w="109"/>
        <w:gridCol w:w="211"/>
        <w:gridCol w:w="721"/>
        <w:gridCol w:w="109"/>
        <w:gridCol w:w="211"/>
        <w:gridCol w:w="616"/>
        <w:gridCol w:w="109"/>
        <w:gridCol w:w="211"/>
        <w:gridCol w:w="841"/>
        <w:gridCol w:w="109"/>
        <w:gridCol w:w="226"/>
        <w:gridCol w:w="677"/>
        <w:gridCol w:w="118"/>
        <w:gridCol w:w="211"/>
        <w:gridCol w:w="616"/>
        <w:gridCol w:w="109"/>
        <w:gridCol w:w="211"/>
        <w:gridCol w:w="616"/>
        <w:gridCol w:w="109"/>
        <w:gridCol w:w="211"/>
        <w:gridCol w:w="841"/>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Three Months Ended June 30, 2026</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Building base rent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base rent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rent and other rental revenue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on real estate loans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income</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Straight-line rent and deferred rent adjustments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Ground rent in revenue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Accretion on leases</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income from real estate</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PENN Master Lease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72,453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78,081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2023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70,745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Pinnacle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86,881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90,987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Morgantown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24,480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Horseshoe St. Louis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6,317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Boyd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27,332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Boyd Belterra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29,843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Master Lease 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30,405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 Live!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25,119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 Live!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15,578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Queen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Tropicana Las Vegas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Tioga Downs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Gaming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7,107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Chicago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Dry Creek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 Live!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414,677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430,519</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099"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ind w:left="0" w:right="0" w:hanging="990"/>
        <w:jc w:val="both"/>
        <w:rPr/>
      </w:pPr>
      <w:r>
        <w:rPr/>
      </w:r>
    </w:p>
    <w:p>
      <w:pPr>
        <w:pStyle w:val="TextBody"/>
        <w:bidi w:val="0"/>
        <w:spacing w:before="0" w:after="20"/>
        <w:ind w:left="0" w:right="0" w:hanging="990"/>
        <w:jc w:val="both"/>
        <w:rPr/>
      </w:pPr>
      <w:r>
        <w:rPr/>
      </w:r>
    </w:p>
    <w:p>
      <w:pPr>
        <w:pStyle w:val="TextBody"/>
        <w:bidi w:val="0"/>
        <w:spacing w:before="0" w:after="20"/>
        <w:ind w:left="0" w:right="0" w:hanging="9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Year Revenue Detail</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bl>
      <w:tblPr>
        <w:tblW w:w="10955" w:type="dxa"/>
        <w:jc w:val="center"/>
        <w:tblInd w:w="0" w:type="dxa"/>
        <w:tblLayout w:type="fixed"/>
        <w:tblCellMar>
          <w:top w:w="28" w:type="dxa"/>
          <w:left w:w="28" w:type="dxa"/>
          <w:bottom w:w="28" w:type="dxa"/>
          <w:right w:w="28" w:type="dxa"/>
        </w:tblCellMar>
      </w:tblPr>
      <w:tblGrid>
        <w:gridCol w:w="794"/>
        <w:gridCol w:w="210"/>
        <w:gridCol w:w="212"/>
        <w:gridCol w:w="211"/>
        <w:gridCol w:w="826"/>
        <w:gridCol w:w="109"/>
        <w:gridCol w:w="211"/>
        <w:gridCol w:w="721"/>
        <w:gridCol w:w="109"/>
        <w:gridCol w:w="211"/>
        <w:gridCol w:w="721"/>
        <w:gridCol w:w="109"/>
        <w:gridCol w:w="211"/>
        <w:gridCol w:w="721"/>
        <w:gridCol w:w="109"/>
        <w:gridCol w:w="211"/>
        <w:gridCol w:w="841"/>
        <w:gridCol w:w="109"/>
        <w:gridCol w:w="226"/>
        <w:gridCol w:w="677"/>
        <w:gridCol w:w="118"/>
        <w:gridCol w:w="211"/>
        <w:gridCol w:w="721"/>
        <w:gridCol w:w="109"/>
        <w:gridCol w:w="211"/>
        <w:gridCol w:w="721"/>
        <w:gridCol w:w="109"/>
        <w:gridCol w:w="211"/>
        <w:gridCol w:w="841"/>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Six Months Ended June 30, 2026</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Building base rent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base rent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rent and other rental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on real estate loans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income</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Straight-line rent and deferred rent 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Ground rent in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Accretion on leases</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income from real estate</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PENN Master Lease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156,114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2023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132,844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141,100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Pinnacle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174,299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182,471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 Morgantown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48,960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Horseshoe St. Louis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12,632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Boyd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52,365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Boyd Belterra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59,381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Master Lease II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54,345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 Live!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50,091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 Live!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Queen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Tropicana Las Vegas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5,211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Rockford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Tioga Downs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Gaming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14,193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Bally's Chicago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Dry Creek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 Live!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818,068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850,504</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309"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ind w:left="0" w:right="0" w:hanging="990"/>
        <w:jc w:val="both"/>
        <w:rPr/>
      </w:pPr>
      <w:r>
        <w:rPr/>
      </w:r>
    </w:p>
    <w:p>
      <w:pPr>
        <w:pStyle w:val="TextBody"/>
        <w:bidi w:val="0"/>
        <w:spacing w:before="0" w:after="20"/>
        <w:ind w:left="0" w:right="0" w:hanging="990"/>
        <w:jc w:val="both"/>
        <w:rPr/>
      </w:pPr>
      <w:r>
        <w:rPr/>
      </w:r>
    </w:p>
    <w:p>
      <w:pPr>
        <w:pStyle w:val="TextBody"/>
        <w:bidi w:val="0"/>
        <w:spacing w:before="0" w:after="20"/>
        <w:ind w:left="0" w:right="0" w:hanging="9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Net income (GAAP) to FFO, FFO to AFFO, and AFFO to Adjusted EBITDA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and share data) (unaudited)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540"/>
        <w:gridCol w:w="1222"/>
        <w:gridCol w:w="1236"/>
        <w:gridCol w:w="237"/>
        <w:gridCol w:w="949"/>
        <w:gridCol w:w="109"/>
        <w:gridCol w:w="109"/>
        <w:gridCol w:w="109"/>
        <w:gridCol w:w="109"/>
        <w:gridCol w:w="237"/>
        <w:gridCol w:w="949"/>
        <w:gridCol w:w="109"/>
        <w:gridCol w:w="109"/>
        <w:gridCol w:w="109"/>
        <w:gridCol w:w="109"/>
        <w:gridCol w:w="237"/>
        <w:gridCol w:w="949"/>
        <w:gridCol w:w="109"/>
        <w:gridCol w:w="109"/>
        <w:gridCol w:w="109"/>
        <w:gridCol w:w="109"/>
        <w:gridCol w:w="237"/>
        <w:gridCol w:w="949"/>
        <w:gridCol w:w="155"/>
      </w:tblGrid>
      <w:tr>
        <w:trPr/>
        <w:tc>
          <w:tcPr>
            <w:tcW w:w="15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234,944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156,165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474,346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326,519</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from dispositions of property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depreciation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Funds from operations</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302,300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224,914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606,254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459,672</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Straight-line rent and deferred rent adjustments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depreciation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credit losses,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land rights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bond premiums and original issuance discounts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debt extinguishment and other financing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investment in leases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 to financing lease liabilities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maintenance expenditures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funds from operations</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303,976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276,057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601,115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548,053</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net </w:t>
            </w:r>
            <w:r>
              <w:rPr>
                <w:rFonts w:ascii="Times New Roman;serif" w:hAnsi="Times New Roman;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maintenance expenditures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bond premiums and original issuance discounts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405,491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361,483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798,498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721,601</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per diluted common share and OP/LTIP units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per diluted common share and OP/LTIP units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and OP/LTIP units outstanding</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common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285,857,452 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277,797,169 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284,592,906 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276,463,591 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OP/LTIP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8,329,087 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common shares and diluted OP/LTIP units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294,542,822 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286,129,746 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293,197,143 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284,792,678 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Excludes non-cash interest expense gross ups related to certain ground 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Cash Net Operating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and share data) (unaudited)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056"/>
        <w:gridCol w:w="916"/>
        <w:gridCol w:w="905"/>
        <w:gridCol w:w="519"/>
        <w:gridCol w:w="2074"/>
        <w:gridCol w:w="268"/>
        <w:gridCol w:w="109"/>
        <w:gridCol w:w="2602"/>
        <w:gridCol w:w="109"/>
        <w:gridCol w:w="109"/>
        <w:gridCol w:w="109"/>
        <w:gridCol w:w="211"/>
        <w:gridCol w:w="841"/>
        <w:gridCol w:w="109"/>
        <w:gridCol w:w="109"/>
        <w:gridCol w:w="159"/>
      </w:tblGrid>
      <w:tr>
        <w:trPr/>
        <w:tc>
          <w:tcPr>
            <w:tcW w:w="105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5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405,491</w:t>
            </w:r>
            <w:r>
              <w:rPr>
                <w:color w:val="000000"/>
              </w:rPr>
              <w:t>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798,498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Cash net operating income </w:t>
            </w:r>
            <w:r>
              <w:rPr>
                <w:rFonts w:ascii="Times New Roman;serif" w:hAnsi="Times New Roman;serif"/>
                <w:b/>
                <w:color w:val="000000"/>
                <w:sz w:val="13"/>
              </w:rPr>
              <w:t>(1)</w:t>
            </w:r>
          </w:p>
        </w:tc>
        <w:tc>
          <w:tcPr>
            <w:tcW w:w="5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414,092</w:t>
            </w:r>
            <w:r>
              <w:rPr>
                <w:color w:val="000000"/>
              </w:rPr>
              <w:t> </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816,933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Cash net operating income is cash rental income and interest on real estate loans less cash property level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Gaming and Leisure Properties,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612"/>
        <w:gridCol w:w="2179"/>
        <w:gridCol w:w="2197"/>
        <w:gridCol w:w="211"/>
        <w:gridCol w:w="1081"/>
        <w:gridCol w:w="109"/>
        <w:gridCol w:w="109"/>
        <w:gridCol w:w="109"/>
        <w:gridCol w:w="109"/>
        <w:gridCol w:w="216"/>
        <w:gridCol w:w="1112"/>
        <w:gridCol w:w="161"/>
      </w:tblGrid>
      <w:tr>
        <w:trPr/>
        <w:tc>
          <w:tcPr>
            <w:tcW w:w="2612"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8,474,261 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financing receivables,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2,557,504 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leases, sales-type,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loans,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and land rights,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14,155,215 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12,909,609 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wages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unamortized debt issuance costs, bond premiums and original issuance discounts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7,203,731 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rental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7,901,349 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50,000,000 shares authorized, no shares issued or outstanding at June 30, 2026 and December 31, 2025)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($.01 par value, 500,000,000 shares authorized, 290,919,328 and 283,037,310 shares issued and outstanding at June 30, 2026 and December 31, 2025,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6,613,488 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(1,990,770)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Gaming and Leisure Properties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4,983,316 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4,626,452 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GLPI's Operating Partnership (8,473,163 units and 8,224,939 units outstanding at June 30, 2026 and December 31, 2025,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equity </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5,381,427 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5,008,260 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14,155,215 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12,909,609 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Debt Capitalization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debt structure as of June 30, 2026 was as follows:</w:t>
      </w:r>
    </w:p>
    <w:tbl>
      <w:tblPr>
        <w:tblW w:w="10205" w:type="dxa"/>
        <w:jc w:val="center"/>
        <w:tblInd w:w="0" w:type="dxa"/>
        <w:tblLayout w:type="fixed"/>
        <w:tblCellMar>
          <w:top w:w="28" w:type="dxa"/>
          <w:left w:w="28" w:type="dxa"/>
          <w:bottom w:w="28" w:type="dxa"/>
          <w:right w:w="28" w:type="dxa"/>
        </w:tblCellMar>
      </w:tblPr>
      <w:tblGrid>
        <w:gridCol w:w="2194"/>
        <w:gridCol w:w="1849"/>
        <w:gridCol w:w="1855"/>
        <w:gridCol w:w="109"/>
        <w:gridCol w:w="109"/>
        <w:gridCol w:w="109"/>
        <w:gridCol w:w="382"/>
        <w:gridCol w:w="382"/>
        <w:gridCol w:w="383"/>
        <w:gridCol w:w="350"/>
        <w:gridCol w:w="350"/>
        <w:gridCol w:w="351"/>
        <w:gridCol w:w="109"/>
        <w:gridCol w:w="109"/>
        <w:gridCol w:w="109"/>
        <w:gridCol w:w="488"/>
        <w:gridCol w:w="488"/>
        <w:gridCol w:w="479"/>
      </w:tblGrid>
      <w:tr>
        <w:trPr/>
        <w:tc>
          <w:tcPr>
            <w:tcW w:w="2194"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5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r>
      <w:tr>
        <w:trPr/>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to Maturity</w:t>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r>
      <w:tr>
        <w:trPr/>
        <w:tc>
          <w:tcPr>
            <w:tcW w:w="5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$2,090 Million Revolver Due December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329,961 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December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679,000 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June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January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January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January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February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December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September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March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November 2037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Due September 2054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8,158,961 </w:t>
            </w:r>
          </w:p>
        </w:tc>
        <w:tc>
          <w:tcPr>
            <w:tcW w:w="4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bond premiums and original issuance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(81,220)</w:t>
            </w:r>
          </w:p>
        </w:tc>
        <w:tc>
          <w:tcPr>
            <w:tcW w:w="4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long-term debt, net of unamortized debt issuance costs, bond premiums and original issuance discounts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8,077,741 </w:t>
            </w:r>
          </w:p>
        </w:tc>
        <w:tc>
          <w:tcPr>
            <w:tcW w:w="4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Weighted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12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Rating Agency - Issue Rating </w:t>
      </w:r>
    </w:p>
    <w:tbl>
      <w:tblPr>
        <w:tblW w:w="2607" w:type="dxa"/>
        <w:jc w:val="center"/>
        <w:tblInd w:w="0" w:type="dxa"/>
        <w:tblLayout w:type="fixed"/>
        <w:tblCellMar>
          <w:top w:w="28" w:type="dxa"/>
          <w:left w:w="28" w:type="dxa"/>
          <w:bottom w:w="28" w:type="dxa"/>
          <w:right w:w="28" w:type="dxa"/>
        </w:tblCellMar>
      </w:tblPr>
      <w:tblGrid>
        <w:gridCol w:w="565"/>
        <w:gridCol w:w="496"/>
        <w:gridCol w:w="498"/>
        <w:gridCol w:w="109"/>
        <w:gridCol w:w="109"/>
        <w:gridCol w:w="109"/>
        <w:gridCol w:w="211"/>
        <w:gridCol w:w="211"/>
        <w:gridCol w:w="299"/>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Rating 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Rating</w:t>
            </w:r>
          </w:p>
        </w:tc>
      </w:tr>
      <w:tr>
        <w:trPr/>
        <w:tc>
          <w:tcPr>
            <w:tcW w:w="15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&amp; Poor's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160" w:after="283"/>
        <w:jc w:val="both"/>
        <w:rPr/>
      </w:pPr>
      <w:r>
        <w:rPr>
          <w:rFonts w:ascii="Times New Roman;serif" w:hAnsi="Times New Roman;serif"/>
          <w:b/>
          <w:i/>
          <w:color w:val="000000"/>
          <w:sz w:val="20"/>
        </w:rPr>
        <w:t>Funding Commitments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53"/>
        <w:gridCol w:w="1772"/>
        <w:gridCol w:w="1782"/>
        <w:gridCol w:w="109"/>
        <w:gridCol w:w="753"/>
        <w:gridCol w:w="753"/>
        <w:gridCol w:w="755"/>
        <w:gridCol w:w="652"/>
        <w:gridCol w:w="652"/>
        <w:gridCol w:w="924"/>
      </w:tblGrid>
      <w:tr>
        <w:trPr/>
        <w:tc>
          <w:tcPr>
            <w:tcW w:w="205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Commitment amount</w:t>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Amount funded at June 30, 2026</w:t>
            </w:r>
          </w:p>
        </w:tc>
      </w:tr>
      <w:tr>
        <w:trPr/>
        <w:tc>
          <w:tcPr>
            <w:tcW w:w="56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Relocation of Hollywood Casino Aurora </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 million</w:t>
            </w:r>
          </w:p>
        </w:tc>
        <w:tc>
          <w:tcPr>
            <w:tcW w:w="22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$225.0 million</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Funding associated with a landside move at Ameristar Casino Council Bluffs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million</w:t>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transaction at the former Tropicana Las Vegas site with Bally's</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million</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 million</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construction costs for Bally's Chicago</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$940 million</w:t>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$475.7 million</w:t>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Ione Loan to fund a new casino development near Sacramento, California</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 million</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$98.9 million</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associated with the future site and construction for Live! Virginia Casino &amp; Hotel</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$467 million</w:t>
            </w:r>
          </w:p>
        </w:tc>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 million</w:t>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 for Dry Creek Rancheria Resort development</w:t>
            </w:r>
          </w:p>
        </w:tc>
        <w:tc>
          <w:tcPr>
            <w:tcW w:w="109" w:type="dxa"/>
            <w:tcBorders/>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 million</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(1) The Company has agreed to fund, if requested by PENN in its sole discretion on or before March 31, 2029, construction improvements in an amount not to exceed the greater of (i) the hard costs associated with the project and (ii) $150.0 million at a 7.10% capitalization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68" w:before="0" w:after="20"/>
        <w:jc w:val="both"/>
        <w:rPr>
          <w:rFonts w:ascii="Times New Roman;serif" w:hAnsi="Times New Roman;serif"/>
          <w:b w:val="false"/>
          <w:i/>
          <w:color w:val="000000"/>
          <w:sz w:val="20"/>
        </w:rPr>
      </w:pPr>
      <w:r>
        <w:rPr>
          <w:rFonts w:ascii="Times New Roman;serif" w:hAnsi="Times New Roman;serif"/>
          <w:b w:val="false"/>
          <w:i/>
          <w:color w:val="000000"/>
          <w:sz w:val="20"/>
        </w:rPr>
        <w:t>Property and lease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disclosed the following key terms of its master leases and single-property leases in the tables below, along with the properties within each lease at June 30, 2026. We believe the following key terms are important for users of our financial statements to understand. </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coverage ratio is a defined term in each respective lease agreement with our tenants and represents the ratio of Adjusted EBITDAR to rent expense for the properties contained within each lease. Adjusted EBITDAR is defined in each respective lease but is generally consistent with the Company's definition of Adjusted EBITDA plus rent expense paid to GLPI.</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Certain leases have a minimum escalator coverage ratio governor as disclosed below. Before a rent escalation of up to 2% on the building base rent component of each lease can occur, the minimum coverage ratio for these leases needs to be 1.8 to 1 for the applicable lease year.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reported coverage ratios below with respect to our tenants' rent coverage over the trailing twelve months were provided by our tenants for the most recently available time period. GLPI has not independently verified the accuracy of the tenants' information and therefore makes no representation as to its accuracy. Rent coverage ratios are not reported for ground leases, leases with development projects or leases that have been in effect for less than twelve months.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Amended PENN Master Lease, the Amended Pinnacle Master Lease, the Boyd Master Lease, and the Belterra Park Lease each include (i) a fixed rent component, a portion of which escalates annually by up to 2% if specified rent coverage thresholds are met, and (ii) a percentage rent component tied to property performance. The percentage rent component is recalculated periodically, every five years for the Amended PENN Master Lease and every two years for the other leases, based on 4% of the average annual net revenues of the applicable facilities in excess of a contractually defined baseline, subject to certain floors.</w:t>
      </w:r>
    </w:p>
    <w:p>
      <w:pPr>
        <w:pStyle w:val="TextBody"/>
        <w:bidi w:val="0"/>
        <w:spacing w:before="0" w:after="0"/>
        <w:jc w:val="both"/>
        <w:rPr/>
      </w:pPr>
      <w:r>
        <w:rPr/>
      </w:r>
    </w:p>
    <w:p>
      <w:pPr>
        <w:pStyle w:val="TextBody"/>
        <w:bidi w:val="0"/>
        <w:spacing w:before="160" w:after="283"/>
        <w:ind w:left="0" w:right="0" w:firstLine="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60" w:after="283"/>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854"/>
        <w:gridCol w:w="747"/>
        <w:gridCol w:w="764"/>
        <w:gridCol w:w="617"/>
        <w:gridCol w:w="617"/>
        <w:gridCol w:w="596"/>
        <w:gridCol w:w="403"/>
        <w:gridCol w:w="384"/>
        <w:gridCol w:w="335"/>
        <w:gridCol w:w="710"/>
        <w:gridCol w:w="710"/>
        <w:gridCol w:w="1505"/>
        <w:gridCol w:w="491"/>
        <w:gridCol w:w="491"/>
        <w:gridCol w:w="493"/>
        <w:gridCol w:w="109"/>
        <w:gridCol w:w="109"/>
        <w:gridCol w:w="109"/>
        <w:gridCol w:w="161"/>
      </w:tblGrid>
      <w:tr>
        <w:trPr/>
        <w:tc>
          <w:tcPr>
            <w:tcW w:w="8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5"/>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c>
          <w:tcPr>
            <w:tcW w:w="488" w:type="dxa"/>
            <w:gridSpan w:val="4"/>
            <w:tcBorders/>
          </w:tcPr>
          <w:p>
            <w:pPr>
              <w:pStyle w:val="TableContents"/>
              <w:bidi w:val="0"/>
              <w:spacing w:before="0" w:after="283"/>
              <w:jc w:val="left"/>
              <w:rPr>
                <w:sz w:val="4"/>
                <w:szCs w:val="4"/>
              </w:rPr>
            </w:pPr>
            <w:r>
              <w:rPr>
                <w:sz w:val="4"/>
                <w:szCs w:val="4"/>
              </w:rPr>
            </w:r>
          </w:p>
        </w:tc>
      </w:tr>
      <w:tr>
        <w:trPr/>
        <w:tc>
          <w:tcPr>
            <w:tcW w:w="2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 2023 Master Lease</w:t>
            </w:r>
          </w:p>
        </w:tc>
        <w:tc>
          <w:tcPr>
            <w:tcW w:w="4400"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Amended Penn Master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29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c>
          <w:tcPr>
            <w:tcW w:w="440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Aurora</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Aurora, IL</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Lawrenceburg</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Lawrenceburg,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Joliet</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Joliet, IL</w:t>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Casino Alton</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Alton, 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Toledo</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Toledo, OH</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Charles Town Races</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Charles Town, WV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Columbus</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Columbus, OH</w:t>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Penn National Race Course</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Grantville, PA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Resort</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Henderson, NV</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Bangor</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Bangor, 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at the Meadows</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 PA</w:t>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Zia Park Casino</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Hobbs, 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Perryville</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Perryville, MD</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Gulf Coast</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Bay St. Louis,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Argosy Casino Riverside</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Riverside, MO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Tunica</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Biloxi</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Biloxi,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Casino St. Louis</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Heights, MO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Casino at Dayton Raceway</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Dayton, OH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Hollywood Gaming Casino at Mahoning Valley Race Track</w:t>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Youngstown, OH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1st Jackpot Casino</w:t>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Tunica, 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1/1/2023</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11/1/2013</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10/31/2033</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10/31/2033</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(3x5 years)</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(3x5 years)</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(1)</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years</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November-28</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In addition to the annual escalation, a one-time annualized increase of $1.4 million occurs on November 1, 2027. </w:t>
      </w:r>
    </w:p>
    <w:p>
      <w:pPr>
        <w:pStyle w:val="TextBody"/>
        <w:bidi w:val="0"/>
        <w:spacing w:before="160" w:after="283"/>
        <w:ind w:left="0" w:right="0" w:hanging="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00"/>
        <w:gridCol w:w="787"/>
        <w:gridCol w:w="805"/>
        <w:gridCol w:w="665"/>
        <w:gridCol w:w="585"/>
        <w:gridCol w:w="1226"/>
        <w:gridCol w:w="460"/>
        <w:gridCol w:w="403"/>
        <w:gridCol w:w="335"/>
        <w:gridCol w:w="954"/>
        <w:gridCol w:w="954"/>
        <w:gridCol w:w="958"/>
        <w:gridCol w:w="340"/>
        <w:gridCol w:w="340"/>
        <w:gridCol w:w="493"/>
      </w:tblGrid>
      <w:tr>
        <w:trPr/>
        <w:tc>
          <w:tcPr>
            <w:tcW w:w="90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r>
      <w:tr>
        <w:trPr/>
        <w:tc>
          <w:tcPr>
            <w:tcW w:w="2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Amended Pinnacle Master Lease</w:t>
            </w:r>
          </w:p>
        </w:tc>
        <w:tc>
          <w:tcPr>
            <w:tcW w:w="4039"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 Master Lease</w:t>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36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c>
          <w:tcPr>
            <w:tcW w:w="403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Black Hawk</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CO</w:t>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Evansville</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Evansville, IN</w:t>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East Chicago</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Chicago, IN</w:t>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Dover Casino Resort</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Dover, DE</w:t>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Council Bluffs</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Council Bluffs, IA</w:t>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(Black Hawk North, West and East casinos)</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Black Hawk, CO</w:t>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Baton Rouge</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LA</w:t>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Quad Cities Casino &amp; Hotel</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Rock Island, IL</w:t>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Bossier City</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Bossier City, LA</w:t>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Tiverton Hotel &amp; Casino</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Tiverton, RI</w:t>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L'Auberge Lake Charles</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Lake Charles, LA</w:t>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Hard Rock Casino and Hotel Biloxi</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Biloxi, MS</w:t>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Boomtown New Orleans</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Orleans, LA</w:t>
            </w:r>
          </w:p>
        </w:tc>
        <w:tc>
          <w:tcPr>
            <w:tcW w:w="2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Vicksburg</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Vicksburg, MS</w:t>
            </w:r>
          </w:p>
        </w:tc>
        <w:tc>
          <w:tcPr>
            <w:tcW w:w="2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 City Casino &amp; Hotel</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Louis, MO</w:t>
            </w:r>
          </w:p>
        </w:tc>
        <w:tc>
          <w:tcPr>
            <w:tcW w:w="2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Jackpot Properties (Cactus Petes and Horseshu)</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Jackpot, NV</w:t>
            </w:r>
          </w:p>
        </w:tc>
        <w:tc>
          <w:tcPr>
            <w:tcW w:w="2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Plainridge Park Casino</w:t>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Plainridge, MA</w:t>
            </w:r>
          </w:p>
        </w:tc>
        <w:tc>
          <w:tcPr>
            <w:tcW w:w="2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286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2492" w:type="dxa"/>
            <w:gridSpan w:val="3"/>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286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2492" w:type="dxa"/>
            <w:gridSpan w:val="3"/>
            <w:tcBorders/>
            <w:vAlign w:val="center"/>
          </w:tcPr>
          <w:p>
            <w:pPr>
              <w:pStyle w:val="TableContents"/>
              <w:bidi w:val="0"/>
              <w:spacing w:before="0" w:after="283"/>
              <w:jc w:val="left"/>
              <w:rPr>
                <w:sz w:val="4"/>
                <w:szCs w:val="4"/>
              </w:rPr>
            </w:pPr>
            <w:r>
              <w:rPr>
                <w:sz w:val="4"/>
                <w:szCs w:val="4"/>
              </w:rPr>
            </w:r>
          </w:p>
        </w:tc>
        <w:tc>
          <w:tcPr>
            <w:tcW w:w="247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286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4/28/2016</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6/3/2021</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4/30/2031</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6/2/2036</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(1)</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2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(3)</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2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years</w:t>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May-28</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If the tenant's parent's net leverage is greater than 5.5 to 1, then the adjusted revenue to rent coverage for the last two consecutive test periods must be at least 1.35. If the tenant's parent's net leverage is equal to or less than 5.5 to 1, then the ratio shall be reduced to 1.2. </w:t>
      </w:r>
    </w:p>
    <w:p>
      <w:pPr>
        <w:pStyle w:val="TextBody"/>
        <w:bidi w:val="0"/>
        <w:spacing w:lineRule="auto" w:line="276" w:before="160" w:after="283"/>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Coverage ratio for escalation purposes excludes adjusted revenue and rent attributable to the Plainridge Park facility as well as certain other fixed rent amounts. </w:t>
      </w:r>
    </w:p>
    <w:p>
      <w:pPr>
        <w:pStyle w:val="TextBody"/>
        <w:bidi w:val="0"/>
        <w:ind w:left="0" w:right="0" w:hanging="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60" w:after="283"/>
        <w:jc w:val="both"/>
        <w:rPr/>
      </w:pPr>
      <w:r>
        <w:rPr/>
      </w:r>
    </w:p>
    <w:tbl>
      <w:tblPr>
        <w:tblW w:w="10205" w:type="dxa"/>
        <w:jc w:val="left"/>
        <w:tblInd w:w="0" w:type="dxa"/>
        <w:tblLayout w:type="fixed"/>
        <w:tblCellMar>
          <w:top w:w="28" w:type="dxa"/>
          <w:left w:w="28" w:type="dxa"/>
          <w:bottom w:w="28" w:type="dxa"/>
          <w:right w:w="28" w:type="dxa"/>
        </w:tblCellMar>
      </w:tblPr>
      <w:tblGrid>
        <w:gridCol w:w="1133"/>
        <w:gridCol w:w="991"/>
        <w:gridCol w:w="1014"/>
        <w:gridCol w:w="974"/>
        <w:gridCol w:w="970"/>
        <w:gridCol w:w="967"/>
        <w:gridCol w:w="439"/>
        <w:gridCol w:w="438"/>
        <w:gridCol w:w="433"/>
        <w:gridCol w:w="496"/>
        <w:gridCol w:w="496"/>
        <w:gridCol w:w="492"/>
        <w:gridCol w:w="397"/>
        <w:gridCol w:w="397"/>
        <w:gridCol w:w="568"/>
      </w:tblGrid>
      <w:tr>
        <w:trPr/>
        <w:tc>
          <w:tcPr>
            <w:tcW w:w="113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r>
      <w:tr>
        <w:trPr/>
        <w:tc>
          <w:tcPr>
            <w:tcW w:w="3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1"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 Master Lease II</w:t>
            </w:r>
          </w:p>
        </w:tc>
        <w:tc>
          <w:tcPr>
            <w:tcW w:w="2846"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Casino Queen Master Lease</w:t>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42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c>
          <w:tcPr>
            <w:tcW w:w="28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Kansas City</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City, MO</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Marquette</w:t>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Marquette, IA</w:t>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Shreveport Casino &amp; Hotel</w:t>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Shreveport, LA</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Baton Rouge</w:t>
            </w:r>
          </w:p>
        </w:tc>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LA</w:t>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Draft Kings at Casino Queen (4)</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 St. Louis, IL</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Queen Baton Rouge (4)</w:t>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Baton Rouge, LA</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Bally's Twin River Lincoln Casino Resort</w:t>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Lincoln, RI</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12/16/2024</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12/17/2021</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12/15/2039</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12/31/2036</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(1)</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(1)</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2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(6)</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2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138" w:type="dxa"/>
            <w:gridSpan w:val="3"/>
            <w:tcBorders/>
            <w:vAlign w:val="center"/>
          </w:tcPr>
          <w:p>
            <w:pPr>
              <w:pStyle w:val="TableContents"/>
              <w:bidi w:val="0"/>
              <w:spacing w:before="0" w:after="283"/>
              <w:jc w:val="left"/>
              <w:rPr>
                <w:sz w:val="4"/>
                <w:szCs w:val="4"/>
              </w:rPr>
            </w:pPr>
            <w:r>
              <w:rPr>
                <w:sz w:val="4"/>
                <w:szCs w:val="4"/>
              </w:rPr>
            </w:r>
          </w:p>
        </w:tc>
        <w:tc>
          <w:tcPr>
            <w:tcW w:w="2911"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If the tenant's parent's net leverage is greater than 5.5 to 1, then the adjusted revenue to rent coverage for the last two consecutive test periods must be at least 1.35. If the tenant's parent's net leverage is equal to or less than 5.5 to 1, then the ratio shall be reduced to 1.2. For the Casino Queen Master Lease the test begins on the first anniversary after both development projects are completed and open to the public. </w:t>
      </w:r>
    </w:p>
    <w:p>
      <w:pPr>
        <w:pStyle w:val="TextBody"/>
        <w:bidi w:val="0"/>
        <w:spacing w:lineRule="auto" w:line="276" w:before="160" w:after="283"/>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Rent increases by 0.5% for the first six years. Beginning in the seventh lease year through the remainder of the lease term, if the CPI increases by at least 0.25% for any lease year then annual rent shall be increased by 1.25%, and if the CPI is less than 0.25% then rent will remain unchanged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(4)    </w:t>
      </w:r>
      <w:r>
        <w:rPr>
          <w:rFonts w:ascii="Times New Roman;serif" w:hAnsi="Times New Roman;serif"/>
          <w:b w:val="false"/>
          <w:color w:val="000000"/>
          <w:sz w:val="20"/>
        </w:rPr>
        <w:t xml:space="preserve">Effective July 1, 2025, these properties were transferred to Bally's Master Lease II and the associated annual rental income of $28.9 million was reallocated from the Casino Queen Master Lease to Bally's Master Lease II. The Bally's Master Lease II rent coverage ratio has been restated on a pro forma basis. </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13"/>
        </w:rPr>
        <w:t>(5)    </w:t>
      </w:r>
      <w:r>
        <w:rPr>
          <w:rFonts w:ascii="Times New Roman;serif" w:hAnsi="Times New Roman;serif"/>
          <w:b w:val="false"/>
          <w:color w:val="000000"/>
          <w:sz w:val="20"/>
        </w:rPr>
        <w:t xml:space="preserve">If a default were to occur under the Casino Queen Master Lease, the Company has the right under the terms of the lease to elect to amend Bally’s Master Lease II and place the assets into it, which carries a corporate guarantee. </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pPr>
      <w:r>
        <w:rPr>
          <w:rFonts w:ascii="Times New Roman;serif" w:hAnsi="Times New Roman;serif"/>
          <w:b w:val="false"/>
          <w:color w:val="000000"/>
          <w:sz w:val="13"/>
        </w:rPr>
        <w:t>(6)    </w:t>
      </w:r>
      <w:r>
        <w:rPr>
          <w:rFonts w:ascii="Times New Roman;serif" w:hAnsi="Times New Roman;serif"/>
          <w:b w:val="false"/>
          <w:color w:val="000000"/>
          <w:sz w:val="20"/>
        </w:rPr>
        <w:t>Coverage ratio above is pro forma for the acquisition of the real estate assets of Bally's Twin River Lincoln Casino Resort which closed on February 11, 2026.</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160" w:after="283"/>
        <w:ind w:left="0" w:right="0" w:hanging="72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60" w:after="283"/>
        <w:jc w:val="both"/>
        <w:rPr/>
      </w:pPr>
      <w:r>
        <w:rPr/>
      </w:r>
    </w:p>
    <w:tbl>
      <w:tblPr>
        <w:tblW w:w="9679" w:type="dxa"/>
        <w:jc w:val="left"/>
        <w:tblInd w:w="0" w:type="dxa"/>
        <w:tblLayout w:type="fixed"/>
        <w:tblCellMar>
          <w:top w:w="28" w:type="dxa"/>
          <w:left w:w="28" w:type="dxa"/>
          <w:bottom w:w="28" w:type="dxa"/>
          <w:right w:w="28" w:type="dxa"/>
        </w:tblCellMar>
      </w:tblPr>
      <w:tblGrid>
        <w:gridCol w:w="1148"/>
        <w:gridCol w:w="1004"/>
        <w:gridCol w:w="1027"/>
        <w:gridCol w:w="388"/>
        <w:gridCol w:w="388"/>
        <w:gridCol w:w="859"/>
        <w:gridCol w:w="424"/>
        <w:gridCol w:w="424"/>
        <w:gridCol w:w="427"/>
        <w:gridCol w:w="487"/>
        <w:gridCol w:w="487"/>
        <w:gridCol w:w="1080"/>
        <w:gridCol w:w="450"/>
        <w:gridCol w:w="450"/>
        <w:gridCol w:w="636"/>
      </w:tblGrid>
      <w:tr>
        <w:trPr/>
        <w:tc>
          <w:tcPr>
            <w:tcW w:w="114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9679" w:type="dxa"/>
            <w:gridSpan w:val="15"/>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r>
      <w:tr>
        <w:trPr/>
        <w:tc>
          <w:tcPr>
            <w:tcW w:w="3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Boyd Master Lease</w:t>
            </w:r>
          </w:p>
        </w:tc>
        <w:tc>
          <w:tcPr>
            <w:tcW w:w="3590"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Caesars Amended and Restated Master Lease</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291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Boyd</w:t>
            </w:r>
          </w:p>
        </w:tc>
        <w:tc>
          <w:tcPr>
            <w:tcW w:w="35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Caesars</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Belterra Casino Resort</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Florence, IN</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Tropicana Atlantic City</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Atlantic City, NJ</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Kansas City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City, MO</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Tropicana Laughlin</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Laughlin, NV</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Ameristar St. Charles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 Charles, MO</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Trop Casino Greenville</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Greenville, MS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Isle Casino Hotel Bettendorf</w:t>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Bettendorf, IA</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Isle Casino Hotel Waterloo</w:t>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Waterloo, IA</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10/15/2018</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10/1/2018</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4/30/2031</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9/30/2038</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October</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years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May-28</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hanging="720"/>
        <w:jc w:val="both"/>
        <w:rPr/>
      </w:pPr>
      <w:r>
        <w:rPr/>
      </w:r>
    </w:p>
    <w:p>
      <w:pPr>
        <w:pStyle w:val="TextBody"/>
        <w:bidi w:val="0"/>
        <w:spacing w:before="160" w:after="283"/>
        <w:ind w:left="0" w:right="0" w:hanging="72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60" w:after="283"/>
        <w:jc w:val="both"/>
        <w:rPr/>
      </w:pPr>
      <w:r>
        <w:rPr/>
      </w:r>
    </w:p>
    <w:tbl>
      <w:tblPr>
        <w:tblW w:w="10205" w:type="dxa"/>
        <w:jc w:val="left"/>
        <w:tblInd w:w="0" w:type="dxa"/>
        <w:tblLayout w:type="fixed"/>
        <w:tblCellMar>
          <w:top w:w="28" w:type="dxa"/>
          <w:left w:w="28" w:type="dxa"/>
          <w:bottom w:w="28" w:type="dxa"/>
          <w:right w:w="28" w:type="dxa"/>
        </w:tblCellMar>
      </w:tblPr>
      <w:tblGrid>
        <w:gridCol w:w="953"/>
        <w:gridCol w:w="836"/>
        <w:gridCol w:w="843"/>
        <w:gridCol w:w="520"/>
        <w:gridCol w:w="505"/>
        <w:gridCol w:w="1032"/>
        <w:gridCol w:w="394"/>
        <w:gridCol w:w="394"/>
        <w:gridCol w:w="398"/>
        <w:gridCol w:w="887"/>
        <w:gridCol w:w="882"/>
        <w:gridCol w:w="818"/>
        <w:gridCol w:w="431"/>
        <w:gridCol w:w="431"/>
        <w:gridCol w:w="393"/>
        <w:gridCol w:w="109"/>
        <w:gridCol w:w="109"/>
        <w:gridCol w:w="109"/>
        <w:gridCol w:w="161"/>
      </w:tblGrid>
      <w:tr>
        <w:trPr/>
        <w:tc>
          <w:tcPr>
            <w:tcW w:w="95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5"/>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Master Leases</w:t>
            </w:r>
          </w:p>
        </w:tc>
        <w:tc>
          <w:tcPr>
            <w:tcW w:w="488" w:type="dxa"/>
            <w:gridSpan w:val="4"/>
            <w:tcBorders/>
          </w:tcPr>
          <w:p>
            <w:pPr>
              <w:pStyle w:val="TableContents"/>
              <w:bidi w:val="0"/>
              <w:spacing w:before="0" w:after="283"/>
              <w:jc w:val="left"/>
              <w:rPr>
                <w:sz w:val="4"/>
                <w:szCs w:val="4"/>
              </w:rPr>
            </w:pPr>
            <w:r>
              <w:rPr>
                <w:sz w:val="4"/>
                <w:szCs w:val="4"/>
              </w:rPr>
            </w:r>
          </w:p>
        </w:tc>
      </w:tr>
      <w:tr>
        <w:trPr/>
        <w:tc>
          <w:tcPr>
            <w:tcW w:w="2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Pennsylvania Live! Master Lease</w:t>
            </w:r>
          </w:p>
        </w:tc>
        <w:tc>
          <w:tcPr>
            <w:tcW w:w="3842"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 Gaming Leases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Cordish</w:t>
            </w:r>
          </w:p>
        </w:tc>
        <w:tc>
          <w:tcPr>
            <w:tcW w:w="38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Strategic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Live! Casino &amp; Hotel Philadelphia</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Silverado Franklin Hotel &amp; Gaming Complex</w:t>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Deadwood, 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Live! Casino Pittsburgh</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Greensburg, PA</w:t>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Deadwood Mountain Grand Casino</w:t>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Deadwood, 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Baldini's Casino</w:t>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Sparks, NV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Sunland Park Race Track &amp; Casino</w:t>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Sunland Park, 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3/1/2022</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5/16/2024</w:t>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2/28/2061</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5/31/2049</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(1x11 years, 1x10 years)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(2x10 years)</w:t>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Master Lease with Cross Collateralization</w:t>
            </w:r>
          </w:p>
        </w:tc>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(2)</w:t>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Yes</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(2)</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(3)</w:t>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w:t>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hanging="72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Consists of two leases that are cross collateralized and co-terminus with each other. </w:t>
      </w:r>
    </w:p>
    <w:p>
      <w:pPr>
        <w:pStyle w:val="TextBody"/>
        <w:bidi w:val="0"/>
        <w:spacing w:lineRule="auto" w:line="276" w:before="160" w:after="283"/>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The default adjusted revenue to rent coverage declines to 1.25 if the tenant's adjusted revenues total $75 million or more. Annual rent escalates at 2% beginning in year three of the lease and in year 11 escalates based on the greater of 2% or CPI, capped at 2.5%. </w:t>
      </w:r>
    </w:p>
    <w:p>
      <w:pPr>
        <w:pStyle w:val="TextBody"/>
        <w:bidi w:val="0"/>
        <w:spacing w:lineRule="auto" w:line="276" w:before="160" w:after="283"/>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Coverage ratio above is pro forma for the acquisition of the real estate assets of Sunland Park which closed on October 15, 2025. </w:t>
      </w:r>
    </w:p>
    <w:p>
      <w:pPr>
        <w:pStyle w:val="TextBody"/>
        <w:bidi w:val="0"/>
        <w:spacing w:before="160" w:after="283"/>
        <w:ind w:left="0" w:right="0" w:hanging="720"/>
        <w:jc w:val="both"/>
        <w:rPr/>
      </w:pPr>
      <w:r>
        <w:rPr/>
      </w:r>
    </w:p>
    <w:p>
      <w:pPr>
        <w:pStyle w:val="TextBody"/>
        <w:bidi w:val="0"/>
        <w:ind w:left="0" w:right="0" w:hanging="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1079"/>
        <w:gridCol w:w="943"/>
        <w:gridCol w:w="964"/>
        <w:gridCol w:w="1040"/>
        <w:gridCol w:w="1038"/>
        <w:gridCol w:w="1016"/>
        <w:gridCol w:w="621"/>
        <w:gridCol w:w="621"/>
        <w:gridCol w:w="623"/>
        <w:gridCol w:w="660"/>
        <w:gridCol w:w="660"/>
        <w:gridCol w:w="940"/>
      </w:tblGrid>
      <w:tr>
        <w:trPr/>
        <w:tc>
          <w:tcPr>
            <w:tcW w:w="107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 Property Leases</w:t>
            </w:r>
          </w:p>
        </w:tc>
      </w:tr>
      <w:tr>
        <w:trPr/>
        <w:tc>
          <w:tcPr>
            <w:tcW w:w="2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Belterra Park Lease</w:t>
            </w:r>
          </w:p>
        </w:tc>
        <w:tc>
          <w:tcPr>
            <w:tcW w:w="18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Horseshoe St. Louis Lease</w:t>
            </w:r>
          </w:p>
        </w:tc>
        <w:tc>
          <w:tcPr>
            <w:tcW w:w="22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Morgantown Lease</w:t>
            </w:r>
          </w:p>
        </w:tc>
      </w:tr>
      <w:tr>
        <w:trPr/>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Boyd</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Caesars</w:t>
            </w:r>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PENN</w:t>
            </w:r>
          </w:p>
        </w:tc>
      </w:tr>
      <w:tr>
        <w:trPr/>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Belterra Park Gaming &amp; Entertainment Center</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Horseshoe St. Louis</w:t>
            </w:r>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Hollywood Casino Morgantown</w:t>
            </w:r>
          </w:p>
        </w:tc>
      </w:tr>
      <w:tr>
        <w:trPr/>
        <w:tc>
          <w:tcPr>
            <w:tcW w:w="2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Cincinnati, OH</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 Louis, MO</w:t>
            </w:r>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Morgantown, PA</w:t>
            </w:r>
          </w:p>
        </w:tc>
      </w:tr>
      <w:tr>
        <w:trPr/>
        <w:tc>
          <w:tcPr>
            <w:tcW w:w="2986" w:type="dxa"/>
            <w:gridSpan w:val="3"/>
            <w:tcBorders/>
            <w:vAlign w:val="center"/>
          </w:tcPr>
          <w:p>
            <w:pPr>
              <w:pStyle w:val="TableContents"/>
              <w:bidi w:val="0"/>
              <w:spacing w:before="0" w:after="283"/>
              <w:jc w:val="left"/>
              <w:rPr>
                <w:sz w:val="4"/>
                <w:szCs w:val="4"/>
              </w:rPr>
            </w:pPr>
            <w:r>
              <w:rPr>
                <w:sz w:val="4"/>
                <w:szCs w:val="4"/>
              </w:rPr>
            </w:r>
          </w:p>
        </w:tc>
        <w:tc>
          <w:tcPr>
            <w:tcW w:w="3094"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r>
      <w:tr>
        <w:trPr/>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10/15/2018</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9/29/2020</w:t>
            </w:r>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10/1/2020</w:t>
            </w:r>
          </w:p>
        </w:tc>
      </w:tr>
      <w:tr>
        <w:trPr/>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04/30/2031</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10/31/2033</w:t>
            </w:r>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10/31/2040</w:t>
            </w:r>
          </w:p>
        </w:tc>
      </w:tr>
      <w:tr>
        <w:trPr/>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(4x5 years)</w:t>
            </w:r>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 (6x5 years)</w:t>
            </w:r>
          </w:p>
        </w:tc>
      </w:tr>
      <w:tr>
        <w:trPr/>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r>
      <w:tr>
        <w:trPr/>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r>
      <w:tr>
        <w:trPr/>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3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1.75% </w:t>
            </w:r>
            <w:r>
              <w:rPr>
                <w:rFonts w:ascii="Times New Roman;serif" w:hAnsi="Times New Roman;serif"/>
                <w:b w:val="false"/>
                <w:color w:val="000000"/>
                <w:sz w:val="10"/>
              </w:rPr>
              <w:t>(1)</w:t>
            </w:r>
            <w:r>
              <w:rPr>
                <w:color w:val="000000"/>
              </w:rPr>
              <w:t xml:space="preserve"> </w:t>
            </w:r>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1.25% </w:t>
            </w:r>
            <w:r>
              <w:rPr>
                <w:rFonts w:ascii="Times New Roman;serif" w:hAnsi="Times New Roman;serif"/>
                <w:b w:val="false"/>
                <w:color w:val="000000"/>
                <w:sz w:val="10"/>
              </w:rPr>
              <w:t>(2)</w:t>
            </w:r>
            <w:r>
              <w:rPr>
                <w:color w:val="000000"/>
              </w:rPr>
              <w:t xml:space="preserve"> </w:t>
            </w:r>
          </w:p>
        </w:tc>
      </w:tr>
      <w:tr>
        <w:trPr/>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w:t>
            </w:r>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w:t>
            </w:r>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w:t>
            </w:r>
          </w:p>
        </w:tc>
      </w:tr>
      <w:tr>
        <w:trPr/>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3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 years</w:t>
            </w:r>
          </w:p>
        </w:tc>
        <w:tc>
          <w:tcPr>
            <w:tcW w:w="1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May-28</w:t>
            </w:r>
          </w:p>
        </w:tc>
        <w:tc>
          <w:tcPr>
            <w:tcW w:w="1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bl>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For the sixth and seventh lease years, after which time the annual escalation becomes 2% for the remaining term of the lease.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 rent for such lease year shall increase by 1.25% of rent as of the immediately preceding lease year, and if the CPI increase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2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54"/>
        <w:gridCol w:w="833"/>
        <w:gridCol w:w="852"/>
        <w:gridCol w:w="669"/>
        <w:gridCol w:w="611"/>
        <w:gridCol w:w="603"/>
        <w:gridCol w:w="619"/>
        <w:gridCol w:w="619"/>
        <w:gridCol w:w="622"/>
        <w:gridCol w:w="1250"/>
        <w:gridCol w:w="1239"/>
        <w:gridCol w:w="1174"/>
        <w:gridCol w:w="160"/>
      </w:tblGrid>
      <w:tr>
        <w:trPr/>
        <w:tc>
          <w:tcPr>
            <w:tcW w:w="95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045" w:type="dxa"/>
            <w:gridSpan w:val="12"/>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 Property Leases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MD Live! Lease</w:t>
            </w:r>
          </w:p>
        </w:tc>
        <w:tc>
          <w:tcPr>
            <w:tcW w:w="18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Tropicana Lease</w:t>
            </w:r>
          </w:p>
        </w:tc>
        <w:tc>
          <w:tcPr>
            <w:tcW w:w="36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Tioga Downs Lease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Cordish</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American Racing and Entertainment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Live! Casino &amp; Hotel Maryland</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Tropicana Las Vegas</w:t>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Tioga Downs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Hanover, MD</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Las Vegas, NV</w:t>
            </w:r>
          </w:p>
        </w:tc>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Nichols, NY</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66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12/29/2021</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9/26/2022</w:t>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2/6/2024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12/31/2060</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9/25/2072</w:t>
            </w:r>
          </w:p>
        </w:tc>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2/28/2054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 (1x11 years, 1x10 years)</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 (1 x 24 years, 1 x 25 years)</w:t>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 years and 10 months (2x10 years, 1x12 years and 10 months)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 (1)</w:t>
            </w:r>
          </w:p>
        </w:tc>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1.75%</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1.75% </w:t>
            </w:r>
            <w:r>
              <w:rPr>
                <w:rFonts w:ascii="Times New Roman;serif" w:hAnsi="Times New Roman;serif"/>
                <w:b w:val="false"/>
                <w:color w:val="000000"/>
                <w:sz w:val="10"/>
              </w:rPr>
              <w:t>(3)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1.98</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w:t>
            </w:r>
          </w:p>
        </w:tc>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1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883"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66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If the tenant's parent's net leverage is greater than 5.5 to 1, then the adjusted revenue to rent coverage for the last two consecutive test periods must be at least 1.35. If the tenant's parent's net leverage is equal to or less than 5.5 to 1, then the ratio shall be reduced to 1.2.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2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 xml:space="preserve">Increases by 1.75% beginning with the first anniversary and increases to 2% beginning in year fifteen of the lease through the remainder of the initial lease term. </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0"/>
        <w:jc w:val="both"/>
        <w:rPr/>
      </w:pPr>
      <w:r>
        <w:rPr/>
      </w:r>
    </w:p>
    <w:p>
      <w:pPr>
        <w:pStyle w:val="TextBody"/>
        <w:bidi w:val="0"/>
        <w:spacing w:before="160" w:after="20"/>
        <w:ind w:left="0" w:right="0" w:hanging="720"/>
        <w:jc w:val="center"/>
        <w:rPr/>
      </w:pPr>
      <w:r>
        <w:rPr/>
      </w:r>
    </w:p>
    <w:tbl>
      <w:tblPr>
        <w:tblW w:w="10203" w:type="dxa"/>
        <w:jc w:val="left"/>
        <w:tblInd w:w="0" w:type="dxa"/>
        <w:tblLayout w:type="fixed"/>
        <w:tblCellMar>
          <w:top w:w="28" w:type="dxa"/>
          <w:left w:w="28" w:type="dxa"/>
          <w:bottom w:w="28" w:type="dxa"/>
          <w:right w:w="28" w:type="dxa"/>
        </w:tblCellMar>
      </w:tblPr>
      <w:tblGrid>
        <w:gridCol w:w="1149"/>
        <w:gridCol w:w="1004"/>
        <w:gridCol w:w="1027"/>
        <w:gridCol w:w="689"/>
        <w:gridCol w:w="689"/>
        <w:gridCol w:w="692"/>
        <w:gridCol w:w="714"/>
        <w:gridCol w:w="714"/>
        <w:gridCol w:w="717"/>
        <w:gridCol w:w="883"/>
        <w:gridCol w:w="883"/>
        <w:gridCol w:w="888"/>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9" w:type="dxa"/>
            <w:gridSpan w:val="12"/>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Single Property Leases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Rockford Lease</w:t>
            </w:r>
          </w:p>
        </w:tc>
        <w:tc>
          <w:tcPr>
            <w:tcW w:w="21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 Chicago Lease</w:t>
            </w:r>
          </w:p>
        </w:tc>
        <w:tc>
          <w:tcPr>
            <w:tcW w:w="26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Virginia Live!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Operator</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(managed by Hard Rock)</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Bally's</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Cordish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Properties</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Hard Rock Casino Rockford</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Bally's Chicago Development</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Cordish Virginia Live! Development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Rockford, IL</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Chicago, IL</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Petersburg, VA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Commencement Date</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8/29/2023</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7/18/2025</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Expiration Date</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8/31/2122</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7/31/2040</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Remaining Renewal Terms</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None</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(4 x 5 years)</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 (1x11 years, 1x10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Guarantee</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Technical Default Landlord Protection</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Default Adjusted Revenue to Rent Coverage</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 (1)</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Competitive Radius Landlord Protection</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Escalator Details</w:t>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Base Rent Escalator Maximum</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Coverage ratio at March 31, 2026</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Escalator Coverage Governor</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Yearly Anniversary for Realization</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Percentage Rent Reset Details</w:t>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Reset Frequency</w:t>
            </w:r>
          </w:p>
        </w:tc>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Next Reset</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If the tenant's parent's net leverage is greater than 5.5 to 1, then the adjusted revenue to rent coverage for the last two consecutive test periods must be at least 1.35. If the tenant's parent's net leverage is equal to or less than 5.5 to 1, then the ratio shall be reduced to 1.2.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(2)    </w:t>
      </w:r>
      <w:r>
        <w:rPr>
          <w:rFonts w:ascii="Times New Roman;serif" w:hAnsi="Times New Roman;serif"/>
          <w:b w:val="false"/>
          <w:color w:val="000000"/>
          <w:sz w:val="20"/>
        </w:rPr>
        <w:t xml:space="preserve">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3"/>
        </w:rPr>
        <w:t>(3)    </w:t>
      </w:r>
      <w:r>
        <w:rPr>
          <w:rFonts w:ascii="Times New Roman;serif" w:hAnsi="Times New Roman;serif"/>
          <w:b w:val="false"/>
          <w:color w:val="000000"/>
          <w:sz w:val="20"/>
        </w:rPr>
        <w:t>During the construction period, amounts funded for the Virginia Live! development are accounted for as real estate loans because the lessee controls the underlying asset under construction. Upon completion of construction and when the facility is ready for its intended use, the Company will apply the sale and leaseback guidance to determine the appropriate lease classification. Pursuant to the lease agreement, the initial lease term expires on the last day of the calendar month in which the 39th anniversary of the facility's opening occurs, and annual rent escalations commence on the first anniversary of the facility's opening date. Accordingly, the lease expiration date and rent escalation anniversary date will be determined upon the facility's opening date.</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Disclosure Regarding 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FFO, FFO per diluted common share and OP/LTIP units, AFFO, AFFO per diluted common share and OP/LTIP units, Adjusted EBITDA and Cash Net Operating Income ("Cash NOI"), which are detailed in the reconciliation tables that accompany this release, are used by the Company as performance measures for benchmarking against the Company’s peers and as internal measures of business operating performance, which is used for a bonus metric. These metrics are presented assuming full conversion of limited partnership units to common shares and therefore before the income statement impact of noncontrolling interests. The Company believes FFO, FFO per diluted common share and OP/LTIP units, AFFO, AFFO per diluted common share and OP/LTIP units, Adjusted EBITDA and Cash NOI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Cash NOI is cash rental income and interest on real estate loans, less cash property level expenses. Cash NOI excludes depreciation, the amortization of land rights, real estate general and administrative expenses, other non-routine costs and the impact of certain generally accepted accounting principles (“GAAP”) adjustments to rental revenue, such as straight-line rent and deferred rent adjustments and non-cash ground lease income and expense. It is management's view that Cash NOI is a performance measure used to evaluate the operating performance of the Company’s real estate operations and provides investors relevant and useful information because it reflects only income and operating expense items that are incurred at the property level and presents them on an unleveraged basis.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FFO, FFO per diluted common share and OP/LTIP units, AFFO, AFFO per diluted common share and OP/LTIP units, Adjusted EBITDA and Cash NOI are non-GAAP financial measures that are considered supplemental measures for the real estate industry and a supplement to GAAP measures. NAREIT defines FFO as net income (computed in accordance with GAAP), excluding (gains) or losses from dispositions of property and real estate depreciation.  We have defined AFFO as FFO excluding, as applicable to the particular period, stock-based compensation expense, the amortization of debt issuance costs, bond premiums and original issuance discounts, other depreciation, the amortization of land rights, accretion on investment in leases, non-cash adjustments to financing lease liabilities, straight-line rent and deferred rent adjustments, losses on debt extinguishment and other financing costs, severance charges, capitalized interest and provision (benefit) for credit losses, net, reduced by capital maintenance expenditures. We have defined Adjusted EBITDA as net income excluding, as applicable to the particular period, interest, net, income tax expense, real estate depreciation, other depreciation, (gains) or losses from dispositions of property, stock-based compensation expense, straight-line rent and deferred rent adjustments, the amortization of land rights, accretion on investment in leases, non-cash adjustments to financing lease liabilities, losses on debt extinguishment and other financing costs, severance charges, and provision (benefit) for credit losses, net. Finally, we have defined Cash NOI as Adjusted EBITDA excluding general and administrative expenses and including stock-based compensation expense and severance charges.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FFO, FFO per diluted common share and OP/LTIP units, AFFO, AFFO per diluted common share and OP/LTIP units, Adjusted EBITDA and Cash NOI are not recognized terms under GAAP. 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an indication of our ability to fund all of our cash needs, including to make cash distributions to our shareholders, to fund capital improvements, or to make interest payments on our indebtedness. Investors are also cautioned that FFO, FFO per diluted common share and OP/LTIP units, AFFO, AFFO per diluted common share and OP/LTIP units, Adjusted EBITDA and Cash NOI,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About Gaming and Leisure Properties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GLPI is engaged in the business of acquiring, financing, and owning real estate property to be leased to gaming operators in triple-net lease arrangements, pursuant to which the tenant is responsible for all facility maintenance, insurance required in connection with the leased properties and the business conducted on the leased properties, including coverage of the landlord's interests, taxes levied on or with respect to the leased properties and all utilities and other services necessary or appropriate for the leased properties and the business conducted on the leased properties. The Company also extends loans that produce fixed or variable returns which may convert into leased rent upon project completion or stabilization.</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before="0" w:after="0"/>
        <w:jc w:val="both"/>
        <w:rPr/>
      </w:pPr>
      <w:r>
        <w:rPr/>
      </w:r>
    </w:p>
    <w:p>
      <w:pPr>
        <w:pStyle w:val="TextBody"/>
        <w:bidi w:val="0"/>
        <w:spacing w:lineRule="auto" w:line="232"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includes “forward-looking statements” within the meaning of Section 27A of the Securities Act of 1933, as amended, and Section 21E of the Securities Exchange Act of 1934, as amended, including our expectations regarding our future growth and cash flows in 2026 and beyond, 2026 AFFO guidance, the future issuance of securities and the Company benefiting from recent portfolio additions and completed transactions. Forward-looking statements can be identified by the use of forward-looking terminology such as “expects,” “believes,” “estimates,” “intends,” “may,” “will,” “should” or “anticipates” or the negative or other variation of these or similar words, or by discussions of future events, strategies or risks and uncertainties. Such forward looking statements are inherently subject to risks, uncertainties and assumptions about GLPI and its subsidiaries, including risks related to the following: the ability of GLPI or its partners to successfully complete construction of various casino projects currently under development for which GLPI has agreed to provide construction development funding, including Bally’s Chicago, and the ability and willingness of GLPI’s partners to meet and/or perform their respective obligations under the applicable construction financing and/or development documents; the impact that higher inflation and interest rates and uncertainty with respect to the future state of the economy could have on discretionary consumer spending, including the casino operations of our tenants; unforeseen consequences related to U.S. government economic, monetary or trade policies and stimulus packages on inflation rates, interest rates and economic growth; geopolitical events, including recent conflicts in the Middle East, and their potential impact on U.S. Treasury yields and inflation rates; the ability of GLPI’s tenants to maintain the financial strength and liquidity necessary to satisfy their respective obligations and liabilities to third parties, including, without limitation, to satisfy obligations under their existing credit facilities and other indebtedness; the availability of and the ability to identify suitable and attractive acquisition and development opportunities and the ability to acquire and lease the respective properties on favorable terms; the degree and nature of GLPI's competition; the ability to receive, or delays in obtaining, the regulatory approvals required to own its properties, or other delays or impediments to completing GLPI's planned acquisitions or projects; the potential of a new pandemic or similar national health crisis, including its effect on the ability or desire of people to gather in large groups (including in casinos), which could impact GLPI’s financial results, operations, outlooks, plans, goals, growth, cash flows, liquidity, and stock price; GLPI's ability to maintain its status as a REIT, given the highly technical and complex Internal Revenue Code provisions for which only limited judicial and administrative authorities exist, where even a technical or inadvertent violation could jeopardize REIT qualification and where requirements may depend in part on the actions of third parties over which GLPI has no control or only limited influence; GLPI's ability to satisfy certain asset, income, organizational, distribution, shareholder ownership and other requirements on a continuing basis in order for GLPI to maintain its REIT status; the ability and willingness of GLPI’s tenants and other third parties to meet and/or perform their obligations under their respective contractual arrangements with GLPI, including lease and note requirements and in some cases, their obligations to indemnify, defend and hold GLPI harmless from and against various claims, litigation and liabilities; the ability of GLPI’s tenants to comply with laws, rules and regulations in the operation of GLPI’s properties, to deliver high quality services, to attract and retain qualified personnel and to attract customers; GLPI's ability to generate sufficient cash flows to service and comply with financial covenants under GLPI’s outstanding indebtedness; GLPI's ability to access capital through debt and equity markets in amounts and at rates and costs acceptable to GLPI, including for the satisfaction of GLPI's funding commitments to the extent drawn by its partners, acquisitions or refinancings due to maturities; with respect to our tenant funding commitments, the amounts drawn and the timing of these draws may be different than what the Company assumed; adverse changes in GLPI’s credit rating; the availability of qualified personnel and GLPI’s ability to retain its key management personnel; changes in the U.S. tax law and other federal, state or local laws, whether or not specific to real estate, REITs or to the gaming, lodging or hospitality industries; changes in accounting standards; the impact of weather or climate events or conditions, natural disasters, acts of terrorism and other international hostilities, war (including the current conflict between Russia and Ukraine and conflicts in the Middle East) or political instability; the risk that the historical financial statements included herein do not reflect what the business, financial position or results of operations of GLPI may be in the future; other risks inherent in the real estate business, including potential liability relating to environmental matters and illiquidity of real estate investments; and other factors described in GLPI’s Annual Report on Form 10-K for the year ended December 31, 2025, Quarterly Reports on Form 10-Q and Current Reports on Form 8-K, each as filed with the Securities and Exchange Commission. All subsequent written and oral forward-looking statements attributable to GLPI or persons acting on GLPI’s behalf are expressly qualified in their entirety by the cautionary statements included in this press release. GLPI undertakes no obligation to publicly update or revise any forward-looking statements contained or incorporated by reference herein, whether as a result of new information, future events or otherwise, except as required by law. In light of these risks, uncertainties and assumptions, the forward-looking events discussed in this press release may not occur as presented or at all.</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Contact</w:t>
      </w:r>
    </w:p>
    <w:p>
      <w:pPr>
        <w:pStyle w:val="TextBody"/>
        <w:bidi w:val="0"/>
        <w:spacing w:lineRule="auto" w:line="276" w:before="0" w:after="0"/>
        <w:jc w:val="left"/>
        <w:rPr/>
      </w:pPr>
      <w:r>
        <w:rPr>
          <w:rFonts w:ascii="Times New Roman;serif" w:hAnsi="Times New Roman;serif"/>
          <w:b/>
          <w:color w:val="000000"/>
          <w:sz w:val="20"/>
        </w:rPr>
        <w:t>Gaming and Leisure Properties, Inc.                Investor Relations</w:t>
      </w:r>
      <w:r>
        <w:rPr>
          <w:color w:val="000000"/>
        </w:rPr>
        <w:t xml:space="preserve">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Carlo Santarelli, SVP Corporate Strategy &amp; Investor Relations        Joseph Jaffoni at JCIR</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610/378-8232                            212/835-8500</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investorinquiries@glpropinc.com                    glpi@jcir.com</w:t>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0"/>
        <w:jc w:val="center"/>
        <w:rPr/>
      </w:pPr>
      <w:bookmarkStart w:id="0" w:name="quarterlysupplementalq22.htm"/>
      <w:bookmarkStart w:id="1" w:name="ksquarterlysupplementalq22"/>
      <w:bookmarkEnd w:id="0"/>
      <w:bookmarkEnd w:id="1"/>
      <w:r>
        <w:rPr/>
        <w:drawing>
          <wp:inline distT="0" distB="0" distL="0" distR="0">
            <wp:extent cx="9753600" cy="7315200"/>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jc w:val="center"/>
        <w:rPr>
          <w:color w:val="FFFFFF"/>
          <w:sz w:val="2"/>
        </w:rPr>
      </w:pPr>
      <w:r>
        <w:rPr>
          <w:color w:val="FFFFFF"/>
          <w:sz w:val="2"/>
        </w:rPr>
        <w:t>Supplemental</w:t>
        <w:tab/>
        <w:t>Financial</w:t>
        <w:tab/>
        <w:t>Information 2Q</w:t>
        <w:tab/>
        <w:t xml:space="preserve">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 R 41 G 41 B 41 R 255 G 255 B 255 R 207 G 182 B 103 R 163 G 131 B 56 R 31 G 73 B 125 R 144 G 124 B 75 R 79 G 129 B 189 R 235 G 235 B 237 R 128 G 100 B 162 R 199 G 198 B 215 This</w:t>
        <w:tab/>
        <w:t>presentation</w:t>
        <w:tab/>
        <w:t xml:space="preserve"> includes</w:t>
        <w:tab/>
        <w:t xml:space="preserve"> “forward-looking</w:t>
        <w:tab/>
        <w:t xml:space="preserve"> statements”</w:t>
        <w:tab/>
        <w:t>within</w:t>
        <w:tab/>
        <w:t xml:space="preserve"> the</w:t>
        <w:tab/>
        <w:t>meaning</w:t>
        <w:tab/>
        <w:t>of</w:t>
        <w:tab/>
        <w:t xml:space="preserve"> Section</w:t>
        <w:tab/>
        <w:t>27A</w:t>
        <w:tab/>
        <w:t>of</w:t>
        <w:tab/>
        <w:t xml:space="preserve"> the</w:t>
        <w:tab/>
        <w:t>Securities</w:t>
        <w:tab/>
        <w:t>Act</w:t>
        <w:tab/>
        <w:t>of</w:t>
        <w:tab/>
        <w:t>1933,</w:t>
        <w:tab/>
        <w:t xml:space="preserve"> as</w:t>
        <w:tab/>
        <w:t xml:space="preserve"> amended,</w:t>
        <w:tab/>
        <w:t xml:space="preserve"> and</w:t>
        <w:tab/>
        <w:t>Section</w:t>
        <w:tab/>
        <w:t>21E</w:t>
        <w:tab/>
        <w:t>of</w:t>
        <w:tab/>
        <w:t xml:space="preserve"> the</w:t>
        <w:tab/>
        <w:t>Securities</w:t>
        <w:tab/>
        <w:t xml:space="preserve"> Exchange</w:t>
        <w:tab/>
        <w:t xml:space="preserve"> Act</w:t>
        <w:tab/>
        <w:t xml:space="preserve"> of</w:t>
        <w:tab/>
        <w:t xml:space="preserve"> 1934,</w:t>
        <w:tab/>
        <w:t xml:space="preserve"> as</w:t>
        <w:tab/>
        <w:t xml:space="preserve"> amended</w:t>
        <w:tab/>
        <w:t xml:space="preserve"> Statements</w:t>
        <w:tab/>
        <w:t xml:space="preserve"> preceded</w:t>
        <w:tab/>
        <w:t xml:space="preserve"> by,</w:t>
        <w:tab/>
        <w:t xml:space="preserve"> followed</w:t>
        <w:tab/>
        <w:t xml:space="preserve"> by</w:t>
        <w:tab/>
        <w:t xml:space="preserve"> or</w:t>
        <w:tab/>
        <w:t xml:space="preserve"> that</w:t>
        <w:tab/>
        <w:t xml:space="preserve"> otherwise</w:t>
        <w:tab/>
        <w:t xml:space="preserve"> include</w:t>
        <w:tab/>
        <w:t xml:space="preserve"> the</w:t>
        <w:tab/>
        <w:t>words</w:t>
        <w:tab/>
        <w:t xml:space="preserve"> "believes,"</w:t>
        <w:tab/>
        <w:t xml:space="preserve"> "expects,"</w:t>
        <w:tab/>
        <w:t xml:space="preserve"> "anticipates,"</w:t>
        <w:tab/>
        <w:t xml:space="preserve"> "intends,"</w:t>
        <w:tab/>
        <w:t xml:space="preserve"> "projects,"</w:t>
        <w:tab/>
        <w:t xml:space="preserve"> "estimates,"</w:t>
        <w:tab/>
        <w:t>"plans,"</w:t>
        <w:tab/>
        <w:t>"may</w:t>
        <w:tab/>
        <w:t>increase,"</w:t>
        <w:tab/>
        <w:t>"may</w:t>
        <w:tab/>
        <w:t>fluctuate,"</w:t>
        <w:tab/>
        <w:t>and</w:t>
        <w:tab/>
        <w:t>similar</w:t>
        <w:tab/>
        <w:t>expressions</w:t>
        <w:tab/>
        <w:t>or</w:t>
        <w:tab/>
        <w:t>future</w:t>
        <w:tab/>
        <w:t>or</w:t>
        <w:tab/>
        <w:t>conditional</w:t>
        <w:tab/>
        <w:t>verbs</w:t>
        <w:tab/>
        <w:t>such</w:t>
        <w:tab/>
        <w:t>as</w:t>
        <w:tab/>
        <w:t>"will,"</w:t>
        <w:tab/>
        <w:t>"should,"</w:t>
        <w:tab/>
        <w:t>"would,"</w:t>
        <w:tab/>
        <w:t>"may"</w:t>
        <w:tab/>
        <w:t>and</w:t>
        <w:tab/>
        <w:t>"could"</w:t>
        <w:tab/>
        <w:t>are</w:t>
        <w:tab/>
        <w:t>generally</w:t>
        <w:tab/>
        <w:t xml:space="preserve"> forward-looking</w:t>
        <w:tab/>
        <w:t>in</w:t>
        <w:tab/>
        <w:t>nature</w:t>
        <w:tab/>
        <w:t>and</w:t>
        <w:tab/>
        <w:t>not</w:t>
        <w:tab/>
        <w:t>historical</w:t>
        <w:tab/>
        <w:t>facts.</w:t>
        <w:tab/>
        <w:t>Such</w:t>
        <w:tab/>
        <w:t>forward-looking</w:t>
        <w:tab/>
        <w:t>statements</w:t>
        <w:tab/>
        <w:t>are</w:t>
        <w:tab/>
        <w:t>inherently</w:t>
        <w:tab/>
        <w:t>subject</w:t>
        <w:tab/>
        <w:t>to</w:t>
        <w:tab/>
        <w:t>risks,</w:t>
        <w:tab/>
        <w:t>uncertainties</w:t>
        <w:tab/>
        <w:t>and</w:t>
        <w:tab/>
        <w:t>assumptions,</w:t>
        <w:tab/>
        <w:t>including</w:t>
        <w:tab/>
        <w:t>the</w:t>
        <w:tab/>
        <w:t>following:</w:t>
        <w:tab/>
        <w:t xml:space="preserve"> • our</w:t>
        <w:tab/>
        <w:t>partner’s</w:t>
        <w:tab/>
        <w:t>ability</w:t>
        <w:tab/>
        <w:t>to</w:t>
        <w:tab/>
        <w:t>successfully</w:t>
        <w:tab/>
        <w:t>complete</w:t>
        <w:tab/>
        <w:t>construction</w:t>
        <w:tab/>
        <w:t>of</w:t>
        <w:tab/>
        <w:t>various</w:t>
        <w:tab/>
        <w:t>casino</w:t>
        <w:tab/>
        <w:t>projects</w:t>
        <w:tab/>
        <w:t>currently</w:t>
        <w:tab/>
        <w:t>under</w:t>
        <w:tab/>
        <w:t>development</w:t>
        <w:tab/>
        <w:t>for</w:t>
        <w:tab/>
        <w:t>which</w:t>
        <w:tab/>
        <w:t>we</w:t>
        <w:tab/>
        <w:t>have</w:t>
        <w:tab/>
        <w:t>agreed</w:t>
        <w:tab/>
        <w:t>to</w:t>
        <w:tab/>
        <w:t>provide</w:t>
        <w:tab/>
        <w:t>construction</w:t>
        <w:tab/>
        <w:t xml:space="preserve"> development</w:t>
        <w:tab/>
        <w:t>funding,</w:t>
        <w:tab/>
        <w:t>including</w:t>
        <w:tab/>
        <w:t>Bally’s</w:t>
        <w:tab/>
        <w:t>Chicago,</w:t>
        <w:tab/>
        <w:t>and</w:t>
        <w:tab/>
        <w:t>the</w:t>
        <w:tab/>
        <w:t>ability</w:t>
        <w:tab/>
        <w:t>and</w:t>
        <w:tab/>
        <w:t>willingness</w:t>
        <w:tab/>
        <w:t>of</w:t>
        <w:tab/>
        <w:t>our</w:t>
        <w:tab/>
        <w:t>partners</w:t>
        <w:tab/>
        <w:t>to</w:t>
        <w:tab/>
        <w:t>obtain</w:t>
        <w:tab/>
        <w:t>timely</w:t>
        <w:tab/>
        <w:t>the</w:t>
        <w:tab/>
        <w:t>requisite</w:t>
        <w:tab/>
        <w:t>regulatory</w:t>
        <w:tab/>
        <w:t>approvals</w:t>
        <w:tab/>
        <w:t>and</w:t>
        <w:tab/>
        <w:t>meet</w:t>
        <w:tab/>
        <w:t>and/or</w:t>
        <w:tab/>
        <w:t xml:space="preserve"> perform</w:t>
        <w:tab/>
        <w:t>their</w:t>
        <w:tab/>
        <w:t>respective</w:t>
        <w:tab/>
        <w:t>obligations</w:t>
        <w:tab/>
        <w:t>under</w:t>
        <w:tab/>
        <w:t>the</w:t>
        <w:tab/>
        <w:t>applicable</w:t>
        <w:tab/>
        <w:t>construction</w:t>
        <w:tab/>
        <w:t>financing</w:t>
        <w:tab/>
        <w:t>and/or</w:t>
        <w:tab/>
        <w:t>development</w:t>
        <w:tab/>
        <w:t>documents; • the</w:t>
        <w:tab/>
        <w:t xml:space="preserve"> impact</w:t>
        <w:tab/>
        <w:t xml:space="preserve"> that</w:t>
        <w:tab/>
        <w:t xml:space="preserve"> United</w:t>
        <w:tab/>
        <w:t xml:space="preserve"> States</w:t>
        <w:tab/>
        <w:t xml:space="preserve"> ("U.S.")</w:t>
        <w:tab/>
        <w:t xml:space="preserve"> government,</w:t>
        <w:tab/>
        <w:t xml:space="preserve"> economic,</w:t>
        <w:tab/>
        <w:t xml:space="preserve"> monetary</w:t>
        <w:tab/>
        <w:t xml:space="preserve"> or</w:t>
        <w:tab/>
        <w:t xml:space="preserve"> trade</w:t>
        <w:tab/>
        <w:t xml:space="preserve"> policies</w:t>
        <w:tab/>
        <w:t xml:space="preserve"> and</w:t>
        <w:tab/>
        <w:t xml:space="preserve"> stimulus</w:t>
        <w:tab/>
        <w:t xml:space="preserve"> packages</w:t>
        <w:tab/>
        <w:t xml:space="preserve"> could</w:t>
        <w:tab/>
        <w:t xml:space="preserve"> have</w:t>
        <w:tab/>
        <w:t xml:space="preserve"> on</w:t>
        <w:tab/>
        <w:t xml:space="preserve"> inflation</w:t>
        <w:tab/>
        <w:t xml:space="preserve"> rates,</w:t>
        <w:tab/>
        <w:t xml:space="preserve"> interest</w:t>
        <w:tab/>
        <w:t xml:space="preserve"> rates,</w:t>
        <w:tab/>
        <w:t xml:space="preserve"> economic</w:t>
        <w:tab/>
        <w:t>growth</w:t>
        <w:tab/>
        <w:t>and</w:t>
        <w:tab/>
        <w:t>discretionary</w:t>
        <w:tab/>
        <w:t>consumer</w:t>
        <w:tab/>
        <w:t>spending,</w:t>
        <w:tab/>
        <w:t>including</w:t>
        <w:tab/>
        <w:t>the</w:t>
        <w:tab/>
        <w:t>casino</w:t>
        <w:tab/>
        <w:t>operations</w:t>
        <w:tab/>
        <w:t>of</w:t>
        <w:tab/>
        <w:t>our</w:t>
        <w:tab/>
        <w:t>tenants; • geopolitical</w:t>
        <w:tab/>
        <w:t>events,</w:t>
        <w:tab/>
        <w:t>including</w:t>
        <w:tab/>
        <w:t>recent</w:t>
        <w:tab/>
        <w:t>conflicts</w:t>
        <w:tab/>
        <w:t>in</w:t>
        <w:tab/>
        <w:t>the</w:t>
        <w:tab/>
        <w:t>Middle</w:t>
        <w:tab/>
        <w:t>East,</w:t>
        <w:tab/>
        <w:t>and</w:t>
        <w:tab/>
        <w:t>their</w:t>
        <w:tab/>
        <w:t>potential</w:t>
        <w:tab/>
        <w:t>impact</w:t>
        <w:tab/>
        <w:t>on</w:t>
        <w:tab/>
        <w:t>U.S.</w:t>
        <w:tab/>
        <w:t>Treasury</w:t>
        <w:tab/>
        <w:t>yields</w:t>
        <w:tab/>
        <w:t>and</w:t>
        <w:tab/>
        <w:t>inflation</w:t>
        <w:tab/>
        <w:t>rates; • the</w:t>
        <w:tab/>
        <w:t>ability</w:t>
        <w:tab/>
        <w:t>of</w:t>
        <w:tab/>
        <w:t>our</w:t>
        <w:tab/>
        <w:t>tenants</w:t>
        <w:tab/>
        <w:t>to</w:t>
        <w:tab/>
        <w:t>comply</w:t>
        <w:tab/>
        <w:t>with</w:t>
        <w:tab/>
        <w:t>laws,</w:t>
        <w:tab/>
        <w:t>rules</w:t>
        <w:tab/>
        <w:t>and</w:t>
        <w:tab/>
        <w:t>regulations</w:t>
        <w:tab/>
        <w:t>in</w:t>
        <w:tab/>
        <w:t>the</w:t>
        <w:tab/>
        <w:t>operation</w:t>
        <w:tab/>
        <w:t>of</w:t>
        <w:tab/>
        <w:t>our</w:t>
        <w:tab/>
        <w:t>properties,</w:t>
        <w:tab/>
        <w:t>to</w:t>
        <w:tab/>
        <w:t>deliver</w:t>
        <w:tab/>
        <w:t>high</w:t>
        <w:tab/>
        <w:t>quality</w:t>
        <w:tab/>
        <w:t>services,</w:t>
        <w:tab/>
        <w:t>to</w:t>
        <w:tab/>
        <w:t>attract</w:t>
        <w:tab/>
        <w:t>and</w:t>
        <w:tab/>
        <w:t>retain</w:t>
        <w:tab/>
        <w:t>qualified</w:t>
        <w:tab/>
        <w:t xml:space="preserve"> personnel,</w:t>
        <w:tab/>
        <w:t xml:space="preserve"> to</w:t>
        <w:tab/>
        <w:t>attract</w:t>
        <w:tab/>
        <w:t>customers</w:t>
        <w:tab/>
        <w:t>and</w:t>
        <w:tab/>
        <w:t>to</w:t>
        <w:tab/>
        <w:t>maintain</w:t>
        <w:tab/>
        <w:t xml:space="preserve"> the</w:t>
        <w:tab/>
        <w:t xml:space="preserve"> financial</w:t>
        <w:tab/>
        <w:t xml:space="preserve"> strength</w:t>
        <w:tab/>
        <w:t>and</w:t>
        <w:tab/>
        <w:t xml:space="preserve"> liquidity</w:t>
        <w:tab/>
        <w:t>necessary</w:t>
        <w:tab/>
        <w:t xml:space="preserve"> to</w:t>
        <w:tab/>
        <w:t>satisfy</w:t>
        <w:tab/>
        <w:t xml:space="preserve"> their</w:t>
        <w:tab/>
        <w:t xml:space="preserve"> respective</w:t>
        <w:tab/>
        <w:t>obligations</w:t>
        <w:tab/>
        <w:t>and</w:t>
        <w:tab/>
        <w:t xml:space="preserve"> liabilities</w:t>
        <w:tab/>
        <w:t xml:space="preserve"> to</w:t>
        <w:tab/>
        <w:t>us</w:t>
        <w:tab/>
        <w:t>and</w:t>
        <w:tab/>
        <w:t>third</w:t>
        <w:tab/>
        <w:t xml:space="preserve"> parties; • the</w:t>
        <w:tab/>
        <w:t>availability</w:t>
        <w:tab/>
        <w:t>of</w:t>
        <w:tab/>
        <w:t>and</w:t>
        <w:tab/>
        <w:t>the</w:t>
        <w:tab/>
        <w:t>ability</w:t>
        <w:tab/>
        <w:t>to</w:t>
        <w:tab/>
        <w:t>identify</w:t>
        <w:tab/>
        <w:t>and</w:t>
        <w:tab/>
        <w:t>consummate</w:t>
        <w:tab/>
        <w:t>suitable</w:t>
        <w:tab/>
        <w:t>and</w:t>
        <w:tab/>
        <w:t>attractive</w:t>
        <w:tab/>
        <w:t>acquisition</w:t>
        <w:tab/>
        <w:t>and</w:t>
        <w:tab/>
        <w:t>development</w:t>
        <w:tab/>
        <w:t>opportunities</w:t>
        <w:tab/>
        <w:t>on</w:t>
        <w:tab/>
        <w:t>favorable</w:t>
        <w:tab/>
        <w:t>terms; • the</w:t>
        <w:tab/>
        <w:t>degree</w:t>
        <w:tab/>
        <w:t>and</w:t>
        <w:tab/>
        <w:t>nature</w:t>
        <w:tab/>
        <w:t>of</w:t>
        <w:tab/>
        <w:t>our</w:t>
        <w:tab/>
        <w:t>competition; • the</w:t>
        <w:tab/>
        <w:t xml:space="preserve"> impact</w:t>
        <w:tab/>
        <w:t xml:space="preserve"> of</w:t>
        <w:tab/>
        <w:t>weather</w:t>
        <w:tab/>
        <w:t xml:space="preserve"> or</w:t>
        <w:tab/>
        <w:t xml:space="preserve"> climate</w:t>
        <w:tab/>
        <w:t xml:space="preserve"> events</w:t>
        <w:tab/>
        <w:t xml:space="preserve"> or</w:t>
        <w:tab/>
        <w:t xml:space="preserve"> conditions,</w:t>
        <w:tab/>
        <w:t xml:space="preserve"> natural</w:t>
        <w:tab/>
        <w:t xml:space="preserve"> disasters,</w:t>
        <w:tab/>
        <w:t xml:space="preserve"> acts</w:t>
        <w:tab/>
        <w:t xml:space="preserve"> of</w:t>
        <w:tab/>
        <w:t xml:space="preserve"> terrorism</w:t>
        <w:tab/>
        <w:t xml:space="preserve"> and</w:t>
        <w:tab/>
        <w:t xml:space="preserve"> other</w:t>
        <w:tab/>
        <w:t xml:space="preserve"> international</w:t>
        <w:tab/>
        <w:t xml:space="preserve"> hostilities,</w:t>
        <w:tab/>
        <w:t>war,</w:t>
        <w:tab/>
        <w:t xml:space="preserve"> political</w:t>
        <w:tab/>
        <w:t xml:space="preserve"> instability</w:t>
        <w:tab/>
        <w:t xml:space="preserve"> or</w:t>
        <w:tab/>
        <w:t xml:space="preserve"> a</w:t>
        <w:tab/>
        <w:t xml:space="preserve"> new</w:t>
        <w:tab/>
        <w:t xml:space="preserve"> pandemic</w:t>
        <w:tab/>
        <w:t>or</w:t>
        <w:tab/>
        <w:t>similar</w:t>
        <w:tab/>
        <w:t>national</w:t>
        <w:tab/>
        <w:t>health</w:t>
        <w:tab/>
        <w:t>crisis</w:t>
        <w:tab/>
        <w:t>on</w:t>
        <w:tab/>
        <w:t>the</w:t>
        <w:tab/>
        <w:t>ability</w:t>
        <w:tab/>
        <w:t>or</w:t>
        <w:tab/>
        <w:t>desire</w:t>
        <w:tab/>
        <w:t>of</w:t>
        <w:tab/>
        <w:t>people</w:t>
        <w:tab/>
        <w:t>to</w:t>
        <w:tab/>
        <w:t>gather</w:t>
        <w:tab/>
        <w:t>in</w:t>
        <w:tab/>
        <w:t>large</w:t>
        <w:tab/>
        <w:t>groups</w:t>
        <w:tab/>
        <w:t>(including</w:t>
        <w:tab/>
        <w:t>in</w:t>
        <w:tab/>
        <w:t>casinos),</w:t>
        <w:tab/>
        <w:t>which</w:t>
        <w:tab/>
        <w:t>could</w:t>
        <w:tab/>
        <w:t>impact</w:t>
        <w:tab/>
        <w:t>our</w:t>
        <w:tab/>
        <w:t>financial</w:t>
        <w:tab/>
        <w:t>results,</w:t>
        <w:tab/>
        <w:t xml:space="preserve"> prospects,</w:t>
        <w:tab/>
        <w:t>liquidity,</w:t>
        <w:tab/>
        <w:t>and</w:t>
        <w:tab/>
        <w:t>stock</w:t>
        <w:tab/>
        <w:t>price; • the</w:t>
        <w:tab/>
        <w:t>ability</w:t>
        <w:tab/>
        <w:t>of</w:t>
        <w:tab/>
        <w:t>our</w:t>
        <w:tab/>
        <w:t>tenants</w:t>
        <w:tab/>
        <w:t>and</w:t>
        <w:tab/>
        <w:t>borrowers</w:t>
        <w:tab/>
        <w:t>to</w:t>
        <w:tab/>
        <w:t>meet</w:t>
        <w:tab/>
        <w:t>or</w:t>
        <w:tab/>
        <w:t>perform</w:t>
        <w:tab/>
        <w:t>their</w:t>
        <w:tab/>
        <w:t>obligations</w:t>
        <w:tab/>
        <w:t>under</w:t>
        <w:tab/>
        <w:t>their</w:t>
        <w:tab/>
        <w:t>leases</w:t>
        <w:tab/>
        <w:t>and</w:t>
        <w:tab/>
        <w:t>financing</w:t>
        <w:tab/>
        <w:t>arrangements</w:t>
        <w:tab/>
        <w:t>with</w:t>
        <w:tab/>
        <w:t>us; • our</w:t>
        <w:tab/>
        <w:t>ability</w:t>
        <w:tab/>
        <w:t>to</w:t>
        <w:tab/>
        <w:t>generate</w:t>
        <w:tab/>
        <w:t>sufficient</w:t>
        <w:tab/>
        <w:t>cash</w:t>
        <w:tab/>
        <w:t>flows</w:t>
        <w:tab/>
        <w:t>to</w:t>
        <w:tab/>
        <w:t>service</w:t>
        <w:tab/>
        <w:t>and</w:t>
        <w:tab/>
        <w:t>comply</w:t>
        <w:tab/>
        <w:t>with</w:t>
        <w:tab/>
        <w:t>financial</w:t>
        <w:tab/>
        <w:t>covenants</w:t>
        <w:tab/>
        <w:t>under</w:t>
        <w:tab/>
        <w:t>our</w:t>
        <w:tab/>
        <w:t>outstanding</w:t>
        <w:tab/>
        <w:t>indebtedness</w:t>
        <w:tab/>
        <w:t>and</w:t>
        <w:tab/>
        <w:t>maintain</w:t>
        <w:tab/>
        <w:t>or</w:t>
        <w:tab/>
        <w:t>improve</w:t>
        <w:tab/>
        <w:t>our</w:t>
        <w:tab/>
        <w:t>credit</w:t>
        <w:tab/>
        <w:t xml:space="preserve"> ratings,</w:t>
        <w:tab/>
        <w:t>and</w:t>
        <w:tab/>
        <w:t>our</w:t>
        <w:tab/>
        <w:t>ability</w:t>
        <w:tab/>
        <w:t>to</w:t>
        <w:tab/>
        <w:t>access</w:t>
        <w:tab/>
        <w:t>capital</w:t>
        <w:tab/>
        <w:t>through</w:t>
        <w:tab/>
        <w:t>debt</w:t>
        <w:tab/>
        <w:t>and</w:t>
        <w:tab/>
        <w:t>equity</w:t>
        <w:tab/>
        <w:t>markets</w:t>
        <w:tab/>
        <w:t>in</w:t>
        <w:tab/>
        <w:t>amounts</w:t>
        <w:tab/>
        <w:t>and</w:t>
        <w:tab/>
        <w:t>at</w:t>
        <w:tab/>
        <w:t>rates</w:t>
        <w:tab/>
        <w:t>and</w:t>
        <w:tab/>
        <w:t>costs</w:t>
        <w:tab/>
        <w:t>acceptable</w:t>
        <w:tab/>
        <w:t>to</w:t>
        <w:tab/>
        <w:t>GLPI; • with</w:t>
        <w:tab/>
        <w:t>respect</w:t>
        <w:tab/>
        <w:t>to</w:t>
        <w:tab/>
        <w:t>our</w:t>
        <w:tab/>
        <w:t>tenant</w:t>
        <w:tab/>
        <w:t>funding</w:t>
        <w:tab/>
        <w:t>commitments,</w:t>
        <w:tab/>
        <w:t>the</w:t>
        <w:tab/>
        <w:t>amounts</w:t>
        <w:tab/>
        <w:t>drawn</w:t>
        <w:tab/>
        <w:t>and</w:t>
        <w:tab/>
        <w:t>the</w:t>
        <w:tab/>
        <w:t>timing</w:t>
        <w:tab/>
        <w:t>of</w:t>
        <w:tab/>
        <w:t>these</w:t>
        <w:tab/>
        <w:t>draws</w:t>
        <w:tab/>
        <w:t>may</w:t>
        <w:tab/>
        <w:t>be</w:t>
        <w:tab/>
        <w:t>different</w:t>
        <w:tab/>
        <w:t>than</w:t>
        <w:tab/>
        <w:t>what</w:t>
        <w:tab/>
        <w:t>the</w:t>
        <w:tab/>
        <w:t>Company</w:t>
        <w:tab/>
        <w:t>assumed; • the</w:t>
        <w:tab/>
        <w:t>availability</w:t>
        <w:tab/>
        <w:t>of</w:t>
        <w:tab/>
        <w:t>qualified</w:t>
        <w:tab/>
        <w:t>personnel</w:t>
        <w:tab/>
        <w:t>and</w:t>
        <w:tab/>
        <w:t>our</w:t>
        <w:tab/>
        <w:t>ability</w:t>
        <w:tab/>
        <w:t>to</w:t>
        <w:tab/>
        <w:t>retain</w:t>
        <w:tab/>
        <w:t>our</w:t>
        <w:tab/>
        <w:t>key</w:t>
        <w:tab/>
        <w:t>management</w:t>
        <w:tab/>
        <w:t>personnel; • changes</w:t>
        <w:tab/>
        <w:t xml:space="preserve"> in</w:t>
        <w:tab/>
        <w:t>accounting</w:t>
        <w:tab/>
        <w:t>standards</w:t>
        <w:tab/>
        <w:t>or</w:t>
        <w:tab/>
        <w:t>the</w:t>
        <w:tab/>
        <w:t>U.S.</w:t>
        <w:tab/>
        <w:t xml:space="preserve"> tax</w:t>
        <w:tab/>
        <w:t xml:space="preserve"> law</w:t>
        <w:tab/>
        <w:t>and</w:t>
        <w:tab/>
        <w:t>other</w:t>
        <w:tab/>
        <w:t xml:space="preserve"> federal,</w:t>
        <w:tab/>
        <w:t>state</w:t>
        <w:tab/>
        <w:t>or</w:t>
        <w:tab/>
        <w:t xml:space="preserve"> local</w:t>
        <w:tab/>
        <w:t xml:space="preserve"> laws,</w:t>
        <w:tab/>
        <w:t>whether</w:t>
        <w:tab/>
        <w:t>or</w:t>
        <w:tab/>
        <w:t>not</w:t>
        <w:tab/>
        <w:t>specific</w:t>
        <w:tab/>
        <w:t xml:space="preserve"> to</w:t>
        <w:tab/>
        <w:t>real</w:t>
        <w:tab/>
        <w:t>estate,</w:t>
        <w:tab/>
        <w:t>REITs</w:t>
        <w:tab/>
        <w:t>or</w:t>
        <w:tab/>
        <w:t>the</w:t>
        <w:tab/>
        <w:t>gaming,</w:t>
        <w:tab/>
        <w:t xml:space="preserve"> lodging</w:t>
        <w:tab/>
        <w:t>or</w:t>
        <w:tab/>
        <w:t xml:space="preserve"> hospitality</w:t>
        <w:tab/>
        <w:t>industries</w:t>
        <w:tab/>
        <w:t>and</w:t>
        <w:tab/>
        <w:t>our</w:t>
        <w:tab/>
        <w:t>ability</w:t>
        <w:tab/>
        <w:t>to</w:t>
        <w:tab/>
        <w:t>meet</w:t>
        <w:tab/>
        <w:t>the</w:t>
        <w:tab/>
        <w:t>applicable</w:t>
        <w:tab/>
        <w:t>asset,</w:t>
        <w:tab/>
        <w:t>income,</w:t>
        <w:tab/>
        <w:t>organizational,</w:t>
        <w:tab/>
        <w:t>distribution,</w:t>
        <w:tab/>
        <w:t>shareholder</w:t>
        <w:tab/>
        <w:t>ownership</w:t>
        <w:tab/>
        <w:t>and</w:t>
        <w:tab/>
        <w:t>other</w:t>
        <w:tab/>
        <w:t>requirements</w:t>
        <w:tab/>
        <w:t>to</w:t>
        <w:tab/>
        <w:t>maintain</w:t>
        <w:tab/>
        <w:t xml:space="preserve"> the</w:t>
        <w:tab/>
        <w:t>Company’s</w:t>
        <w:tab/>
        <w:t>REIT</w:t>
        <w:tab/>
        <w:t>status; • other</w:t>
        <w:tab/>
        <w:t>risks</w:t>
        <w:tab/>
        <w:t>inherent</w:t>
        <w:tab/>
        <w:t>in</w:t>
        <w:tab/>
        <w:t>the</w:t>
        <w:tab/>
        <w:t>real</w:t>
        <w:tab/>
        <w:t>estate</w:t>
        <w:tab/>
        <w:t>business,</w:t>
        <w:tab/>
        <w:t>including</w:t>
        <w:tab/>
        <w:t>potential</w:t>
        <w:tab/>
        <w:t>liability</w:t>
        <w:tab/>
        <w:t>relating</w:t>
        <w:tab/>
        <w:t>to</w:t>
        <w:tab/>
        <w:t>environmental</w:t>
        <w:tab/>
        <w:t>matters</w:t>
        <w:tab/>
        <w:t>and</w:t>
        <w:tab/>
        <w:t>illiquidity</w:t>
        <w:tab/>
        <w:t>of</w:t>
        <w:tab/>
        <w:t>real</w:t>
        <w:tab/>
        <w:t>estate</w:t>
        <w:tab/>
        <w:t>investments;</w:t>
        <w:tab/>
        <w:t>and • other</w:t>
        <w:tab/>
        <w:t>factors</w:t>
        <w:tab/>
        <w:t>described</w:t>
        <w:tab/>
        <w:t>in</w:t>
        <w:tab/>
        <w:t>GLPI’s</w:t>
        <w:tab/>
        <w:t>Annual</w:t>
        <w:tab/>
        <w:t>Report</w:t>
        <w:tab/>
        <w:t>on</w:t>
        <w:tab/>
        <w:t>Form</w:t>
        <w:tab/>
        <w:t>10-K</w:t>
        <w:tab/>
        <w:t>for</w:t>
        <w:tab/>
        <w:t>the</w:t>
        <w:tab/>
        <w:t>year</w:t>
        <w:tab/>
        <w:t>ended</w:t>
        <w:tab/>
        <w:t>December</w:t>
        <w:tab/>
        <w:t>31,</w:t>
        <w:tab/>
        <w:t>2025,</w:t>
        <w:tab/>
        <w:t>Quarterly</w:t>
        <w:tab/>
        <w:t>Reports</w:t>
        <w:tab/>
        <w:t>on</w:t>
        <w:tab/>
        <w:t>Form</w:t>
        <w:tab/>
        <w:t>10-Q</w:t>
        <w:tab/>
        <w:t>and</w:t>
        <w:tab/>
        <w:t>Current</w:t>
        <w:tab/>
        <w:t>Reports</w:t>
        <w:tab/>
        <w:t>on</w:t>
        <w:tab/>
        <w:t>Form</w:t>
        <w:tab/>
        <w:t xml:space="preserve"> 8-K,</w:t>
        <w:tab/>
        <w:t>each</w:t>
        <w:tab/>
        <w:t>as</w:t>
        <w:tab/>
        <w:t>filed</w:t>
        <w:tab/>
        <w:t>with</w:t>
        <w:tab/>
        <w:t>the</w:t>
        <w:tab/>
        <w:t>SEC. Other</w:t>
        <w:tab/>
        <w:t>unknown</w:t>
        <w:tab/>
        <w:t>or</w:t>
        <w:tab/>
        <w:t>unpredictable</w:t>
        <w:tab/>
        <w:t>factors</w:t>
        <w:tab/>
        <w:t>may</w:t>
        <w:tab/>
        <w:t>also</w:t>
        <w:tab/>
        <w:t>cause</w:t>
        <w:tab/>
        <w:t>actual</w:t>
        <w:tab/>
        <w:t>results</w:t>
        <w:tab/>
        <w:t>to</w:t>
        <w:tab/>
        <w:t>differ</w:t>
        <w:tab/>
        <w:t>materially</w:t>
        <w:tab/>
        <w:t>from</w:t>
        <w:tab/>
        <w:t>those</w:t>
        <w:tab/>
        <w:t>projected</w:t>
        <w:tab/>
        <w:t>by</w:t>
        <w:tab/>
        <w:t>the</w:t>
        <w:tab/>
        <w:t>forward-looking</w:t>
        <w:tab/>
        <w:t>statements.</w:t>
        <w:tab/>
        <w:t>Most</w:t>
        <w:tab/>
        <w:t>of</w:t>
        <w:tab/>
        <w:t>these</w:t>
        <w:tab/>
        <w:t>factors</w:t>
        <w:tab/>
        <w:t>are</w:t>
        <w:tab/>
        <w:t xml:space="preserve"> difficult</w:t>
        <w:tab/>
        <w:t>to</w:t>
        <w:tab/>
        <w:t>anticipate</w:t>
        <w:tab/>
        <w:t>and</w:t>
        <w:tab/>
        <w:t>are</w:t>
        <w:tab/>
        <w:t>generally</w:t>
        <w:tab/>
        <w:t>beyond</w:t>
        <w:tab/>
        <w:t>the</w:t>
        <w:tab/>
        <w:t>Company’s</w:t>
        <w:tab/>
        <w:t>control.</w:t>
        <w:tab/>
        <w:t>Given</w:t>
        <w:tab/>
        <w:t>these</w:t>
        <w:tab/>
        <w:t>uncertainties,</w:t>
        <w:tab/>
        <w:t>you</w:t>
        <w:tab/>
        <w:t>should</w:t>
        <w:tab/>
        <w:t>not</w:t>
        <w:tab/>
        <w:t>place</w:t>
        <w:tab/>
        <w:t>undue</w:t>
        <w:tab/>
        <w:t>reliance</w:t>
        <w:tab/>
        <w:t>on</w:t>
        <w:tab/>
        <w:t>these</w:t>
        <w:tab/>
        <w:t>forward-looking</w:t>
        <w:tab/>
        <w:t>statements.</w:t>
        <w:tab/>
        <w:t xml:space="preserve"> You</w:t>
        <w:tab/>
        <w:t>should</w:t>
        <w:tab/>
        <w:t>consider</w:t>
        <w:tab/>
        <w:t>the</w:t>
        <w:tab/>
        <w:t>areas</w:t>
        <w:tab/>
        <w:t>of</w:t>
        <w:tab/>
        <w:t>risk</w:t>
        <w:tab/>
        <w:t>described</w:t>
        <w:tab/>
        <w:t>above</w:t>
        <w:tab/>
        <w:t>in</w:t>
        <w:tab/>
        <w:t>connection</w:t>
        <w:tab/>
        <w:t>with</w:t>
        <w:tab/>
        <w:t>considering</w:t>
        <w:tab/>
        <w:t>any</w:t>
        <w:tab/>
        <w:t>forward-looking</w:t>
        <w:tab/>
        <w:t>statements</w:t>
        <w:tab/>
        <w:t>that</w:t>
        <w:tab/>
        <w:t>may</w:t>
        <w:tab/>
        <w:t>be</w:t>
        <w:tab/>
        <w:t>made</w:t>
        <w:tab/>
        <w:t>by</w:t>
        <w:tab/>
        <w:t>the</w:t>
        <w:tab/>
        <w:t>Company</w:t>
        <w:tab/>
        <w:t>generally</w:t>
        <w:tab/>
        <w:t>and</w:t>
        <w:tab/>
        <w:t>any</w:t>
        <w:tab/>
        <w:t xml:space="preserve"> forward-looking</w:t>
        <w:tab/>
        <w:t>statements</w:t>
        <w:tab/>
        <w:t>that</w:t>
        <w:tab/>
        <w:t>are</w:t>
        <w:tab/>
        <w:t>contained</w:t>
        <w:tab/>
        <w:t>in</w:t>
        <w:tab/>
        <w:t>this</w:t>
        <w:tab/>
        <w:t>presentation</w:t>
        <w:tab/>
        <w:t>specifically.</w:t>
        <w:tab/>
        <w:t>The</w:t>
        <w:tab/>
        <w:t>Company</w:t>
        <w:tab/>
        <w:t>undertakes</w:t>
        <w:tab/>
        <w:t>no</w:t>
        <w:tab/>
        <w:t>obligation</w:t>
        <w:tab/>
        <w:t>to</w:t>
        <w:tab/>
        <w:t>release</w:t>
        <w:tab/>
        <w:t>publicly</w:t>
        <w:tab/>
        <w:t>any</w:t>
        <w:tab/>
        <w:t>revisions</w:t>
        <w:tab/>
        <w:t>to</w:t>
        <w:tab/>
        <w:t>any</w:t>
        <w:tab/>
        <w:t>forward-looking</w:t>
        <w:tab/>
        <w:t xml:space="preserve"> statements,</w:t>
        <w:tab/>
        <w:t>to</w:t>
        <w:tab/>
        <w:t>report</w:t>
        <w:tab/>
        <w:t>events</w:t>
        <w:tab/>
        <w:t>or</w:t>
        <w:tab/>
        <w:t>to</w:t>
        <w:tab/>
        <w:t>report</w:t>
        <w:tab/>
        <w:t>the</w:t>
        <w:tab/>
        <w:t>occurrence</w:t>
        <w:tab/>
        <w:t>of</w:t>
        <w:tab/>
        <w:t>unanticipated</w:t>
        <w:tab/>
        <w:t>events</w:t>
        <w:tab/>
        <w:t>unless</w:t>
        <w:tab/>
        <w:t>required</w:t>
        <w:tab/>
        <w:t>to</w:t>
        <w:tab/>
        <w:t>do</w:t>
        <w:tab/>
        <w:t>so</w:t>
        <w:tab/>
        <w:t>by</w:t>
        <w:tab/>
        <w:t>law. Forward</w:t>
        <w:tab/>
        <w:t>Looking</w:t>
        <w:tab/>
        <w:t xml:space="preserve">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 R 41 G 41 B 41 R 255 G 255 B 255 R 207 G 182 B 103 R 163 G 131 B 56 R 31 G 73 B 125 R 144 G 124 B 75 R 79 G 129 B 189 R 235 G 235 B 237 R 128 G 100 B 162 R 199 G 198 B 215 Gaming</w:t>
        <w:tab/>
        <w:t>&amp;</w:t>
        <w:tab/>
        <w:t>Leisure</w:t>
        <w:tab/>
        <w:t>Properties,</w:t>
        <w:tab/>
        <w:t>Inc.</w:t>
        <w:tab/>
        <w:t>Overview Fast</w:t>
        <w:tab/>
        <w:t>Facts</w:t>
        <w:tab/>
        <w:t>as</w:t>
        <w:tab/>
        <w:t>of</w:t>
        <w:tab/>
        <w:t>June</w:t>
        <w:tab/>
        <w:t>30,</w:t>
        <w:tab/>
        <w:t>2026 Snapshot</w:t>
        <w:tab/>
        <w:t>at</w:t>
        <w:tab/>
        <w:t>June</w:t>
        <w:tab/>
        <w:t>30,</w:t>
        <w:tab/>
        <w:t>2026 71 Properties 21</w:t>
        <w:tab/>
        <w:t xml:space="preserve"> States • Total</w:t>
        <w:tab/>
        <w:t>Enterprise</w:t>
        <w:tab/>
        <w:t>Value:</w:t>
        <w:tab/>
        <w:t>~$20.9</w:t>
        <w:tab/>
        <w:t>Billion</w:t>
        <w:tab/>
        <w:t xml:space="preserve"> • GLPI</w:t>
        <w:tab/>
        <w:t>is</w:t>
        <w:tab/>
        <w:t>the</w:t>
        <w:tab/>
        <w:t>most</w:t>
        <w:tab/>
        <w:t>geographically</w:t>
        <w:tab/>
        <w:t>diversified</w:t>
        <w:tab/>
        <w:t xml:space="preserve"> owner</w:t>
        <w:tab/>
        <w:t>of</w:t>
        <w:tab/>
        <w:t>gaming</w:t>
        <w:tab/>
        <w:t>assets</w:t>
        <w:tab/>
        <w:t>in</w:t>
        <w:tab/>
        <w:t>the</w:t>
        <w:tab/>
        <w:t>country,</w:t>
        <w:tab/>
        <w:t>with</w:t>
        <w:tab/>
        <w:t xml:space="preserve"> the</w:t>
        <w:tab/>
        <w:t>largest</w:t>
        <w:tab/>
        <w:t>number</w:t>
        <w:tab/>
        <w:t>of</w:t>
        <w:tab/>
        <w:t>gaming</w:t>
        <w:tab/>
        <w:t>assets</w:t>
        <w:tab/>
        <w:t>owned • Approximately</w:t>
        <w:tab/>
        <w:t>87.3%</w:t>
        <w:tab/>
        <w:t>of</w:t>
        <w:tab/>
        <w:t>GLPI’s</w:t>
        <w:tab/>
        <w:t>cash</w:t>
        <w:tab/>
        <w:t>rent</w:t>
        <w:tab/>
        <w:t xml:space="preserve"> comes</w:t>
        <w:tab/>
        <w:t>from</w:t>
        <w:tab/>
        <w:t>gaming</w:t>
        <w:tab/>
        <w:t>companies</w:t>
        <w:tab/>
        <w:t>with</w:t>
        <w:tab/>
        <w:t>public</w:t>
        <w:tab/>
        <w:t xml:space="preserve"> reporting:</w:t>
        <w:tab/>
        <w:t>PENN,</w:t>
        <w:tab/>
        <w:t>BYD,</w:t>
        <w:tab/>
        <w:t>CZR,</w:t>
        <w:tab/>
        <w:t>and</w:t>
        <w:tab/>
        <w:t>BALY High-Quality,</w:t>
        <w:tab/>
        <w:t>Nationwide</w:t>
        <w:tab/>
        <w:t>Portfolio</w:t>
        <w:tab/>
        <w:t>of</w:t>
        <w:tab/>
        <w:t>Premier</w:t>
        <w:tab/>
        <w:t>Gaming</w:t>
        <w:tab/>
        <w:t>Assets GLPI</w:t>
        <w:tab/>
        <w:t>is</w:t>
        <w:tab/>
        <w:t>a</w:t>
        <w:tab/>
        <w:t>REIT</w:t>
        <w:tab/>
        <w:t>that</w:t>
        <w:tab/>
        <w:t>owns</w:t>
        <w:tab/>
        <w:t>a</w:t>
        <w:tab/>
        <w:t>Geographically</w:t>
        <w:tab/>
        <w:t>Diversified</w:t>
        <w:tab/>
        <w:t>Portfolio</w:t>
        <w:tab/>
        <w:t>of</w:t>
        <w:tab/>
        <w:t>High-Quality</w:t>
        <w:tab/>
        <w:t>Regional</w:t>
        <w:tab/>
        <w:t>Gaming</w:t>
        <w:tab/>
        <w:t>Assets</w:t>
        <w:tab/>
        <w:tab/>
        <w:t xml:space="preserve"> 0 Rent</w:t>
        <w:tab/>
        <w:t>Defaults</w:t>
        <w:tab/>
        <w:t>Since</w:t>
        <w:tab/>
        <w:t xml:space="preserve"> Company</w:t>
        <w:tab/>
        <w:t>Inception 8</w:t>
        <w:tab/>
        <w:t xml:space="preserve"> Unique</w:t>
        <w:tab/>
        <w:t xml:space="preserve">Tenants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4 R 41 G 41 B 41 R 255 G 255 B 255 R 207 G 182 B 103 R 163 G 131 B 56 R 31 G 73 B 125 R 144 G 124 B 75 R 79 G 129 B 189 R 235 G 235 B 237 R 128 G 100 B 162 R 199 G 198 B 215 Summary</w:t>
        <w:tab/>
        <w:t>of</w:t>
        <w:tab/>
        <w:t>Recent</w:t>
        <w:tab/>
        <w:t>Developments</w:t>
        <w:tab/>
        <w:t>&amp;</w:t>
        <w:tab/>
        <w:t>Upcoming</w:t>
        <w:tab/>
        <w:t>Events • Declared</w:t>
        <w:tab/>
        <w:t xml:space="preserve"> and</w:t>
        <w:tab/>
        <w:t xml:space="preserve"> paid</w:t>
        <w:tab/>
        <w:t xml:space="preserve"> a</w:t>
        <w:tab/>
        <w:t xml:space="preserve"> dividend</w:t>
        <w:tab/>
        <w:t xml:space="preserve"> of</w:t>
        <w:tab/>
        <w:t xml:space="preserve"> $0.82</w:t>
        <w:tab/>
        <w:t xml:space="preserve"> per</w:t>
        <w:tab/>
        <w:t xml:space="preserve"> share,</w:t>
        <w:tab/>
        <w:t>which</w:t>
        <w:tab/>
        <w:t xml:space="preserve"> represents</w:t>
        <w:tab/>
        <w:t xml:space="preserve"> an</w:t>
        <w:tab/>
        <w:t xml:space="preserve"> annualized</w:t>
        <w:tab/>
        <w:t xml:space="preserve"> dividend</w:t>
        <w:tab/>
        <w:t>yield</w:t>
        <w:tab/>
        <w:t>of</w:t>
        <w:tab/>
        <w:t>7.4%,</w:t>
        <w:tab/>
        <w:t>based</w:t>
        <w:tab/>
        <w:t>on</w:t>
        <w:tab/>
        <w:t>our</w:t>
        <w:tab/>
        <w:t>quarter-end</w:t>
        <w:tab/>
        <w:t>stock</w:t>
        <w:tab/>
        <w:t>price</w:t>
        <w:tab/>
        <w:t>of</w:t>
        <w:tab/>
        <w:t>$44.53. • During</w:t>
        <w:tab/>
        <w:t xml:space="preserve"> the</w:t>
        <w:tab/>
        <w:t xml:space="preserve"> second</w:t>
        <w:tab/>
        <w:t xml:space="preserve"> quarter,</w:t>
        <w:tab/>
        <w:t xml:space="preserve"> GLPI</w:t>
        <w:tab/>
        <w:t xml:space="preserve"> provided</w:t>
        <w:tab/>
        <w:t xml:space="preserve"> approximately</w:t>
        <w:tab/>
        <w:t xml:space="preserve"> $176</w:t>
        <w:tab/>
        <w:t xml:space="preserve"> million</w:t>
        <w:tab/>
        <w:t xml:space="preserve"> of</w:t>
        <w:tab/>
        <w:t xml:space="preserve"> development</w:t>
        <w:tab/>
        <w:t xml:space="preserve"> funding</w:t>
        <w:tab/>
        <w:t xml:space="preserve"> for</w:t>
        <w:tab/>
        <w:t>Bally’s</w:t>
        <w:tab/>
        <w:t>Chicago,</w:t>
        <w:tab/>
        <w:t>as</w:t>
        <w:tab/>
        <w:t>part</w:t>
        <w:tab/>
        <w:t>of</w:t>
        <w:tab/>
        <w:t xml:space="preserve"> the</w:t>
        <w:tab/>
        <w:t>$940</w:t>
        <w:tab/>
        <w:t>million</w:t>
        <w:tab/>
        <w:t>development</w:t>
        <w:tab/>
        <w:t xml:space="preserve"> commitment</w:t>
        <w:tab/>
        <w:t>(8.5%</w:t>
        <w:tab/>
        <w:t>cap</w:t>
        <w:tab/>
        <w:t>rate).</w:t>
        <w:tab/>
        <w:tab/>
        <w:t>$475.7</w:t>
        <w:tab/>
        <w:t>million</w:t>
        <w:tab/>
        <w:t>has</w:t>
        <w:tab/>
        <w:t>been</w:t>
        <w:tab/>
        <w:t>funded</w:t>
        <w:tab/>
        <w:t>to</w:t>
        <w:tab/>
        <w:t>date. • On</w:t>
        <w:tab/>
        <w:t>June</w:t>
        <w:tab/>
        <w:t>30,</w:t>
        <w:tab/>
        <w:t>2026,</w:t>
        <w:tab/>
        <w:t>the</w:t>
        <w:tab/>
        <w:t>Company</w:t>
        <w:tab/>
        <w:t>entered</w:t>
        <w:tab/>
        <w:t>into</w:t>
        <w:tab/>
        <w:t>a</w:t>
        <w:tab/>
        <w:t>second</w:t>
        <w:tab/>
        <w:t>amendment</w:t>
        <w:tab/>
        <w:t>to</w:t>
        <w:tab/>
        <w:t>the</w:t>
        <w:tab/>
        <w:t>Rockford</w:t>
        <w:tab/>
        <w:t xml:space="preserve"> Loan,</w:t>
        <w:tab/>
        <w:t xml:space="preserve"> pursuant</w:t>
        <w:tab/>
        <w:t xml:space="preserve"> to</w:t>
        <w:tab/>
        <w:t xml:space="preserve"> which</w:t>
        <w:tab/>
        <w:t xml:space="preserve"> the</w:t>
        <w:tab/>
        <w:t xml:space="preserve"> borrower</w:t>
        <w:tab/>
        <w:t xml:space="preserve"> repaid</w:t>
        <w:tab/>
        <w:t xml:space="preserve"> $16.0</w:t>
        <w:tab/>
        <w:t xml:space="preserve"> million</w:t>
        <w:tab/>
        <w:t xml:space="preserve"> of</w:t>
        <w:tab/>
        <w:t xml:space="preserve"> principal,</w:t>
        <w:tab/>
        <w:t xml:space="preserve"> with</w:t>
        <w:tab/>
        <w:t xml:space="preserve"> scheduled</w:t>
        <w:tab/>
        <w:t>future</w:t>
        <w:tab/>
        <w:t>principal</w:t>
        <w:tab/>
        <w:t>repayments</w:t>
        <w:tab/>
        <w:t>to</w:t>
        <w:tab/>
        <w:t>occur</w:t>
        <w:tab/>
        <w:t>on</w:t>
        <w:tab/>
        <w:t>or</w:t>
        <w:tab/>
        <w:t>before</w:t>
        <w:tab/>
        <w:t>March</w:t>
        <w:tab/>
        <w:t>31,</w:t>
        <w:tab/>
        <w:t>of</w:t>
        <w:tab/>
        <w:t>2028,</w:t>
        <w:tab/>
        <w:t>and</w:t>
        <w:tab/>
        <w:t xml:space="preserve"> on</w:t>
        <w:tab/>
        <w:t>or</w:t>
        <w:tab/>
        <w:t>before</w:t>
        <w:tab/>
        <w:t>March</w:t>
        <w:tab/>
        <w:t>31,</w:t>
        <w:tab/>
        <w:t>of</w:t>
        <w:tab/>
        <w:t>2029.</w:t>
        <w:tab/>
        <w:t>The</w:t>
        <w:tab/>
        <w:t>maturity</w:t>
        <w:tab/>
        <w:t>date</w:t>
        <w:tab/>
        <w:t>was</w:t>
        <w:tab/>
        <w:t>extended</w:t>
        <w:tab/>
        <w:t>to</w:t>
        <w:tab/>
        <w:t>December</w:t>
        <w:tab/>
        <w:t>31,</w:t>
        <w:tab/>
        <w:t xml:space="preserve"> 2029,</w:t>
        <w:tab/>
        <w:t xml:space="preserve"> and</w:t>
        <w:tab/>
        <w:t xml:space="preserve"> includes</w:t>
        <w:tab/>
        <w:t xml:space="preserve"> a</w:t>
        <w:tab/>
        <w:t xml:space="preserve"> GLPI</w:t>
        <w:tab/>
        <w:t xml:space="preserve"> option</w:t>
        <w:tab/>
        <w:t xml:space="preserve"> to</w:t>
        <w:tab/>
        <w:t xml:space="preserve"> acquire</w:t>
        <w:tab/>
        <w:t xml:space="preserve"> the</w:t>
        <w:tab/>
        <w:t xml:space="preserve"> Rockford</w:t>
        <w:tab/>
        <w:t xml:space="preserve"> Casino</w:t>
        <w:tab/>
        <w:t xml:space="preserve"> building</w:t>
        <w:tab/>
        <w:t xml:space="preserve"> improvements.</w:t>
        <w:tab/>
        <w:t xml:space="preserve"> • On</w:t>
        <w:tab/>
        <w:t>June</w:t>
        <w:tab/>
        <w:t>24,</w:t>
        <w:tab/>
        <w:t>2026,</w:t>
        <w:tab/>
        <w:t>the</w:t>
        <w:tab/>
        <w:t>Company</w:t>
        <w:tab/>
        <w:t>completed</w:t>
        <w:tab/>
        <w:t>its</w:t>
        <w:tab/>
        <w:t>$225</w:t>
        <w:tab/>
        <w:t>million</w:t>
        <w:tab/>
        <w:t>funding</w:t>
        <w:tab/>
        <w:t>commitment</w:t>
        <w:tab/>
        <w:t>for</w:t>
        <w:tab/>
        <w:t xml:space="preserve"> PENN's</w:t>
        <w:tab/>
        <w:t>Aurora</w:t>
        <w:tab/>
        <w:t>landside</w:t>
        <w:tab/>
        <w:t>development</w:t>
        <w:tab/>
        <w:t>project,</w:t>
        <w:tab/>
        <w:t>at</w:t>
        <w:tab/>
        <w:t>a</w:t>
        <w:tab/>
        <w:t>7.75%</w:t>
        <w:tab/>
        <w:t>capitalization</w:t>
        <w:tab/>
        <w:t>rate.</w:t>
        <w:tab/>
        <w:t xml:space="preserve"> • As</w:t>
        <w:tab/>
        <w:t>of</w:t>
        <w:tab/>
        <w:t>June</w:t>
        <w:tab/>
        <w:t>30,</w:t>
        <w:tab/>
        <w:t>2026,</w:t>
        <w:tab/>
        <w:t>GLPI</w:t>
        <w:tab/>
        <w:t>has</w:t>
        <w:tab/>
        <w:t>funded</w:t>
        <w:tab/>
        <w:t>$98.9</w:t>
        <w:tab/>
        <w:t>million</w:t>
        <w:tab/>
        <w:t>of</w:t>
        <w:tab/>
        <w:t>the</w:t>
        <w:tab/>
        <w:t>$110</w:t>
        <w:tab/>
        <w:t>million</w:t>
        <w:tab/>
        <w:t>Ione</w:t>
        <w:tab/>
        <w:t>Loan</w:t>
        <w:tab/>
        <w:t>to</w:t>
        <w:tab/>
        <w:t xml:space="preserve"> fund</w:t>
        <w:tab/>
        <w:t>the</w:t>
        <w:tab/>
        <w:t>tribe's</w:t>
        <w:tab/>
        <w:t>Acorn</w:t>
        <w:tab/>
        <w:t>Ridge</w:t>
        <w:tab/>
        <w:t>casino</w:t>
        <w:tab/>
        <w:t>development,</w:t>
        <w:tab/>
        <w:t>which</w:t>
        <w:tab/>
        <w:t>opened</w:t>
        <w:tab/>
        <w:t>in</w:t>
        <w:tab/>
        <w:t>February</w:t>
        <w:tab/>
        <w:t>2026. • On</w:t>
        <w:tab/>
        <w:t>June</w:t>
        <w:tab/>
        <w:t>1,</w:t>
        <w:tab/>
        <w:t>2026,</w:t>
        <w:tab/>
        <w:t>the</w:t>
        <w:tab/>
        <w:t>Company</w:t>
        <w:tab/>
        <w:t>settled</w:t>
        <w:tab/>
        <w:t>a</w:t>
        <w:tab/>
        <w:t>forward</w:t>
        <w:tab/>
        <w:t>sale</w:t>
        <w:tab/>
        <w:t>agreement,</w:t>
        <w:tab/>
        <w:t>pursuant</w:t>
        <w:tab/>
        <w:t>to</w:t>
        <w:tab/>
        <w:t>which</w:t>
        <w:tab/>
        <w:t xml:space="preserve"> the</w:t>
        <w:tab/>
        <w:t>Company</w:t>
        <w:tab/>
        <w:t>issued</w:t>
        <w:tab/>
        <w:t>7,589,487</w:t>
        <w:tab/>
        <w:t>shares</w:t>
        <w:tab/>
        <w:t>of</w:t>
        <w:tab/>
        <w:t>common</w:t>
        <w:tab/>
        <w:t>stock</w:t>
        <w:tab/>
        <w:t>that</w:t>
        <w:tab/>
        <w:t>raised</w:t>
        <w:tab/>
        <w:t>net</w:t>
        <w:tab/>
        <w:t>proceeds</w:t>
        <w:tab/>
        <w:t>of</w:t>
        <w:tab/>
        <w:t xml:space="preserve"> $351.0</w:t>
        <w:tab/>
        <w:t>million.</w:t>
        <w:tab/>
        <w:tab/>
        <w:t xml:space="preserve"> • Percentage</w:t>
        <w:tab/>
        <w:t>rents</w:t>
        <w:tab/>
        <w:t>for</w:t>
        <w:tab/>
        <w:t>each</w:t>
        <w:tab/>
        <w:t>of</w:t>
        <w:tab/>
        <w:t>the</w:t>
        <w:tab/>
        <w:t>Amended</w:t>
        <w:tab/>
        <w:t>Pinnacle</w:t>
        <w:tab/>
        <w:t>Master</w:t>
        <w:tab/>
        <w:t>Lease,</w:t>
        <w:tab/>
        <w:t>the</w:t>
        <w:tab/>
        <w:t>Boyd</w:t>
        <w:tab/>
        <w:t>Master</w:t>
        <w:tab/>
        <w:t xml:space="preserve"> Lease</w:t>
        <w:tab/>
        <w:t>and</w:t>
        <w:tab/>
        <w:t>the</w:t>
        <w:tab/>
        <w:t>Belterra</w:t>
        <w:tab/>
        <w:t>Park</w:t>
        <w:tab/>
        <w:t>Lease</w:t>
        <w:tab/>
        <w:t>reset</w:t>
        <w:tab/>
        <w:t>in</w:t>
        <w:tab/>
        <w:t>May</w:t>
        <w:tab/>
        <w:t>2026,</w:t>
        <w:tab/>
        <w:t>which</w:t>
        <w:tab/>
        <w:t>lowered</w:t>
        <w:tab/>
        <w:t>annual</w:t>
        <w:tab/>
        <w:t>rent</w:t>
        <w:tab/>
        <w:t>by</w:t>
        <w:tab/>
        <w:t xml:space="preserve"> $3.3</w:t>
        <w:tab/>
        <w:t>million,</w:t>
        <w:tab/>
        <w:t>with</w:t>
        <w:tab/>
        <w:t>the</w:t>
        <w:tab/>
        <w:t>next</w:t>
        <w:tab/>
        <w:t>reset</w:t>
        <w:tab/>
        <w:t>date</w:t>
        <w:tab/>
        <w:t>occurring</w:t>
        <w:tab/>
        <w:t>in</w:t>
        <w:tab/>
        <w:t>May</w:t>
        <w:tab/>
        <w:t>2028.</w:t>
        <w:tab/>
        <w:tab/>
        <w:t>Annual</w:t>
        <w:tab/>
        <w:t>escalations</w:t>
        <w:tab/>
        <w:t>on</w:t>
        <w:tab/>
        <w:t xml:space="preserve"> these</w:t>
        <w:tab/>
        <w:t>leases</w:t>
        <w:tab/>
        <w:t>totaled</w:t>
        <w:tab/>
        <w:t>$1.7</w:t>
        <w:tab/>
        <w:t xml:space="preserve">million. Next Anniversary for Potential Escalation Bally's Chicago Lease August 2026 Rockford Lease September 2026 Caesars Amended &amp; Restated Lease October 2026 Tropicana Lease October 2026 Horseshoe St. Louis Lease October 2026 PENN 2023 Master Lease November 2026 Amended PENN Master Lease November 2026 Morgantown Lease December 2026 Bally's Master Lease II December 2026 Casino Queen Master Lease December 2026 MD Live! Lease January 2027 Pennsylvania Live! Master Lease March 2027 Tioga Downs Lease March 2027 Boyd Master Lease May 2027 Amended Pinnacle Master Lease May 2027 Belterra Park Lease May 2027 Strategic Gaming Lease June 2027 Bally's Master Lease June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5 R 41 G 41 B 41 R 255 G 255 B 255 R 207 G 182 B 103 R 163 G 131 B 56 R 31 G 73 B 125 R 144 G 124 B 75 R 79 G 129 B 189 R 235 G 235 B 237 R 128 G 100 B 162 R 199 G 198 B 215 GLPI</w:t>
        <w:tab/>
        <w:t>2026</w:t>
        <w:tab/>
        <w:t>Guidance • The</w:t>
        <w:tab/>
        <w:t>guidance</w:t>
        <w:tab/>
        <w:t>does</w:t>
        <w:tab/>
        <w:t>not</w:t>
        <w:tab/>
        <w:t>include</w:t>
        <w:tab/>
        <w:t>the</w:t>
        <w:tab/>
        <w:t>impact</w:t>
        <w:tab/>
        <w:t>on</w:t>
        <w:tab/>
        <w:t>operating</w:t>
        <w:tab/>
        <w:t>results</w:t>
        <w:tab/>
        <w:t>from</w:t>
        <w:tab/>
        <w:t>any</w:t>
        <w:tab/>
        <w:t>possible</w:t>
        <w:tab/>
        <w:t>future</w:t>
        <w:tab/>
        <w:t>acquisitions</w:t>
        <w:tab/>
        <w:t>or</w:t>
        <w:tab/>
        <w:t>dispositions,</w:t>
        <w:tab/>
        <w:t>future</w:t>
        <w:tab/>
        <w:t xml:space="preserve"> capital</w:t>
        <w:tab/>
        <w:t>markets</w:t>
        <w:tab/>
        <w:t>activity,</w:t>
        <w:tab/>
        <w:t>or</w:t>
        <w:tab/>
        <w:t>other</w:t>
        <w:tab/>
        <w:t>future</w:t>
        <w:tab/>
        <w:t>non-recurring</w:t>
        <w:tab/>
        <w:t>transactions • Guidance</w:t>
        <w:tab/>
        <w:t>assumes</w:t>
        <w:tab/>
        <w:t>additional</w:t>
        <w:tab/>
        <w:t>fundings</w:t>
        <w:tab/>
        <w:t>of</w:t>
        <w:tab/>
        <w:t>approximately</w:t>
        <w:tab/>
        <w:t>$400</w:t>
        <w:tab/>
        <w:t>million</w:t>
        <w:tab/>
        <w:t>to</w:t>
        <w:tab/>
        <w:t>$450</w:t>
        <w:tab/>
        <w:t>million,</w:t>
        <w:tab/>
        <w:t>related</w:t>
        <w:tab/>
        <w:t>to</w:t>
        <w:tab/>
        <w:t>current</w:t>
        <w:tab/>
        <w:t>development</w:t>
        <w:tab/>
        <w:t>projects,</w:t>
        <w:tab/>
        <w:t xml:space="preserve"> which</w:t>
        <w:tab/>
        <w:t>will</w:t>
        <w:tab/>
        <w:t>be</w:t>
        <w:tab/>
        <w:t>funded</w:t>
        <w:tab/>
        <w:t>relatively</w:t>
        <w:tab/>
        <w:t>evenly</w:t>
        <w:tab/>
        <w:t>by</w:t>
        <w:tab/>
        <w:t>quarter</w:t>
        <w:tab/>
        <w:t>throughout</w:t>
        <w:tab/>
        <w:t>the</w:t>
        <w:tab/>
        <w:t>remainder</w:t>
        <w:tab/>
        <w:t>of</w:t>
        <w:tab/>
        <w:t>2026</w:t>
        <w:tab/>
        <w:t xml:space="preserve"> • The</w:t>
        <w:tab/>
        <w:t>guidance</w:t>
        <w:tab/>
        <w:t>assumes</w:t>
        <w:tab/>
        <w:t>there</w:t>
        <w:tab/>
        <w:t>will</w:t>
        <w:tab/>
        <w:t>be</w:t>
        <w:tab/>
        <w:t>no</w:t>
        <w:tab/>
        <w:t>material</w:t>
        <w:tab/>
        <w:t>changes</w:t>
        <w:tab/>
        <w:t>in</w:t>
        <w:tab/>
        <w:t>applicable</w:t>
        <w:tab/>
        <w:t>legislation,</w:t>
        <w:tab/>
        <w:t>regulatory</w:t>
        <w:tab/>
        <w:t>environment,</w:t>
        <w:tab/>
        <w:t>world</w:t>
        <w:tab/>
        <w:t>events,</w:t>
        <w:tab/>
        <w:t xml:space="preserve"> including</w:t>
        <w:tab/>
        <w:t>weather,</w:t>
        <w:tab/>
        <w:t>recent</w:t>
        <w:tab/>
        <w:t>consumer</w:t>
        <w:tab/>
        <w:t>trends,</w:t>
        <w:tab/>
        <w:t>economic</w:t>
        <w:tab/>
        <w:t>conditions,</w:t>
        <w:tab/>
        <w:t>oil</w:t>
        <w:tab/>
        <w:t>prices,</w:t>
        <w:tab/>
        <w:t>competitive</w:t>
        <w:tab/>
        <w:t>landscape</w:t>
        <w:tab/>
        <w:t>or</w:t>
        <w:tab/>
        <w:t>other</w:t>
        <w:tab/>
        <w:t>circumstances</w:t>
        <w:tab/>
        <w:t xml:space="preserve"> beyond</w:t>
        <w:tab/>
        <w:t>our</w:t>
        <w:tab/>
        <w:t>control</w:t>
        <w:tab/>
        <w:t>that</w:t>
        <w:tab/>
        <w:t>may</w:t>
        <w:tab/>
        <w:t>adversely</w:t>
        <w:tab/>
        <w:t>affect</w:t>
        <w:tab/>
        <w:t>the</w:t>
        <w:tab/>
        <w:t>Company's</w:t>
        <w:tab/>
        <w:t>results</w:t>
        <w:tab/>
        <w:t>of</w:t>
        <w:tab/>
        <w:t xml:space="preserve">operations. $ in millions, except per share data Actuals 2026 Prior Guidance 2026 Current Guidance Change from Prior (Midpoint) 2024 2025 Low End High End Low End High End AFFO $1,061 $1,120 $1,212 $1,223 $1,219 $1,225 $4.5 AFFO per Share $3.77 $3.88 $4.08 $4.12 $4.10 $4.12 $0.01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6 R 41 G 41 B 41 R 255 G 255 B 255 R 207 G 182 B 103 R 163 G 131 B 56 R 31 G 73 B 125 R 144 G 124 B 75 R 79 G 129 B 189 R 235 G 235 B 237 R 128 G 100 B 162 R 199 G 198 B 215 Historical</w:t>
        <w:tab/>
        <w:t>Quarterly</w:t>
        <w:tab/>
        <w:t>Financial</w:t>
        <w:tab/>
        <w:t xml:space="preserve">Highlights $ in millions except per share data 2Q25 3Q25 4Q25 1Q26 2Q26 Diluted Earnings per Share Attributable to Common Shareholders $0.54 $0.85 $0.94 $0.82 $0.80 Funds from Operations $224.9 $315.5 $339.0 $304.0 $302.3 Funds from Operations per Diluted Common Share &amp; OP Units $0.79 $1.08 $1.16 $1.04 $1.03 Adjusted Funds from Operations $276.1 $282.0 $290.0 $297.1 $304.0 Adjusted Funds from Operations per Diluted Common Share &amp; OP Units $0.96 $0.97 $0.99 $1.02 $1.03 Adjusted EBITDA $361.5 $366.4 $379.0 $393.0 $405.5 Cash Net Operating Income (1) $371.2 $375.0 $386.7 $402.8 $414.1 Quarterly Dividend per Share $0.78 $0.78 $0.78 $0.78 $0.82 Diluted Common Shares 277.8 283.5 283.4 283.6 285.9 Diluted Common Shares and OP Units 286.1 291.8 291.8 292.1 294.5 1. Cash rental income and interest on real estate loans less cash property level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7 R 41 G 41 B 41 R 255 G 255 B 255 R 207 G 182 B 103 R 163 G 131 B 56 R 31 G 73 B 125 R 144 G 124 B 75 R 79 G 129 B 189 R 235 G 235 B 237 R 128 G 100 B 162 R 199 G 198 B 215 Strong</w:t>
        <w:tab/>
        <w:t>Tenant</w:t>
        <w:tab/>
        <w:t xml:space="preserve">Coverage Rent coverage ratios are not reported for ground leases, leases involving development projects or leases that have been in effect for less than twelve months. (1) Ratio was calculated on a pro forma basis for the February 2026 acquisition of the real estate assets of Bally's Twin River Lincoln Casino Resort. (2) Ratio was calculated on a pro forma basis for the October 2025 acquisition of the real estate assets of Sunland Park Racetrack and Casino.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8 R 41 G 41 B 41 R 255 G 255 B 255 R 207 G 182 B 103 R 163 G 131 B 56 R 31 G 73 B 125 R 144 G 124 B 75 R 79 G 129 B 189 R 235 G 235 B 237 R 128 G 100 B 162 R 199 G 198 B 215 Development</w:t>
        <w:tab/>
        <w:t>Pipeline</w:t>
        <w:tab/>
        <w:t>at</w:t>
        <w:tab/>
        <w:t>June</w:t>
        <w:tab/>
        <w:t>30,</w:t>
        <w:tab/>
        <w:t xml:space="preserve">2026 $ in millions Project Commitment Funded as of quarter end Left to Fund Cap Rate Ameristar Council Bluffs (1) $150.0 $— $150.0 7.10% Tropicana Las Vegas Site $175.0 $48.5 $126.5 8.50% Bally's Chicago Construction $940.0 $475.7 $464.3 8.50% Ione Loan $110.0 $98.9 $11.1 11.00% Live! Virginia Casino &amp; Hotel $467.0 $27.0 $440.0 8.00% Dry Creek Delayed Draw Term Loan (2) $180.0 $— $180.0 12.50% Development Total $2,022.0 $650.1 $1,371.9 8.77% (1) The Company has agreed to fund, if requested by PENN at its sole discretion, on or before March 31, 2029, construction improvements in an amount not to exceed the greater of (i) the hard costs associated with the project and (ii) $150 million at a 7.10% capitalization rate. (2) The Company funded its $45.3 million share of the $200 million Term B loan for the project which was issued at an original issue discount of 3%, bearing interest at SOFR plus 900 basis points, with a SOFR floor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9 R 41 G 41 B 41 R 255 G 255 B 255 R 207 G 182 B 103 R 163 G 131 B 56 R 31 G 73 B 125 R 144 G 124 B 75 R 79 G 129 B 189 R 235 G 235 B 237 R 128 G 100 B 162 R 199 G 198 B 215 GLPI</w:t>
        <w:tab/>
        <w:t>Recent</w:t>
        <w:tab/>
        <w:t>Transaction</w:t>
        <w:tab/>
        <w:t xml:space="preserve">History $ in millions Transaction Date of Announcement Transaction Size Income Cap Rate Transaction Multiple Transaction Completed Tioga Downs February-24 $175.0 $14.5 8.29% 12.1 x Strategic Management Group May-24 $110.0 $9.2 8.36% 12.0 x Belle of Baton Rouge Funding June-24 $111.0 $10.0 9.00% 11.1 x Bally's Kansas City and Bally's Shreveport July-24 $395.0 $32.2 8.15% 12.3 x Bally's Chicago Development Land July-24 $250.0 $20.0 8.00% 12.5 x Bally's Chicago July-24 $940.0 $79.9 8.50% 11.8 Bally's Lincoln July-24 $700.0 $56.0 8.00% 12.5 x Ione Band of Miwok Indians Development Funding September-24 $110.0 $12.1 11.00% 9.1 x Caesars Republic Sonoma County (1) September-25 $225.3 $28.8 12.79% 7.8 Sunland Park October-25 $183.8 $15.0 8.16% 12.3 x Live! Casino &amp; Hotel Virginia Development Land October-25 $27.0 $2.2 8.00% 12.5 x Live! Casino &amp; Hotel Virginia Development Funding October-25 $440.0 $35.2 8.00% 12.5 2024 to Present Aggregate $3,667.1 $315.1 8.59% 11.6 1. Caesars Republic Sonoma County development cap rate is reflective of yield at deal announcement.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10 R 41 G 41 B 41 R 255 G 255 B 255 R 207 G 182 B 103 R 163 G 131 B 56 R 31 G 73 B 125 R 144 G 124 B 75 R 79 G 129 B 189 R 235 G 235 B 237 R 128 G 100 B 162 R 199 G 198 B 215 Debt</w:t>
        <w:tab/>
        <w:t>Maturity</w:t>
        <w:tab/>
        <w:t>Schedule Balance</w:t>
        <w:tab/>
        <w:t>Sheet</w:t>
        <w:tab/>
        <w:t>Strength:</w:t>
        <w:tab/>
        <w:t>Historical</w:t>
        <w:tab/>
        <w:t>Leverage</w:t>
        <w:tab/>
        <w:t>Snapshot GLPI</w:t>
        <w:tab/>
        <w:t>Issue</w:t>
        <w:tab/>
        <w:t>Rating</w:t>
        <w:tab/>
        <w:t>by</w:t>
        <w:tab/>
        <w:t>Agency Fitch BBB- Moody’s Ba1 Financial</w:t>
        <w:tab/>
        <w:t>Leverage</w:t>
        <w:tab/>
        <w:t>(Net</w:t>
        <w:tab/>
        <w:t>Debt</w:t>
        <w:tab/>
        <w:t>/</w:t>
        <w:tab/>
        <w:t>Adjusted</w:t>
        <w:tab/>
        <w:t>EBITDA) 2Q26</w:t>
        <w:tab/>
        <w:t>Balance</w:t>
        <w:tab/>
        <w:t>Sheet</w:t>
        <w:tab/>
        <w:t>Snapshot</w:t>
        <w:tab/>
        <w:t>($</w:t>
        <w:tab/>
        <w:t>in</w:t>
        <w:tab/>
        <w:t>MM) As of June 30, 2026 Long-Term Debt $8,159.0 Less Unamortized debt issuance costs, bond premiums and original issuance discounts ($81.2) Total Long-Term Debt, net $8,077.7 Cash &amp; Cash Equivalents $319.0 Net Debt $7,758.7 Last quarter annualized adjusted EBITDA $1,622.0 Net Financial Leverage 4.78 Weighted-Average Cost of Debt 5.07 % Standard</w:t>
        <w:tab/>
        <w:t>&amp;</w:t>
        <w:tab/>
        <w:t xml:space="preserve"> Poor's</w:t>
        <w:tab/>
        <w:t xml:space="preserve"> BBB-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11 R 41 G 41 B 41 R 255 G 255 B 255 R 207 G 182 B 103 R 163 G 131 B 56 R 31 G 73 B 125 R 144 G 124 B 75 R 79 G 129 B 189 R 235 G 235 B 237 R 128 G 100 B 162 R 199 G 198 B 215 FFO, FFO per diluted common share and OP/LTIP units, AFFO, AFFO per diluted common share and OP/LTIP units, Adjusted EBITDA and Cash Net Operating Income ("Cash NOI"), which are detailed in the reconciliation tables that accompany this release, are used by the Company as performance measures for benchmarking against the Company’s peers and as internal measures of business operating performance, which is used for a bonus metric. These metrics are presented assuming full conversion of limited partnership units to common shares and therefore before the income statement impact of non-controlling interests. The Company believes FFO, FFO per diluted common share and OP/LTIP units, AFFO, AFFO per diluted common share and OP/LTIP units, Adjusted EBITDA and Cash NOI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Cash NOI is cash rental income and interest on real estate loans, less cash property level expenses. Cash NOI excludes depreciation, the amortization of land rights, real estate general and administrative expenses, other non-routine costs and the impact of certain generally accepted accounting principles (“GAAP”) adjustments to rental revenue, such as straight-line rent and deferred rent adjustments and non-cash ground lease income and expense. It is management's view that Cash NOI is a performance measure used to evaluate the operating performance of the Company’s real estate operations and provides investors relevant and useful information because it reflects only income and operating expense items that are incurred at the property level and presents them on an unleveraged basis. FFO, FFO per diluted common share and OP/LTIP units, AFFO, AFFO per diluted common share and OP/LTIP units, Adjusted EBITDA and Cash NOI are non-GAAP financial measures that are considered supplemental measures for the real estate industry and a supplement to GAAP measures. NAREIT defines FFO as net income (computed in accordance with GAAP), excluding (gains) or losses from dispositions of property, and real estate depreciation. We have defined AFFO as FFO excluding, as applicable to the particular period, stock-based compensation expense, the amortization of debt issuance costs, bond premiums and original issuance discounts, other depreciation, the amortization of land rights, accretion on investment in leases, non-cash adjustments to financing lease liabilities, straight-line rent and deferred rent adjustments, losses on debt extinguishment and other financing costs, severance charges, capitalized interest and provision (benefit) for credit losses, net, reduced by capital maintenance expenditures. We have defined Adjusted EBITDA as net income excluding, as applicable to the particular period, interest, net, income tax expense, real estate depreciation, other depreciation, (gains) or losses from dispositions of property, stock-based compensation expense, straight-line rent and deferred rent adjustments, the amortization of land rights, accretion on investment in leases, non-cash adjustments to financing lease liabilities, losses on debt extinguishment and other financing costs, severance charges, and provision (benefit) for credit losses, net. Finally, we have defined Cash NOI as Adjusted EBITDA excluding general and administrative expenses and including stock-based compensation expense and severance charges. FFO, FFO per diluted common share and OP/LTIP units, AFFO, AFFO per diluted common share and OP/LTIP units, Adjusted EBITDA and Cash NOI are not recognized terms under GAAP. 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an indication of our ability to fund all of our cash needs, including to make cash distributions to our shareholders, to fund capital improvements, or to make interest payments on our indebtedness. Investors are also cautioned that FFO, FFO per diluted common share and OP/ LTIP units, AFFO, AFFO per diluted common share and OP/LTIP units, Adjusted EBITDA and Cash NOI,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 Definitions</w:t>
        <w:tab/>
        <w:t>of</w:t>
        <w:tab/>
        <w:t>Non-GAAP</w:t>
        <w:tab/>
        <w:t>Financial</w:t>
        <w:tab/>
        <w:t xml:space="preserve">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12 R 41 G 41 B 41 R 255 G 255 B 255 R 207 G 182 B 103 R 163 G 131 B 56 R 31 G 73 B 125 R 144 G 124 B 75 R 79 G 129 B 189 R 235 G 235 B 237 R 128 G 100 B 162 R 199 G 198 B 215 2Q</w:t>
        <w:tab/>
        <w:t>2026</w:t>
        <w:tab/>
        <w:t>AFFO</w:t>
        <w:tab/>
        <w:t xml:space="preserve">Bridge $ in thousands 2Q25 2Q26 Y/Y % change Net Income $ 156,165 $ 234,944 50.4 % (Gains) or losses from dispositions of property — 1,170 Real Estate Depreciation 68,749 66,186 Funds from Operations (FFO) $ 224,914 $ 302,300 34.4 % Straight-Line Rent and Deferred Rent Adjustments (6,433) 1,455 Other Depreciation 486 397 Provision (benefit) for Credit Losses, Net 53,728 2,980 Amortization of Land Rights 4,270 4,270 Amortization of Debt Issuance Costs, Bond Premiums, and Original Issuance Discounts 3,227 3,635 Capitalized Interest (3,411) (8,484) Stock-Based Compensation 6,156 4,644 Accretion on Investment in Leases (6,866) (7,327) Non-cash Adjustment to Financing Lease Liabilities 107 106 Capital Maintenance Expenditures (121) — Adjusted Funds from Operations (AFFO) $ 276,057 $ 303,976 10.1 % Net Interest 84,576 96,065 Income Tax Expense 545 601 Capital Maintenance Expenditures 121 — Amortization of Debt Issuance Costs, Bond Premiums, and Original Issuance Discounts (3,227) (3,635) Capitalized Interest 3,411 8,484 Adjusted EBITDA 361,483 405,491 12.2 %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13 R 41 G 41 B 41 R 255 G 255 B 255 R 207 G 182 B 103 R 163 G 131 B 56 R 31 G 73 B 125 R 144 G 124 B 75 R 79 G 129 B 189 R 235 G 235 B 237 R 128 G 100 B 162 R 199 G 198 B 215 Historical</w:t>
        <w:tab/>
        <w:t>Non-GAAP</w:t>
        <w:tab/>
        <w:t xml:space="preserve">Reconciliations $ in thousands 1Q25 2Q25 3Q25 4Q25 2025 1Q26 2Q26 Net Income $ 170,354 $ 156,165 $ 248,481 $ 275,356 $ 850,356 $ 239,402 $ 234,944 (Gains) or losses from dispositions of property (125) — — — (125) — 1,170 Real Estate Depreciation 64,529 68,749 66,985 63,657 263,920 64,552 66,186 Funds from Operations (FFO) $ 234,758 $ 224,914 $ 315,466 $ 339,013 $ 1,114,151 $ 303,954 $ 302,300 Straight-Line Rent and Deferred Rent Adjustments (8,412) (6,433) (5,390) (2,233) (22,468) 471 1,455 Other Depreciation 483 486 488 487 1,944 485 397 Provision (benefit) for Credit Losses, Net 39,246 53,728 (37,363) (46,947) 8,664 (10,137) 2,980 Amortization of Land Rights 4,270 4,270 4,270 4,269 17,079 4,270 4,270 Amortization of Debt Issuance Costs, Bond Premiums, and Original Issuance Discounts 3,232 3,227 3,425 3,383 13,267 3,468 3,635 Capitalized Interest (3,605) (3,411) (3,652) (5,120) (15,788) (6,430) (8,484) Stock-Based Compensation 8,858 6,156 1,551 4,616 21,181 8,104 4,644 Accretion on Investment in Leases (6,896) (6,866) (6,991) (7,603) (28,356) (7,412) (7,327) Non-cash Adjustment to Financing Lease Liabilities 98 107 112 114 431 98 106 Loss on Debt Extinguishment — — 3,783 — 3,783 268 — Severance charge — — 6,320 — 6,320 — — Capital Maintenance Expenditures (36) (121) — — (157) — — Adjusted Funds from Operations (AFFO) $ 271,996 $ 276,057 $ 282,019 $ 289,979 $ 1,120,051 $ 297,139 $ 303,976 Net Interest 87,149 84,576 83,552 86,687 341,964 92,346 96,065 Income Tax Expense 564 545 560 560 2,229 560 601 Capital Maintenance Expenditures 36 121 — — 157 — — Amortization of Debt Issuance Costs, Bond Premiums, and Original Issuance Discounts (3,232) (3,227) (3,425) (3,383) (13,267) (3,468) (3,635) Capitalized Interest 3,605 3,411 3,652 5,120 15,788 6,430 8,484 Adjusted EBITDA $ 360,118 $ 361,483 $ 366,358 $ 378,963 $ 1,466,922 $ 393,007 $ 405,491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7315200"/>
            <wp:effectExtent l="0" t="0" r="0" b="0"/>
            <wp:docPr id="4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12787</Words>
  <Characters>68394</Characters>
  <CharactersWithSpaces>80705</CharactersWithSpaces>
  <Paragraphs>1976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quarterlysupplementalq22</dc:title>
</cp:coreProperties>
</file>