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249555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ind w:right="40"/>
        <w:spacing w:after="0"/>
        <w:rPr>
          <w:sz w:val="20"/>
          <w:szCs w:val="20"/>
          <w:color w:val="auto"/>
        </w:rPr>
      </w:pPr>
      <w:r>
        <w:rPr>
          <w:rFonts w:ascii="Arial" w:cs="Arial" w:eastAsia="Arial" w:hAnsi="Arial"/>
          <w:sz w:val="27"/>
          <w:szCs w:val="27"/>
          <w:b w:val="1"/>
          <w:bCs w:val="1"/>
          <w:color w:val="auto"/>
        </w:rPr>
        <w:t>FORM 10-Q</w:t>
      </w:r>
    </w:p>
    <w:p>
      <w:pPr>
        <w:spacing w:after="0" w:line="2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9"/>
          <w:szCs w:val="19"/>
          <w:b w:val="1"/>
          <w:bCs w:val="1"/>
          <w:color w:val="auto"/>
        </w:rPr>
        <w:t>QUARTERLY REPORT PURSUANT TO SECTION 13 OR 15(d) OF THE SECURITIES EXCHANGE ACT OF 1934</w:t>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2017</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1" w:lineRule="exact"/>
        <w:rPr>
          <w:sz w:val="24"/>
          <w:szCs w:val="24"/>
          <w:color w:val="auto"/>
        </w:rPr>
      </w:pPr>
    </w:p>
    <w:p>
      <w:pPr>
        <w:ind w:left="540" w:hanging="208"/>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4" w:lineRule="exact"/>
        <w:rPr>
          <w:sz w:val="24"/>
          <w:szCs w:val="24"/>
          <w:color w:val="auto"/>
        </w:rPr>
      </w:pPr>
    </w:p>
    <w:p>
      <w:pPr>
        <w:ind w:left="404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001-36124</w:t>
      </w:r>
    </w:p>
    <w:p>
      <w:pPr>
        <w:spacing w:after="0" w:line="94"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Gaming and Leisure Properties, Inc.</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820" w:type="dxa"/>
        <w:tblCellMar>
          <w:top w:w="0" w:type="dxa"/>
          <w:left w:w="0" w:type="dxa"/>
          <w:bottom w:w="0" w:type="dxa"/>
          <w:right w:w="0" w:type="dxa"/>
        </w:tblCellMar>
      </w:tblPr>
      <w:tr>
        <w:trPr>
          <w:trHeight w:val="234"/>
        </w:trPr>
        <w:tc>
          <w:tcPr>
            <w:tcW w:w="4100" w:type="dxa"/>
            <w:vAlign w:val="bottom"/>
          </w:tcPr>
          <w:p>
            <w:pPr>
              <w:jc w:val="center"/>
              <w:ind w:right="1830"/>
              <w:spacing w:after="0"/>
              <w:rPr>
                <w:sz w:val="20"/>
                <w:szCs w:val="20"/>
                <w:color w:val="auto"/>
              </w:rPr>
            </w:pPr>
            <w:r>
              <w:rPr>
                <w:rFonts w:ascii="Arial" w:cs="Arial" w:eastAsia="Arial" w:hAnsi="Arial"/>
                <w:sz w:val="18"/>
                <w:szCs w:val="18"/>
                <w:b w:val="1"/>
                <w:bCs w:val="1"/>
                <w:color w:val="auto"/>
                <w:w w:val="88"/>
              </w:rPr>
              <w:t>Pennsylvania</w:t>
            </w:r>
          </w:p>
        </w:tc>
        <w:tc>
          <w:tcPr>
            <w:tcW w:w="3280" w:type="dxa"/>
            <w:vAlign w:val="bottom"/>
          </w:tcPr>
          <w:p>
            <w:pPr>
              <w:jc w:val="center"/>
              <w:ind w:left="1850"/>
              <w:spacing w:after="0"/>
              <w:rPr>
                <w:sz w:val="20"/>
                <w:szCs w:val="20"/>
                <w:color w:val="auto"/>
              </w:rPr>
            </w:pPr>
            <w:r>
              <w:rPr>
                <w:rFonts w:ascii="Arial" w:cs="Arial" w:eastAsia="Arial" w:hAnsi="Arial"/>
                <w:sz w:val="18"/>
                <w:szCs w:val="18"/>
                <w:b w:val="1"/>
                <w:bCs w:val="1"/>
                <w:color w:val="auto"/>
                <w:w w:val="89"/>
              </w:rPr>
              <w:t>46-2116489</w:t>
            </w:r>
          </w:p>
        </w:tc>
      </w:tr>
      <w:tr>
        <w:trPr>
          <w:trHeight w:val="270"/>
        </w:trPr>
        <w:tc>
          <w:tcPr>
            <w:tcW w:w="4100" w:type="dxa"/>
            <w:vAlign w:val="bottom"/>
          </w:tcPr>
          <w:p>
            <w:pPr>
              <w:jc w:val="center"/>
              <w:ind w:right="1850"/>
              <w:spacing w:after="0"/>
              <w:rPr>
                <w:sz w:val="20"/>
                <w:szCs w:val="20"/>
                <w:color w:val="auto"/>
              </w:rPr>
            </w:pPr>
            <w:r>
              <w:rPr>
                <w:rFonts w:ascii="Arial" w:cs="Arial" w:eastAsia="Arial" w:hAnsi="Arial"/>
                <w:sz w:val="18"/>
                <w:szCs w:val="18"/>
                <w:color w:val="auto"/>
                <w:w w:val="92"/>
              </w:rPr>
              <w:t>(State or other jurisdiction of</w:t>
            </w:r>
          </w:p>
        </w:tc>
        <w:tc>
          <w:tcPr>
            <w:tcW w:w="3280" w:type="dxa"/>
            <w:vAlign w:val="bottom"/>
          </w:tcPr>
          <w:p>
            <w:pPr>
              <w:jc w:val="center"/>
              <w:ind w:left="1850"/>
              <w:spacing w:after="0"/>
              <w:rPr>
                <w:sz w:val="20"/>
                <w:szCs w:val="20"/>
                <w:color w:val="auto"/>
              </w:rPr>
            </w:pPr>
            <w:r>
              <w:rPr>
                <w:rFonts w:ascii="Arial" w:cs="Arial" w:eastAsia="Arial" w:hAnsi="Arial"/>
                <w:sz w:val="18"/>
                <w:szCs w:val="18"/>
                <w:color w:val="auto"/>
                <w:w w:val="92"/>
              </w:rPr>
              <w:t>(I.R.S. Employer</w:t>
            </w:r>
          </w:p>
        </w:tc>
      </w:tr>
      <w:tr>
        <w:trPr>
          <w:trHeight w:val="270"/>
        </w:trPr>
        <w:tc>
          <w:tcPr>
            <w:tcW w:w="4100" w:type="dxa"/>
            <w:vAlign w:val="bottom"/>
          </w:tcPr>
          <w:p>
            <w:pPr>
              <w:jc w:val="center"/>
              <w:ind w:right="1850"/>
              <w:spacing w:after="0"/>
              <w:rPr>
                <w:sz w:val="20"/>
                <w:szCs w:val="20"/>
                <w:color w:val="auto"/>
              </w:rPr>
            </w:pPr>
            <w:r>
              <w:rPr>
                <w:rFonts w:ascii="Arial" w:cs="Arial" w:eastAsia="Arial" w:hAnsi="Arial"/>
                <w:sz w:val="18"/>
                <w:szCs w:val="18"/>
                <w:color w:val="auto"/>
                <w:w w:val="92"/>
              </w:rPr>
              <w:t>incorporation or organization)</w:t>
            </w:r>
          </w:p>
        </w:tc>
        <w:tc>
          <w:tcPr>
            <w:tcW w:w="3280" w:type="dxa"/>
            <w:vAlign w:val="bottom"/>
          </w:tcPr>
          <w:p>
            <w:pPr>
              <w:jc w:val="center"/>
              <w:ind w:left="1850"/>
              <w:spacing w:after="0"/>
              <w:rPr>
                <w:sz w:val="20"/>
                <w:szCs w:val="20"/>
                <w:color w:val="auto"/>
              </w:rPr>
            </w:pPr>
            <w:r>
              <w:rPr>
                <w:rFonts w:ascii="Arial" w:cs="Arial" w:eastAsia="Arial" w:hAnsi="Arial"/>
                <w:sz w:val="18"/>
                <w:szCs w:val="18"/>
                <w:color w:val="auto"/>
                <w:w w:val="95"/>
              </w:rPr>
              <w:t>Identification No.)</w:t>
            </w:r>
          </w:p>
        </w:tc>
      </w:tr>
    </w:tbl>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845 Berkshire Blvd., Suite 200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Wyomissing, PA 19610</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(Address of principal executive offices) (Zip Code)</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610-401-2900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(Registrant’s telephone number, including area code)</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(Former name, former address, and former fiscal year, if changed since last report)</w:t>
      </w:r>
    </w:p>
    <w:p>
      <w:pPr>
        <w:spacing w:after="0" w:line="101" w:lineRule="exact"/>
        <w:rPr>
          <w:sz w:val="24"/>
          <w:szCs w:val="24"/>
          <w:color w:val="auto"/>
        </w:rPr>
      </w:pPr>
    </w:p>
    <w:p>
      <w:pPr>
        <w:jc w:val="both"/>
        <w:ind w:right="180" w:firstLine="324"/>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7"/>
          <w:szCs w:val="17"/>
          <w:color w:val="auto"/>
        </w:rPr>
        <w:t>☐</w:t>
      </w:r>
    </w:p>
    <w:p>
      <w:pPr>
        <w:spacing w:after="0" w:line="76" w:lineRule="exact"/>
        <w:rPr>
          <w:sz w:val="24"/>
          <w:szCs w:val="24"/>
          <w:color w:val="auto"/>
        </w:rPr>
      </w:pPr>
    </w:p>
    <w:p>
      <w:pPr>
        <w:jc w:val="both"/>
        <w:ind w:right="40" w:firstLine="367"/>
        <w:spacing w:after="0" w:line="214"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7"/>
          <w:szCs w:val="17"/>
          <w:color w:val="auto"/>
        </w:rPr>
        <w:t>☐</w:t>
      </w:r>
    </w:p>
    <w:p>
      <w:pPr>
        <w:spacing w:after="0" w:line="89" w:lineRule="exact"/>
        <w:rPr>
          <w:sz w:val="24"/>
          <w:szCs w:val="24"/>
          <w:color w:val="auto"/>
        </w:rPr>
      </w:pPr>
    </w:p>
    <w:p>
      <w:pPr>
        <w:ind w:firstLine="367"/>
        <w:spacing w:after="0" w:line="27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8" w:lineRule="exact"/>
        <w:rPr>
          <w:sz w:val="24"/>
          <w:szCs w:val="24"/>
          <w:color w:val="auto"/>
        </w:rPr>
      </w:pPr>
    </w:p>
    <w:tbl>
      <w:tblPr>
        <w:tblLayout w:type="fixed"/>
        <w:tblInd w:w="1240" w:type="dxa"/>
        <w:tblCellMar>
          <w:top w:w="0" w:type="dxa"/>
          <w:left w:w="0" w:type="dxa"/>
          <w:bottom w:w="0" w:type="dxa"/>
          <w:right w:w="0" w:type="dxa"/>
        </w:tblCellMar>
      </w:tblPr>
      <w:tr>
        <w:trPr>
          <w:trHeight w:val="283"/>
        </w:trPr>
        <w:tc>
          <w:tcPr>
            <w:tcW w:w="4760" w:type="dxa"/>
            <w:vAlign w:val="bottom"/>
          </w:tcPr>
          <w:p>
            <w:pPr>
              <w:jc w:val="center"/>
              <w:ind w:right="1350"/>
              <w:spacing w:after="0"/>
              <w:rPr>
                <w:sz w:val="20"/>
                <w:szCs w:val="20"/>
                <w:color w:val="auto"/>
              </w:rPr>
            </w:pPr>
            <w:r>
              <w:rPr>
                <w:rFonts w:ascii="Arial" w:cs="Arial" w:eastAsia="Arial" w:hAnsi="Arial"/>
                <w:sz w:val="18"/>
                <w:szCs w:val="18"/>
                <w:color w:val="auto"/>
                <w:w w:val="91"/>
              </w:rPr>
              <w:t>Large accelerated filer x</w:t>
            </w:r>
          </w:p>
        </w:tc>
        <w:tc>
          <w:tcPr>
            <w:tcW w:w="3620" w:type="dxa"/>
            <w:vAlign w:val="bottom"/>
          </w:tcPr>
          <w:p>
            <w:pPr>
              <w:jc w:val="center"/>
              <w:ind w:left="1350"/>
              <w:spacing w:after="0" w:line="207" w:lineRule="exact"/>
              <w:rPr>
                <w:sz w:val="20"/>
                <w:szCs w:val="20"/>
                <w:color w:val="auto"/>
              </w:rPr>
            </w:pPr>
            <w:r>
              <w:rPr>
                <w:rFonts w:ascii="Arial" w:cs="Arial" w:eastAsia="Arial" w:hAnsi="Arial"/>
                <w:sz w:val="18"/>
                <w:szCs w:val="18"/>
                <w:color w:val="auto"/>
                <w:w w:val="93"/>
              </w:rPr>
              <w:t xml:space="preserve">Accelerated filer </w:t>
            </w:r>
            <w:r>
              <w:rPr>
                <w:rFonts w:ascii="MS PGothic" w:cs="MS PGothic" w:eastAsia="MS PGothic" w:hAnsi="MS PGothic"/>
                <w:sz w:val="18"/>
                <w:szCs w:val="18"/>
                <w:color w:val="auto"/>
                <w:w w:val="93"/>
              </w:rPr>
              <w:t>☐</w:t>
            </w:r>
          </w:p>
        </w:tc>
      </w:tr>
      <w:tr>
        <w:trPr>
          <w:trHeight w:val="540"/>
        </w:trPr>
        <w:tc>
          <w:tcPr>
            <w:tcW w:w="4760" w:type="dxa"/>
            <w:vAlign w:val="bottom"/>
          </w:tcPr>
          <w:p>
            <w:pPr>
              <w:jc w:val="center"/>
              <w:ind w:right="1350"/>
              <w:spacing w:after="0" w:line="207" w:lineRule="exact"/>
              <w:rPr>
                <w:sz w:val="20"/>
                <w:szCs w:val="20"/>
                <w:color w:val="auto"/>
              </w:rPr>
            </w:pPr>
            <w:r>
              <w:rPr>
                <w:rFonts w:ascii="Arial" w:cs="Arial" w:eastAsia="Arial" w:hAnsi="Arial"/>
                <w:sz w:val="18"/>
                <w:szCs w:val="18"/>
                <w:color w:val="auto"/>
                <w:w w:val="90"/>
              </w:rPr>
              <w:t xml:space="preserve">Non-accelerated filer </w:t>
            </w:r>
            <w:r>
              <w:rPr>
                <w:rFonts w:ascii="MS PGothic" w:cs="MS PGothic" w:eastAsia="MS PGothic" w:hAnsi="MS PGothic"/>
                <w:sz w:val="18"/>
                <w:szCs w:val="18"/>
                <w:color w:val="auto"/>
                <w:w w:val="90"/>
              </w:rPr>
              <w:t>☐</w:t>
            </w:r>
          </w:p>
        </w:tc>
        <w:tc>
          <w:tcPr>
            <w:tcW w:w="3620" w:type="dxa"/>
            <w:vAlign w:val="bottom"/>
          </w:tcPr>
          <w:p>
            <w:pPr>
              <w:jc w:val="center"/>
              <w:ind w:left="1350"/>
              <w:spacing w:after="0" w:line="207" w:lineRule="exact"/>
              <w:rPr>
                <w:sz w:val="20"/>
                <w:szCs w:val="20"/>
                <w:color w:val="auto"/>
              </w:rPr>
            </w:pPr>
            <w:r>
              <w:rPr>
                <w:rFonts w:ascii="Arial" w:cs="Arial" w:eastAsia="Arial" w:hAnsi="Arial"/>
                <w:sz w:val="18"/>
                <w:szCs w:val="18"/>
                <w:color w:val="auto"/>
                <w:w w:val="91"/>
              </w:rPr>
              <w:t xml:space="preserve">Smaller reporting company </w:t>
            </w:r>
            <w:r>
              <w:rPr>
                <w:rFonts w:ascii="MS PGothic" w:cs="MS PGothic" w:eastAsia="MS PGothic" w:hAnsi="MS PGothic"/>
                <w:sz w:val="18"/>
                <w:szCs w:val="18"/>
                <w:color w:val="auto"/>
                <w:w w:val="91"/>
              </w:rPr>
              <w:t>☐</w:t>
            </w:r>
          </w:p>
        </w:tc>
      </w:tr>
      <w:tr>
        <w:trPr>
          <w:trHeight w:val="250"/>
        </w:trPr>
        <w:tc>
          <w:tcPr>
            <w:tcW w:w="4760" w:type="dxa"/>
            <w:vAlign w:val="bottom"/>
          </w:tcPr>
          <w:p>
            <w:pPr>
              <w:jc w:val="center"/>
              <w:ind w:right="1330"/>
              <w:spacing w:after="0"/>
              <w:rPr>
                <w:sz w:val="20"/>
                <w:szCs w:val="20"/>
                <w:color w:val="auto"/>
              </w:rPr>
            </w:pPr>
            <w:r>
              <w:rPr>
                <w:rFonts w:ascii="Arial" w:cs="Arial" w:eastAsia="Arial" w:hAnsi="Arial"/>
                <w:sz w:val="18"/>
                <w:szCs w:val="18"/>
                <w:color w:val="auto"/>
                <w:w w:val="91"/>
              </w:rPr>
              <w:t>(Do not check if a smaller reporting company)</w:t>
            </w:r>
          </w:p>
        </w:tc>
        <w:tc>
          <w:tcPr>
            <w:tcW w:w="3620" w:type="dxa"/>
            <w:vAlign w:val="bottom"/>
          </w:tcPr>
          <w:p>
            <w:pPr>
              <w:spacing w:after="0"/>
              <w:rPr>
                <w:sz w:val="21"/>
                <w:szCs w:val="21"/>
                <w:color w:val="auto"/>
              </w:rPr>
            </w:pPr>
          </w:p>
        </w:tc>
      </w:tr>
      <w:tr>
        <w:trPr>
          <w:trHeight w:val="412"/>
        </w:trPr>
        <w:tc>
          <w:tcPr>
            <w:tcW w:w="4760" w:type="dxa"/>
            <w:vAlign w:val="bottom"/>
          </w:tcPr>
          <w:p>
            <w:pPr>
              <w:spacing w:after="0"/>
              <w:rPr>
                <w:sz w:val="24"/>
                <w:szCs w:val="24"/>
                <w:color w:val="auto"/>
              </w:rPr>
            </w:pPr>
          </w:p>
        </w:tc>
        <w:tc>
          <w:tcPr>
            <w:tcW w:w="3620" w:type="dxa"/>
            <w:vAlign w:val="bottom"/>
          </w:tcPr>
          <w:p>
            <w:pPr>
              <w:jc w:val="center"/>
              <w:ind w:left="1350"/>
              <w:spacing w:after="0" w:line="207" w:lineRule="exact"/>
              <w:rPr>
                <w:sz w:val="20"/>
                <w:szCs w:val="20"/>
                <w:color w:val="auto"/>
              </w:rPr>
            </w:pPr>
            <w:r>
              <w:rPr>
                <w:rFonts w:ascii="Arial" w:cs="Arial" w:eastAsia="Arial" w:hAnsi="Arial"/>
                <w:sz w:val="18"/>
                <w:szCs w:val="18"/>
                <w:color w:val="auto"/>
                <w:w w:val="91"/>
              </w:rPr>
              <w:t xml:space="preserve">Emerging growth company </w:t>
            </w:r>
            <w:r>
              <w:rPr>
                <w:rFonts w:ascii="MS PGothic" w:cs="MS PGothic" w:eastAsia="MS PGothic" w:hAnsi="MS PGothic"/>
                <w:sz w:val="18"/>
                <w:szCs w:val="18"/>
                <w:color w:val="auto"/>
                <w:w w:val="91"/>
              </w:rPr>
              <w:t>☐</w:t>
            </w:r>
          </w:p>
        </w:tc>
      </w:tr>
    </w:tbl>
    <w:p>
      <w:pPr>
        <w:ind w:left="34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3" w:lineRule="exact"/>
        <w:rPr>
          <w:sz w:val="24"/>
          <w:szCs w:val="24"/>
          <w:color w:val="auto"/>
        </w:rPr>
      </w:pPr>
    </w:p>
    <w:p>
      <w:pPr>
        <w:ind w:left="34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x</w:t>
      </w:r>
    </w:p>
    <w:p>
      <w:pPr>
        <w:spacing w:after="0" w:line="15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30" w:lineRule="exact"/>
        <w:rPr>
          <w:sz w:val="24"/>
          <w:szCs w:val="24"/>
          <w:color w:val="auto"/>
        </w:rPr>
      </w:pPr>
    </w:p>
    <w:tbl>
      <w:tblPr>
        <w:tblLayout w:type="fixed"/>
        <w:tblInd w:w="2760" w:type="dxa"/>
        <w:tblCellMar>
          <w:top w:w="0" w:type="dxa"/>
          <w:left w:w="0" w:type="dxa"/>
          <w:bottom w:w="0" w:type="dxa"/>
          <w:right w:w="0" w:type="dxa"/>
        </w:tblCellMar>
      </w:tblPr>
      <w:tr>
        <w:trPr>
          <w:trHeight w:val="186"/>
        </w:trPr>
        <w:tc>
          <w:tcPr>
            <w:tcW w:w="284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3300" w:type="dxa"/>
            <w:vAlign w:val="bottom"/>
          </w:tcPr>
          <w:p>
            <w:pPr>
              <w:ind w:left="2560"/>
              <w:spacing w:after="0"/>
              <w:rPr>
                <w:sz w:val="20"/>
                <w:szCs w:val="20"/>
                <w:color w:val="auto"/>
              </w:rPr>
            </w:pPr>
            <w:r>
              <w:rPr>
                <w:rFonts w:ascii="Arial" w:cs="Arial" w:eastAsia="Arial" w:hAnsi="Arial"/>
                <w:sz w:val="14"/>
                <w:szCs w:val="14"/>
                <w:b w:val="1"/>
                <w:bCs w:val="1"/>
                <w:color w:val="auto"/>
                <w:w w:val="92"/>
              </w:rPr>
              <w:t>May 1, 2017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7620</wp:posOffset>
            </wp:positionV>
            <wp:extent cx="68694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ectPr>
          <w:pgSz w:w="11900" w:h="16838" w:orient="portrait"/>
          <w:cols w:equalWidth="0" w:num="1">
            <w:col w:w="11400"/>
          </w:cols>
          <w:pgMar w:left="240" w:top="238" w:right="259" w:bottom="1440" w:gutter="0" w:footer="0" w:header="0"/>
        </w:sectPr>
      </w:pPr>
    </w:p>
    <w:p>
      <w:pPr>
        <w:spacing w:after="0" w:line="38" w:lineRule="exact"/>
        <w:rPr>
          <w:sz w:val="24"/>
          <w:szCs w:val="24"/>
          <w:color w:val="auto"/>
        </w:rPr>
      </w:pPr>
    </w:p>
    <w:p>
      <w:pPr>
        <w:ind w:left="1440"/>
        <w:spacing w:after="0"/>
        <w:tabs>
          <w:tab w:leader="none" w:pos="8060" w:val="left"/>
        </w:tabs>
        <w:rPr>
          <w:sz w:val="20"/>
          <w:szCs w:val="20"/>
          <w:color w:val="auto"/>
        </w:rPr>
      </w:pPr>
      <w:r>
        <w:rPr>
          <w:rFonts w:ascii="Arial" w:cs="Arial" w:eastAsia="Arial" w:hAnsi="Arial"/>
          <w:sz w:val="18"/>
          <w:szCs w:val="18"/>
          <w:color w:val="auto"/>
        </w:rPr>
        <w:t>Common Stock, par value $.01 per share</w:t>
      </w:r>
      <w:r>
        <w:rPr>
          <w:sz w:val="20"/>
          <w:szCs w:val="20"/>
          <w:color w:val="auto"/>
        </w:rPr>
        <w:tab/>
      </w:r>
      <w:r>
        <w:rPr>
          <w:rFonts w:ascii="Arial" w:cs="Arial" w:eastAsia="Arial" w:hAnsi="Arial"/>
          <w:sz w:val="16"/>
          <w:szCs w:val="16"/>
          <w:color w:val="auto"/>
        </w:rPr>
        <w:t>208,199,736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8" w:right="25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Forward-looking statements in this document are subject to known and unknown risks, uncertainties and other factors that may cause actual results, performance or achievements of Gaming and Leisure Properties, Inc. ("GLPI") and its subsidiaries (collectively, the "Company") to be materially different from any future results, performance or achievements expressed or implied by such forward-looking statements. Forward-looking statements include information concerning the Company’s business strategy, plans, goals and objectives.</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Forward-looking statements in this document include, but are not limited to, statements regarding our ability to grow our portfolio of gaming facilities and to secure additional avenues of growth beyond the gaming industry. In addition, statements preceded by, followed by or that otherwise include the words "believes," "expects," "anticipates," "intends," "projects," "estimates," "plans," "may increase," "may fluctuate," and similar expressions or future or conditional verbs such as "will," "should," "would," "may" and "could" are generally forward-looking in nature and not historical facts. You should understand that the following important factors could affect future results and could cause actual results to differ materially from those expressed in such forward-looking statements:</w:t>
      </w:r>
    </w:p>
    <w:p>
      <w:pPr>
        <w:spacing w:after="0" w:line="193" w:lineRule="exact"/>
        <w:rPr>
          <w:sz w:val="20"/>
          <w:szCs w:val="20"/>
          <w:color w:val="auto"/>
        </w:rPr>
      </w:pPr>
    </w:p>
    <w:p>
      <w:pPr>
        <w:ind w:left="660" w:right="1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to receive, or delays in obtaining, the regulatory approvals required to own and/or operate our properties, or other delays or impediments to completing our planned acquisitions or projects;</w:t>
      </w:r>
    </w:p>
    <w:p>
      <w:pPr>
        <w:spacing w:after="0" w:line="170" w:lineRule="exact"/>
        <w:rPr>
          <w:rFonts w:ascii="Arial" w:cs="Arial" w:eastAsia="Arial" w:hAnsi="Arial"/>
          <w:sz w:val="18"/>
          <w:szCs w:val="18"/>
          <w:color w:val="auto"/>
        </w:rPr>
      </w:pPr>
    </w:p>
    <w:p>
      <w:pPr>
        <w:ind w:left="660" w:right="140" w:hanging="328"/>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our status as a real estate investment trust ("REIT"), given the highly technical and complex Internal Revenue Code (the "Code") provisions for which only limited judicial and administrative authorities exist, where even a technical or inadvertent violation could jeopardize REIT qualification and where requirements may depend in part on the actions of third parties over which the Company has no control or only limited influence;</w:t>
      </w:r>
    </w:p>
    <w:p>
      <w:pPr>
        <w:spacing w:after="0" w:line="186"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satisfaction of certain asset, income, organizational, distribution, shareholder ownership and other requirements on a continuing basis in order for the Company to maintain its REIT status;</w:t>
      </w:r>
    </w:p>
    <w:p>
      <w:pPr>
        <w:spacing w:after="0" w:line="170" w:lineRule="exact"/>
        <w:rPr>
          <w:rFonts w:ascii="Arial" w:cs="Arial" w:eastAsia="Arial" w:hAnsi="Arial"/>
          <w:sz w:val="18"/>
          <w:szCs w:val="18"/>
          <w:color w:val="auto"/>
        </w:rPr>
      </w:pPr>
    </w:p>
    <w:p>
      <w:pPr>
        <w:ind w:left="660" w:right="60" w:hanging="328"/>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and willingness of our tenants, operators and other third parties to meet and/or perform their obligations under their respective contractual arrangements with us, including, in some cases, their obligations to indemnify, defend and hold us harmless from and against various claims, litigation and liabilities;</w:t>
      </w:r>
    </w:p>
    <w:p>
      <w:pPr>
        <w:spacing w:after="0" w:line="181" w:lineRule="exact"/>
        <w:rPr>
          <w:rFonts w:ascii="Arial" w:cs="Arial" w:eastAsia="Arial" w:hAnsi="Arial"/>
          <w:sz w:val="18"/>
          <w:szCs w:val="18"/>
          <w:color w:val="auto"/>
        </w:rPr>
      </w:pPr>
    </w:p>
    <w:p>
      <w:pPr>
        <w:ind w:left="660" w:right="140" w:hanging="328"/>
        <w:spacing w:after="0" w:line="308"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ability of our tenants and operators to maintain the financial strength and liquidity necessary to satisfy their respective obligations and liabilities to third parties, including without limitation to satisfy obligations under their existing credit facilities and other indebtedness;</w:t>
      </w:r>
    </w:p>
    <w:p>
      <w:pPr>
        <w:spacing w:after="0" w:line="146" w:lineRule="exact"/>
        <w:rPr>
          <w:rFonts w:ascii="Arial" w:cs="Arial" w:eastAsia="Arial" w:hAnsi="Arial"/>
          <w:sz w:val="17"/>
          <w:szCs w:val="17"/>
          <w:color w:val="auto"/>
        </w:rPr>
      </w:pPr>
    </w:p>
    <w:p>
      <w:pPr>
        <w:ind w:left="660" w:right="1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of our tenants and operators to comply with laws, rules and regulations in the operation of our properties, to deliver high quality services, to attract and retain qualified personnel and to attract customers;</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availability of and the ability to identify suitable and attractive acquisition and development opportunities and the ability to acquire and lease the respective properties on favorable terms;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degree and nature of our competition;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to generate sufficient cash flows to service our outstanding indebtedness;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access to debt and equity capital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adverse changes in our credit rating;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fluctuating interest rates;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global or regional economic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availability of qualified personnel and our ability to retain our key management personnel;</w:t>
      </w:r>
    </w:p>
    <w:p>
      <w:pPr>
        <w:spacing w:after="0" w:line="225"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GLPI's duty to indemnify Penn National Gaming, Inc. and its subsidiaries ("Penn") in certain circumstances if the spin-off transaction described in Note 1 to the condensed consolidated financial statements fails to be tax-free;</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United States tax law and other state, federal or local laws, whether or not specific to real estate, real estate investment trusts or to the gaming, lodging or hospitality industries;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0" w:right="23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accounting standards;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weather events or conditions, natural disasters, acts of terrorism and other international hostilities, war or political instability;</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inherent in the real estate business, including potential liability relating to environmental matters and illiquidity of real estate investments; and</w:t>
      </w:r>
    </w:p>
    <w:p>
      <w:pPr>
        <w:spacing w:after="0" w:line="170" w:lineRule="exact"/>
        <w:rPr>
          <w:rFonts w:ascii="Arial" w:cs="Arial" w:eastAsia="Arial" w:hAnsi="Arial"/>
          <w:sz w:val="18"/>
          <w:szCs w:val="18"/>
          <w:color w:val="auto"/>
        </w:rPr>
      </w:pPr>
    </w:p>
    <w:p>
      <w:pPr>
        <w:ind w:left="660" w:right="20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additional factors as discussed in the Company’s Annual Report on Form 10-K for the year ended December 31, 2016, in this Quarterly Report on Form 10-Q and Current Reports on Form 8-K as filed with the United States Securities and Exchange Commission (the "SEC").</w:t>
      </w:r>
    </w:p>
    <w:p>
      <w:pPr>
        <w:spacing w:after="0" w:line="14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Certain of these factors and other factors, risks and uncertainties are discussed in the "Risk Factors" section in the Company’s Annual Report on Form 10-K for the year ended December 31, 2016 and this Quarterly Report on Form 10-Q. Other unknown or unpredictable factors may also cause actual results to differ materially from those projected by the forward-looking statements. Most of these factors are difficult to anticipate and are generally beyond the control of the Company.</w:t>
      </w:r>
    </w:p>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You should consider the areas of risk described above, as well as those set forth in the "Risk Factors" section in the Company’s Annual Report on Form 10-K for the year ended December 31, 2016 and this Quarterly Report on Form 10-Q, in connection with considering any forward-looking statements that may be made by the Company generally. Except for the ongoing obligations of the Company to disclose material information under the federal securities laws, the Company does not undertake any obligation to release publicly any revisions to any forward-looking statements, to report events or to report the occurrence of unanticipated events unless required to do so by law.</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130" w:right="27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TABLE OF CONTENTS</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80" w:type="dxa"/>
            <w:vAlign w:val="bottom"/>
          </w:tcPr>
          <w:p>
            <w:pPr>
              <w:spacing w:after="0"/>
              <w:rPr>
                <w:rFonts w:ascii="Arial" w:cs="Arial" w:eastAsia="Arial" w:hAnsi="Arial"/>
                <w:sz w:val="18"/>
                <w:szCs w:val="18"/>
                <w:color w:val="0000EE"/>
                <w:w w:val="85"/>
              </w:rPr>
            </w:pPr>
            <w:hyperlink w:anchor="page5">
              <w:r>
                <w:rPr>
                  <w:rFonts w:ascii="Arial" w:cs="Arial" w:eastAsia="Arial" w:hAnsi="Arial"/>
                  <w:sz w:val="18"/>
                  <w:szCs w:val="18"/>
                  <w:color w:val="0000EE"/>
                  <w:w w:val="85"/>
                </w:rPr>
                <w:t>PART I.</w:t>
              </w:r>
            </w:hyperlink>
          </w:p>
        </w:tc>
        <w:tc>
          <w:tcPr>
            <w:tcW w:w="1260" w:type="dxa"/>
            <w:vAlign w:val="bottom"/>
            <w:gridSpan w:val="5"/>
          </w:tcPr>
          <w:p>
            <w:pPr>
              <w:spacing w:after="0"/>
              <w:rPr>
                <w:sz w:val="17"/>
                <w:szCs w:val="17"/>
                <w:color w:val="auto"/>
              </w:rPr>
            </w:pPr>
          </w:p>
        </w:tc>
        <w:tc>
          <w:tcPr>
            <w:tcW w:w="2240" w:type="dxa"/>
            <w:vAlign w:val="bottom"/>
            <w:gridSpan w:val="5"/>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FINANCIAL INFORMATION</w:t>
              </w:r>
            </w:hyperlink>
          </w:p>
        </w:tc>
        <w:tc>
          <w:tcPr>
            <w:tcW w:w="6280" w:type="dxa"/>
            <w:vAlign w:val="bottom"/>
            <w:gridSpan w:val="13"/>
          </w:tcPr>
          <w:p>
            <w:pPr>
              <w:spacing w:after="0"/>
              <w:rPr>
                <w:sz w:val="17"/>
                <w:szCs w:val="17"/>
                <w:color w:val="auto"/>
              </w:rPr>
            </w:pPr>
          </w:p>
        </w:tc>
        <w:tc>
          <w:tcPr>
            <w:tcW w:w="720" w:type="dxa"/>
            <w:vAlign w:val="bottom"/>
            <w:gridSpan w:val="4"/>
          </w:tcPr>
          <w:p>
            <w:pPr>
              <w:jc w:val="center"/>
              <w:ind w:left="43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r>
      <w:tr>
        <w:trPr>
          <w:trHeight w:val="20"/>
        </w:trPr>
        <w:tc>
          <w:tcPr>
            <w:tcW w:w="5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5">
              <w:r>
                <w:rPr>
                  <w:rFonts w:ascii="Arial" w:cs="Arial" w:eastAsia="Arial" w:hAnsi="Arial"/>
                  <w:sz w:val="18"/>
                  <w:szCs w:val="18"/>
                  <w:color w:val="0000EE"/>
                  <w:w w:val="85"/>
                </w:rPr>
                <w:t>ITEM 1.</w:t>
              </w:r>
            </w:hyperlink>
          </w:p>
        </w:tc>
        <w:tc>
          <w:tcPr>
            <w:tcW w:w="1260" w:type="dxa"/>
            <w:vAlign w:val="bottom"/>
            <w:gridSpan w:val="5"/>
          </w:tcPr>
          <w:p>
            <w:pPr>
              <w:spacing w:after="0"/>
              <w:rPr>
                <w:sz w:val="24"/>
                <w:szCs w:val="24"/>
                <w:color w:val="auto"/>
              </w:rPr>
            </w:pPr>
          </w:p>
        </w:tc>
        <w:tc>
          <w:tcPr>
            <w:tcW w:w="3060" w:type="dxa"/>
            <w:vAlign w:val="bottom"/>
            <w:gridSpan w:val="8"/>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FINANCIAL STATEMENTS (Unaudited)</w:t>
              </w:r>
            </w:hyperlink>
          </w:p>
        </w:tc>
        <w:tc>
          <w:tcPr>
            <w:tcW w:w="5460" w:type="dxa"/>
            <w:vAlign w:val="bottom"/>
            <w:gridSpan w:val="10"/>
          </w:tcPr>
          <w:p>
            <w:pPr>
              <w:spacing w:after="0"/>
              <w:rPr>
                <w:sz w:val="24"/>
                <w:szCs w:val="24"/>
                <w:color w:val="auto"/>
              </w:rPr>
            </w:pPr>
          </w:p>
        </w:tc>
        <w:tc>
          <w:tcPr>
            <w:tcW w:w="720" w:type="dxa"/>
            <w:vAlign w:val="bottom"/>
            <w:gridSpan w:val="4"/>
          </w:tcPr>
          <w:p>
            <w:pPr>
              <w:jc w:val="center"/>
              <w:ind w:left="43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r>
      <w:tr>
        <w:trPr>
          <w:trHeight w:val="20"/>
        </w:trPr>
        <w:tc>
          <w:tcPr>
            <w:tcW w:w="5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52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 March 31, 2017 and December 31, 2016</w:t>
              </w:r>
            </w:hyperlink>
          </w:p>
        </w:tc>
        <w:tc>
          <w:tcPr>
            <w:tcW w:w="720" w:type="dxa"/>
            <w:vAlign w:val="bottom"/>
            <w:gridSpan w:val="4"/>
          </w:tcPr>
          <w:p>
            <w:pPr>
              <w:jc w:val="center"/>
              <w:ind w:left="43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980" w:type="dxa"/>
            <w:vAlign w:val="bottom"/>
            <w:gridSpan w:val="14"/>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Income - Three Months Ended March 31, 2017 and 2016</w:t>
              </w:r>
            </w:hyperlink>
          </w:p>
        </w:tc>
        <w:tc>
          <w:tcPr>
            <w:tcW w:w="1540" w:type="dxa"/>
            <w:vAlign w:val="bottom"/>
            <w:gridSpan w:val="4"/>
          </w:tcPr>
          <w:p>
            <w:pPr>
              <w:spacing w:after="0"/>
              <w:rPr>
                <w:sz w:val="21"/>
                <w:szCs w:val="21"/>
                <w:color w:val="auto"/>
              </w:rPr>
            </w:pPr>
          </w:p>
        </w:tc>
        <w:tc>
          <w:tcPr>
            <w:tcW w:w="720" w:type="dxa"/>
            <w:vAlign w:val="bottom"/>
            <w:gridSpan w:val="4"/>
          </w:tcPr>
          <w:p>
            <w:pPr>
              <w:jc w:val="center"/>
              <w:ind w:left="430"/>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0" w:type="dxa"/>
            <w:vAlign w:val="bottom"/>
            <w:gridSpan w:val="17"/>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Condensed Consolidated Statement of Changes in Shareholders' Equity - Three Months Ended March 31, 2017</w:t>
              </w:r>
            </w:hyperlink>
          </w:p>
        </w:tc>
        <w:tc>
          <w:tcPr>
            <w:tcW w:w="520" w:type="dxa"/>
            <w:vAlign w:val="bottom"/>
          </w:tcPr>
          <w:p>
            <w:pPr>
              <w:spacing w:after="0"/>
              <w:rPr>
                <w:sz w:val="21"/>
                <w:szCs w:val="21"/>
                <w:color w:val="auto"/>
              </w:rPr>
            </w:pPr>
          </w:p>
        </w:tc>
        <w:tc>
          <w:tcPr>
            <w:tcW w:w="720" w:type="dxa"/>
            <w:vAlign w:val="bottom"/>
            <w:gridSpan w:val="4"/>
          </w:tcPr>
          <w:p>
            <w:pPr>
              <w:jc w:val="center"/>
              <w:ind w:left="430"/>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80" w:type="dxa"/>
            <w:vAlign w:val="bottom"/>
            <w:gridSpan w:val="15"/>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Cash Flows - Three Months Ended March 31, 2017 and 2016</w:t>
              </w:r>
            </w:hyperlink>
          </w:p>
        </w:tc>
        <w:tc>
          <w:tcPr>
            <w:tcW w:w="72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gridSpan w:val="4"/>
          </w:tcPr>
          <w:p>
            <w:pPr>
              <w:jc w:val="center"/>
              <w:ind w:left="430"/>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7</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260" w:type="dxa"/>
            <w:vAlign w:val="bottom"/>
            <w:gridSpan w:val="10"/>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the Condensed Consolidated Financial Statements</w:t>
              </w:r>
            </w:hyperlink>
          </w:p>
        </w:tc>
        <w:tc>
          <w:tcPr>
            <w:tcW w:w="3020" w:type="dxa"/>
            <w:vAlign w:val="bottom"/>
            <w:gridSpan w:val="5"/>
          </w:tcPr>
          <w:p>
            <w:pPr>
              <w:spacing w:after="0"/>
              <w:rPr>
                <w:sz w:val="21"/>
                <w:szCs w:val="21"/>
                <w:color w:val="auto"/>
              </w:rPr>
            </w:pPr>
          </w:p>
        </w:tc>
        <w:tc>
          <w:tcPr>
            <w:tcW w:w="1240" w:type="dxa"/>
            <w:vAlign w:val="bottom"/>
            <w:gridSpan w:val="3"/>
          </w:tcPr>
          <w:p>
            <w:pPr>
              <w:spacing w:after="0"/>
              <w:rPr>
                <w:sz w:val="21"/>
                <w:szCs w:val="21"/>
                <w:color w:val="auto"/>
              </w:rPr>
            </w:pPr>
          </w:p>
        </w:tc>
        <w:tc>
          <w:tcPr>
            <w:tcW w:w="720" w:type="dxa"/>
            <w:vAlign w:val="bottom"/>
            <w:gridSpan w:val="4"/>
          </w:tcPr>
          <w:p>
            <w:pPr>
              <w:jc w:val="center"/>
              <w:ind w:left="430"/>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8</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30">
              <w:r>
                <w:rPr>
                  <w:rFonts w:ascii="Arial" w:cs="Arial" w:eastAsia="Arial" w:hAnsi="Arial"/>
                  <w:sz w:val="18"/>
                  <w:szCs w:val="18"/>
                  <w:color w:val="0000EE"/>
                  <w:w w:val="85"/>
                </w:rPr>
                <w:t>ITEM 2.</w:t>
              </w:r>
            </w:hyperlink>
          </w:p>
        </w:tc>
        <w:tc>
          <w:tcPr>
            <w:tcW w:w="1260" w:type="dxa"/>
            <w:vAlign w:val="bottom"/>
            <w:gridSpan w:val="5"/>
          </w:tcPr>
          <w:p>
            <w:pPr>
              <w:spacing w:after="0"/>
              <w:rPr>
                <w:sz w:val="24"/>
                <w:szCs w:val="24"/>
                <w:color w:val="auto"/>
              </w:rPr>
            </w:pPr>
          </w:p>
        </w:tc>
        <w:tc>
          <w:tcPr>
            <w:tcW w:w="8520" w:type="dxa"/>
            <w:vAlign w:val="bottom"/>
            <w:gridSpan w:val="1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MANAGEMENT’S DISCUSSION AND ANALYSIS OF FINANCIAL CONDITION AND RESULTS OF</w:t>
              </w:r>
            </w:hyperlink>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6"/>
        </w:trPr>
        <w:tc>
          <w:tcPr>
            <w:tcW w:w="5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Borders>
              <w:top w:val="single" w:sz="8" w:color="0000EE"/>
            </w:tcBorders>
            <w:gridSpan w:val="2"/>
          </w:tcPr>
          <w:p>
            <w:pPr>
              <w:spacing w:after="0" w:line="196" w:lineRule="exact"/>
              <w:rPr>
                <w:rFonts w:ascii="Arial" w:cs="Arial" w:eastAsia="Arial" w:hAnsi="Arial"/>
                <w:sz w:val="18"/>
                <w:szCs w:val="18"/>
                <w:color w:val="0000EE"/>
                <w:w w:val="91"/>
              </w:rPr>
            </w:pPr>
            <w:hyperlink w:anchor="page30">
              <w:r>
                <w:rPr>
                  <w:rFonts w:ascii="Arial" w:cs="Arial" w:eastAsia="Arial" w:hAnsi="Arial"/>
                  <w:sz w:val="18"/>
                  <w:szCs w:val="18"/>
                  <w:color w:val="0000EE"/>
                  <w:w w:val="91"/>
                </w:rPr>
                <w:t>OPERATIONS</w:t>
              </w:r>
            </w:hyperlink>
          </w:p>
        </w:tc>
        <w:tc>
          <w:tcPr>
            <w:tcW w:w="6660" w:type="dxa"/>
            <w:vAlign w:val="bottom"/>
            <w:tcBorders>
              <w:top w:val="single" w:sz="8" w:color="0000EE"/>
            </w:tcBorders>
            <w:gridSpan w:val="14"/>
          </w:tcPr>
          <w:p>
            <w:pPr>
              <w:spacing w:after="0"/>
              <w:rPr>
                <w:sz w:val="17"/>
                <w:szCs w:val="17"/>
                <w:color w:val="auto"/>
              </w:rPr>
            </w:pPr>
          </w:p>
        </w:tc>
        <w:tc>
          <w:tcPr>
            <w:tcW w:w="760" w:type="dxa"/>
            <w:vAlign w:val="bottom"/>
            <w:gridSpan w:val="2"/>
          </w:tcPr>
          <w:p>
            <w:pPr>
              <w:spacing w:after="0"/>
              <w:rPr>
                <w:sz w:val="17"/>
                <w:szCs w:val="17"/>
                <w:color w:val="auto"/>
              </w:rPr>
            </w:pPr>
          </w:p>
        </w:tc>
        <w:tc>
          <w:tcPr>
            <w:tcW w:w="720" w:type="dxa"/>
            <w:vAlign w:val="bottom"/>
            <w:gridSpan w:val="4"/>
          </w:tcPr>
          <w:p>
            <w:pPr>
              <w:jc w:val="center"/>
              <w:ind w:left="450"/>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29</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39">
              <w:r>
                <w:rPr>
                  <w:rFonts w:ascii="Arial" w:cs="Arial" w:eastAsia="Arial" w:hAnsi="Arial"/>
                  <w:sz w:val="18"/>
                  <w:szCs w:val="18"/>
                  <w:color w:val="0000EE"/>
                  <w:w w:val="85"/>
                </w:rPr>
                <w:t>ITEM 3.</w:t>
              </w:r>
            </w:hyperlink>
          </w:p>
        </w:tc>
        <w:tc>
          <w:tcPr>
            <w:tcW w:w="1260" w:type="dxa"/>
            <w:vAlign w:val="bottom"/>
            <w:gridSpan w:val="5"/>
          </w:tcPr>
          <w:p>
            <w:pPr>
              <w:spacing w:after="0"/>
              <w:rPr>
                <w:sz w:val="24"/>
                <w:szCs w:val="24"/>
                <w:color w:val="auto"/>
              </w:rPr>
            </w:pPr>
          </w:p>
        </w:tc>
        <w:tc>
          <w:tcPr>
            <w:tcW w:w="6140" w:type="dxa"/>
            <w:vAlign w:val="bottom"/>
            <w:gridSpan w:val="13"/>
          </w:tcPr>
          <w:p>
            <w:pPr>
              <w:spacing w:after="0"/>
              <w:rPr>
                <w:rFonts w:ascii="Arial" w:cs="Arial" w:eastAsia="Arial" w:hAnsi="Arial"/>
                <w:sz w:val="18"/>
                <w:szCs w:val="18"/>
                <w:color w:val="0000EE"/>
                <w:w w:val="98"/>
              </w:rPr>
            </w:pPr>
            <w:hyperlink w:anchor="page39">
              <w:r>
                <w:rPr>
                  <w:rFonts w:ascii="Arial" w:cs="Arial" w:eastAsia="Arial" w:hAnsi="Arial"/>
                  <w:sz w:val="18"/>
                  <w:szCs w:val="18"/>
                  <w:color w:val="0000EE"/>
                  <w:w w:val="98"/>
                </w:rPr>
                <w:t>QUANTITATIVE AND QUALITATIVE DISCLOSURES ABOUT MARKET RISK</w:t>
              </w:r>
            </w:hyperlink>
          </w:p>
        </w:tc>
        <w:tc>
          <w:tcPr>
            <w:tcW w:w="2380" w:type="dxa"/>
            <w:vAlign w:val="bottom"/>
            <w:gridSpan w:val="5"/>
          </w:tcPr>
          <w:p>
            <w:pPr>
              <w:spacing w:after="0"/>
              <w:rPr>
                <w:sz w:val="24"/>
                <w:szCs w:val="24"/>
                <w:color w:val="auto"/>
              </w:rPr>
            </w:pPr>
          </w:p>
        </w:tc>
        <w:tc>
          <w:tcPr>
            <w:tcW w:w="720" w:type="dxa"/>
            <w:vAlign w:val="bottom"/>
            <w:gridSpan w:val="4"/>
          </w:tcPr>
          <w:p>
            <w:pPr>
              <w:jc w:val="center"/>
              <w:ind w:left="450"/>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38</w:t>
              </w:r>
            </w:hyperlink>
          </w:p>
        </w:tc>
      </w:tr>
      <w:tr>
        <w:trPr>
          <w:trHeight w:val="20"/>
        </w:trPr>
        <w:tc>
          <w:tcPr>
            <w:tcW w:w="5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40">
              <w:r>
                <w:rPr>
                  <w:rFonts w:ascii="Arial" w:cs="Arial" w:eastAsia="Arial" w:hAnsi="Arial"/>
                  <w:sz w:val="18"/>
                  <w:szCs w:val="18"/>
                  <w:color w:val="0000EE"/>
                  <w:w w:val="85"/>
                </w:rPr>
                <w:t>ITEM 4.</w:t>
              </w:r>
            </w:hyperlink>
          </w:p>
        </w:tc>
        <w:tc>
          <w:tcPr>
            <w:tcW w:w="1260" w:type="dxa"/>
            <w:vAlign w:val="bottom"/>
            <w:gridSpan w:val="5"/>
          </w:tcPr>
          <w:p>
            <w:pPr>
              <w:spacing w:after="0"/>
              <w:rPr>
                <w:sz w:val="24"/>
                <w:szCs w:val="24"/>
                <w:color w:val="auto"/>
              </w:rPr>
            </w:pPr>
          </w:p>
        </w:tc>
        <w:tc>
          <w:tcPr>
            <w:tcW w:w="2600" w:type="dxa"/>
            <w:vAlign w:val="bottom"/>
            <w:gridSpan w:val="7"/>
          </w:tcPr>
          <w:p>
            <w:pPr>
              <w:spacing w:after="0"/>
              <w:rPr>
                <w:rFonts w:ascii="Arial" w:cs="Arial" w:eastAsia="Arial" w:hAnsi="Arial"/>
                <w:sz w:val="18"/>
                <w:szCs w:val="18"/>
                <w:color w:val="0000EE"/>
                <w:w w:val="93"/>
              </w:rPr>
            </w:pPr>
            <w:hyperlink w:anchor="page40">
              <w:r>
                <w:rPr>
                  <w:rFonts w:ascii="Arial" w:cs="Arial" w:eastAsia="Arial" w:hAnsi="Arial"/>
                  <w:sz w:val="18"/>
                  <w:szCs w:val="18"/>
                  <w:color w:val="0000EE"/>
                  <w:w w:val="93"/>
                </w:rPr>
                <w:t>CONTROLS AND PROCEDURES</w:t>
              </w:r>
            </w:hyperlink>
          </w:p>
        </w:tc>
        <w:tc>
          <w:tcPr>
            <w:tcW w:w="3540" w:type="dxa"/>
            <w:vAlign w:val="bottom"/>
            <w:gridSpan w:val="6"/>
          </w:tcPr>
          <w:p>
            <w:pPr>
              <w:spacing w:after="0"/>
              <w:rPr>
                <w:sz w:val="24"/>
                <w:szCs w:val="24"/>
                <w:color w:val="auto"/>
              </w:rPr>
            </w:pPr>
          </w:p>
        </w:tc>
        <w:tc>
          <w:tcPr>
            <w:tcW w:w="2380" w:type="dxa"/>
            <w:vAlign w:val="bottom"/>
            <w:gridSpan w:val="5"/>
          </w:tcPr>
          <w:p>
            <w:pPr>
              <w:spacing w:after="0"/>
              <w:rPr>
                <w:sz w:val="24"/>
                <w:szCs w:val="24"/>
                <w:color w:val="auto"/>
              </w:rPr>
            </w:pPr>
          </w:p>
        </w:tc>
        <w:tc>
          <w:tcPr>
            <w:tcW w:w="720" w:type="dxa"/>
            <w:vAlign w:val="bottom"/>
            <w:gridSpan w:val="4"/>
          </w:tcPr>
          <w:p>
            <w:pPr>
              <w:jc w:val="center"/>
              <w:ind w:left="450"/>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39</w:t>
              </w:r>
            </w:hyperlink>
          </w:p>
        </w:tc>
      </w:tr>
      <w:tr>
        <w:trPr>
          <w:trHeight w:val="20"/>
        </w:trPr>
        <w:tc>
          <w:tcPr>
            <w:tcW w:w="5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w w:val="91"/>
              </w:rPr>
            </w:pPr>
            <w:hyperlink w:anchor="page41">
              <w:r>
                <w:rPr>
                  <w:rFonts w:ascii="Arial" w:cs="Arial" w:eastAsia="Arial" w:hAnsi="Arial"/>
                  <w:sz w:val="18"/>
                  <w:szCs w:val="18"/>
                  <w:color w:val="0000EE"/>
                  <w:w w:val="91"/>
                </w:rPr>
                <w:t>PART II.</w:t>
              </w:r>
            </w:hyperlink>
          </w:p>
        </w:tc>
        <w:tc>
          <w:tcPr>
            <w:tcW w:w="1200" w:type="dxa"/>
            <w:vAlign w:val="bottom"/>
            <w:gridSpan w:val="4"/>
          </w:tcPr>
          <w:p>
            <w:pPr>
              <w:spacing w:after="0"/>
              <w:rPr>
                <w:sz w:val="24"/>
                <w:szCs w:val="24"/>
                <w:color w:val="auto"/>
              </w:rPr>
            </w:pPr>
          </w:p>
        </w:tc>
        <w:tc>
          <w:tcPr>
            <w:tcW w:w="1860" w:type="dxa"/>
            <w:vAlign w:val="bottom"/>
            <w:gridSpan w:val="4"/>
          </w:tcPr>
          <w:p>
            <w:pPr>
              <w:spacing w:after="0"/>
              <w:rPr>
                <w:rFonts w:ascii="Arial" w:cs="Arial" w:eastAsia="Arial" w:hAnsi="Arial"/>
                <w:sz w:val="18"/>
                <w:szCs w:val="18"/>
                <w:color w:val="0000EE"/>
                <w:w w:val="93"/>
              </w:rPr>
            </w:pPr>
            <w:hyperlink w:anchor="page41">
              <w:r>
                <w:rPr>
                  <w:rFonts w:ascii="Arial" w:cs="Arial" w:eastAsia="Arial" w:hAnsi="Arial"/>
                  <w:sz w:val="18"/>
                  <w:szCs w:val="18"/>
                  <w:color w:val="0000EE"/>
                  <w:w w:val="93"/>
                </w:rPr>
                <w:t>OTHER INFORMATION</w:t>
              </w:r>
            </w:hyperlink>
          </w:p>
        </w:tc>
        <w:tc>
          <w:tcPr>
            <w:tcW w:w="6660" w:type="dxa"/>
            <w:vAlign w:val="bottom"/>
            <w:gridSpan w:val="14"/>
          </w:tcPr>
          <w:p>
            <w:pPr>
              <w:spacing w:after="0"/>
              <w:rPr>
                <w:sz w:val="24"/>
                <w:szCs w:val="24"/>
                <w:color w:val="auto"/>
              </w:rPr>
            </w:pPr>
          </w:p>
        </w:tc>
        <w:tc>
          <w:tcPr>
            <w:tcW w:w="720" w:type="dxa"/>
            <w:vAlign w:val="bottom"/>
            <w:gridSpan w:val="4"/>
          </w:tcPr>
          <w:p>
            <w:pPr>
              <w:jc w:val="center"/>
              <w:ind w:left="450"/>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40</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41">
              <w:r>
                <w:rPr>
                  <w:rFonts w:ascii="Arial" w:cs="Arial" w:eastAsia="Arial" w:hAnsi="Arial"/>
                  <w:sz w:val="18"/>
                  <w:szCs w:val="18"/>
                  <w:color w:val="0000EE"/>
                  <w:w w:val="85"/>
                </w:rPr>
                <w:t>ITEM 1.</w:t>
              </w:r>
            </w:hyperlink>
          </w:p>
        </w:tc>
        <w:tc>
          <w:tcPr>
            <w:tcW w:w="60" w:type="dxa"/>
            <w:vAlign w:val="bottom"/>
          </w:tcPr>
          <w:p>
            <w:pPr>
              <w:spacing w:after="0"/>
              <w:rPr>
                <w:sz w:val="24"/>
                <w:szCs w:val="24"/>
                <w:color w:val="auto"/>
              </w:rPr>
            </w:pPr>
          </w:p>
        </w:tc>
        <w:tc>
          <w:tcPr>
            <w:tcW w:w="1200" w:type="dxa"/>
            <w:vAlign w:val="bottom"/>
            <w:gridSpan w:val="4"/>
          </w:tcPr>
          <w:p>
            <w:pPr>
              <w:spacing w:after="0"/>
              <w:rPr>
                <w:sz w:val="24"/>
                <w:szCs w:val="24"/>
                <w:color w:val="auto"/>
              </w:rPr>
            </w:pPr>
          </w:p>
        </w:tc>
        <w:tc>
          <w:tcPr>
            <w:tcW w:w="1860" w:type="dxa"/>
            <w:vAlign w:val="bottom"/>
            <w:gridSpan w:val="4"/>
          </w:tcPr>
          <w:p>
            <w:pPr>
              <w:spacing w:after="0"/>
              <w:rPr>
                <w:rFonts w:ascii="Arial" w:cs="Arial" w:eastAsia="Arial" w:hAnsi="Arial"/>
                <w:sz w:val="18"/>
                <w:szCs w:val="18"/>
                <w:color w:val="0000EE"/>
                <w:w w:val="92"/>
              </w:rPr>
            </w:pPr>
            <w:hyperlink w:anchor="page41">
              <w:r>
                <w:rPr>
                  <w:rFonts w:ascii="Arial" w:cs="Arial" w:eastAsia="Arial" w:hAnsi="Arial"/>
                  <w:sz w:val="18"/>
                  <w:szCs w:val="18"/>
                  <w:color w:val="0000EE"/>
                  <w:w w:val="92"/>
                </w:rPr>
                <w:t>LEGAL PROCEEDINGS</w:t>
              </w:r>
            </w:hyperlink>
          </w:p>
        </w:tc>
        <w:tc>
          <w:tcPr>
            <w:tcW w:w="6660" w:type="dxa"/>
            <w:vAlign w:val="bottom"/>
            <w:gridSpan w:val="14"/>
          </w:tcPr>
          <w:p>
            <w:pPr>
              <w:spacing w:after="0"/>
              <w:rPr>
                <w:sz w:val="24"/>
                <w:szCs w:val="24"/>
                <w:color w:val="auto"/>
              </w:rPr>
            </w:pPr>
          </w:p>
        </w:tc>
        <w:tc>
          <w:tcPr>
            <w:tcW w:w="720" w:type="dxa"/>
            <w:vAlign w:val="bottom"/>
            <w:gridSpan w:val="4"/>
          </w:tcPr>
          <w:p>
            <w:pPr>
              <w:jc w:val="center"/>
              <w:ind w:left="450"/>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40</w:t>
              </w:r>
            </w:hyperlink>
          </w:p>
        </w:tc>
      </w:tr>
      <w:tr>
        <w:trPr>
          <w:trHeight w:val="20"/>
        </w:trPr>
        <w:tc>
          <w:tcPr>
            <w:tcW w:w="5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1840" w:type="dxa"/>
            <w:vAlign w:val="bottom"/>
            <w:gridSpan w:val="6"/>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1A.</w:t>
              </w:r>
            </w:hyperlink>
          </w:p>
        </w:tc>
        <w:tc>
          <w:tcPr>
            <w:tcW w:w="8520" w:type="dxa"/>
            <w:vAlign w:val="bottom"/>
            <w:gridSpan w:val="1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RISK FACTORS</w:t>
              </w:r>
            </w:hyperlink>
          </w:p>
        </w:tc>
        <w:tc>
          <w:tcPr>
            <w:tcW w:w="720" w:type="dxa"/>
            <w:vAlign w:val="bottom"/>
            <w:gridSpan w:val="4"/>
          </w:tcPr>
          <w:p>
            <w:pPr>
              <w:jc w:val="center"/>
              <w:ind w:left="450"/>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40</w:t>
              </w:r>
            </w:hyperlink>
          </w:p>
        </w:tc>
      </w:tr>
      <w:tr>
        <w:trPr>
          <w:trHeight w:val="20"/>
        </w:trPr>
        <w:tc>
          <w:tcPr>
            <w:tcW w:w="74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41">
              <w:r>
                <w:rPr>
                  <w:rFonts w:ascii="Arial" w:cs="Arial" w:eastAsia="Arial" w:hAnsi="Arial"/>
                  <w:sz w:val="18"/>
                  <w:szCs w:val="18"/>
                  <w:color w:val="0000EE"/>
                  <w:w w:val="85"/>
                </w:rPr>
                <w:t>ITEM 2.</w:t>
              </w:r>
            </w:hyperlink>
          </w:p>
        </w:tc>
        <w:tc>
          <w:tcPr>
            <w:tcW w:w="160" w:type="dxa"/>
            <w:vAlign w:val="bottom"/>
            <w:gridSpan w:val="2"/>
          </w:tcPr>
          <w:p>
            <w:pPr>
              <w:spacing w:after="0"/>
              <w:rPr>
                <w:sz w:val="24"/>
                <w:szCs w:val="24"/>
                <w:color w:val="auto"/>
              </w:rPr>
            </w:pPr>
          </w:p>
        </w:tc>
        <w:tc>
          <w:tcPr>
            <w:tcW w:w="1100" w:type="dxa"/>
            <w:vAlign w:val="bottom"/>
            <w:gridSpan w:val="3"/>
          </w:tcPr>
          <w:p>
            <w:pPr>
              <w:spacing w:after="0"/>
              <w:rPr>
                <w:sz w:val="24"/>
                <w:szCs w:val="24"/>
                <w:color w:val="auto"/>
              </w:rPr>
            </w:pPr>
          </w:p>
        </w:tc>
        <w:tc>
          <w:tcPr>
            <w:tcW w:w="8520" w:type="dxa"/>
            <w:vAlign w:val="bottom"/>
            <w:gridSpan w:val="1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UNREGISTERED SALES OF EQUITY SECURITIES AND USE OF PROCEEDS</w:t>
              </w:r>
            </w:hyperlink>
          </w:p>
        </w:tc>
        <w:tc>
          <w:tcPr>
            <w:tcW w:w="720" w:type="dxa"/>
            <w:vAlign w:val="bottom"/>
            <w:gridSpan w:val="4"/>
          </w:tcPr>
          <w:p>
            <w:pPr>
              <w:jc w:val="center"/>
              <w:ind w:left="450"/>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40</w:t>
              </w:r>
            </w:hyperlink>
          </w:p>
        </w:tc>
      </w:tr>
      <w:tr>
        <w:trPr>
          <w:trHeight w:val="20"/>
        </w:trPr>
        <w:tc>
          <w:tcPr>
            <w:tcW w:w="5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41">
              <w:r>
                <w:rPr>
                  <w:rFonts w:ascii="Arial" w:cs="Arial" w:eastAsia="Arial" w:hAnsi="Arial"/>
                  <w:sz w:val="18"/>
                  <w:szCs w:val="18"/>
                  <w:color w:val="0000EE"/>
                  <w:w w:val="85"/>
                </w:rPr>
                <w:t>ITEM 3.</w:t>
              </w:r>
            </w:hyperlink>
          </w:p>
        </w:tc>
        <w:tc>
          <w:tcPr>
            <w:tcW w:w="1260" w:type="dxa"/>
            <w:vAlign w:val="bottom"/>
            <w:gridSpan w:val="5"/>
          </w:tcPr>
          <w:p>
            <w:pPr>
              <w:spacing w:after="0"/>
              <w:rPr>
                <w:sz w:val="24"/>
                <w:szCs w:val="24"/>
                <w:color w:val="auto"/>
              </w:rPr>
            </w:pPr>
          </w:p>
        </w:tc>
        <w:tc>
          <w:tcPr>
            <w:tcW w:w="3180" w:type="dxa"/>
            <w:vAlign w:val="bottom"/>
            <w:gridSpan w:val="9"/>
          </w:tcPr>
          <w:p>
            <w:pPr>
              <w:spacing w:after="0"/>
              <w:rPr>
                <w:rFonts w:ascii="Arial" w:cs="Arial" w:eastAsia="Arial" w:hAnsi="Arial"/>
                <w:sz w:val="18"/>
                <w:szCs w:val="18"/>
                <w:color w:val="0000EE"/>
                <w:w w:val="93"/>
              </w:rPr>
            </w:pPr>
            <w:hyperlink w:anchor="page41">
              <w:r>
                <w:rPr>
                  <w:rFonts w:ascii="Arial" w:cs="Arial" w:eastAsia="Arial" w:hAnsi="Arial"/>
                  <w:sz w:val="18"/>
                  <w:szCs w:val="18"/>
                  <w:color w:val="0000EE"/>
                  <w:w w:val="93"/>
                </w:rPr>
                <w:t>DEFAULTS UPON SENIOR SECURITIES</w:t>
              </w:r>
            </w:hyperlink>
          </w:p>
        </w:tc>
        <w:tc>
          <w:tcPr>
            <w:tcW w:w="2880" w:type="dxa"/>
            <w:vAlign w:val="bottom"/>
            <w:gridSpan w:val="3"/>
          </w:tcPr>
          <w:p>
            <w:pPr>
              <w:spacing w:after="0"/>
              <w:rPr>
                <w:sz w:val="24"/>
                <w:szCs w:val="24"/>
                <w:color w:val="auto"/>
              </w:rPr>
            </w:pPr>
          </w:p>
        </w:tc>
        <w:tc>
          <w:tcPr>
            <w:tcW w:w="2460" w:type="dxa"/>
            <w:vAlign w:val="bottom"/>
            <w:gridSpan w:val="6"/>
          </w:tcPr>
          <w:p>
            <w:pPr>
              <w:spacing w:after="0"/>
              <w:rPr>
                <w:sz w:val="24"/>
                <w:szCs w:val="24"/>
                <w:color w:val="auto"/>
              </w:rPr>
            </w:pPr>
          </w:p>
        </w:tc>
        <w:tc>
          <w:tcPr>
            <w:tcW w:w="720" w:type="dxa"/>
            <w:vAlign w:val="bottom"/>
            <w:gridSpan w:val="4"/>
          </w:tcPr>
          <w:p>
            <w:pPr>
              <w:jc w:val="center"/>
              <w:ind w:left="450"/>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40</w:t>
              </w:r>
            </w:hyperlink>
          </w:p>
        </w:tc>
      </w:tr>
      <w:tr>
        <w:trPr>
          <w:trHeight w:val="20"/>
        </w:trPr>
        <w:tc>
          <w:tcPr>
            <w:tcW w:w="5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340" w:type="dxa"/>
            <w:vAlign w:val="bottom"/>
            <w:gridSpan w:val="9"/>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41">
              <w:r>
                <w:rPr>
                  <w:rFonts w:ascii="Arial" w:cs="Arial" w:eastAsia="Arial" w:hAnsi="Arial"/>
                  <w:sz w:val="18"/>
                  <w:szCs w:val="18"/>
                  <w:color w:val="0000EE"/>
                  <w:w w:val="85"/>
                </w:rPr>
                <w:t>ITEM 4.</w:t>
              </w:r>
            </w:hyperlink>
          </w:p>
        </w:tc>
        <w:tc>
          <w:tcPr>
            <w:tcW w:w="1260" w:type="dxa"/>
            <w:vAlign w:val="bottom"/>
            <w:gridSpan w:val="5"/>
          </w:tcPr>
          <w:p>
            <w:pPr>
              <w:spacing w:after="0"/>
              <w:rPr>
                <w:sz w:val="24"/>
                <w:szCs w:val="24"/>
                <w:color w:val="auto"/>
              </w:rPr>
            </w:pPr>
          </w:p>
        </w:tc>
        <w:tc>
          <w:tcPr>
            <w:tcW w:w="2440" w:type="dxa"/>
            <w:vAlign w:val="bottom"/>
            <w:gridSpan w:val="6"/>
          </w:tcPr>
          <w:p>
            <w:pPr>
              <w:spacing w:after="0"/>
              <w:rPr>
                <w:rFonts w:ascii="Arial" w:cs="Arial" w:eastAsia="Arial" w:hAnsi="Arial"/>
                <w:sz w:val="18"/>
                <w:szCs w:val="18"/>
                <w:color w:val="0000EE"/>
                <w:w w:val="95"/>
              </w:rPr>
            </w:pPr>
            <w:hyperlink w:anchor="page41">
              <w:r>
                <w:rPr>
                  <w:rFonts w:ascii="Arial" w:cs="Arial" w:eastAsia="Arial" w:hAnsi="Arial"/>
                  <w:sz w:val="18"/>
                  <w:szCs w:val="18"/>
                  <w:color w:val="0000EE"/>
                  <w:w w:val="95"/>
                </w:rPr>
                <w:t>MINE SAFETY DISCLOSURES</w:t>
              </w:r>
            </w:hyperlink>
          </w:p>
        </w:tc>
        <w:tc>
          <w:tcPr>
            <w:tcW w:w="740" w:type="dxa"/>
            <w:vAlign w:val="bottom"/>
            <w:gridSpan w:val="3"/>
          </w:tcPr>
          <w:p>
            <w:pPr>
              <w:spacing w:after="0"/>
              <w:rPr>
                <w:sz w:val="24"/>
                <w:szCs w:val="24"/>
                <w:color w:val="auto"/>
              </w:rPr>
            </w:pPr>
          </w:p>
        </w:tc>
        <w:tc>
          <w:tcPr>
            <w:tcW w:w="5340" w:type="dxa"/>
            <w:vAlign w:val="bottom"/>
            <w:gridSpan w:val="9"/>
          </w:tcPr>
          <w:p>
            <w:pPr>
              <w:spacing w:after="0"/>
              <w:rPr>
                <w:sz w:val="24"/>
                <w:szCs w:val="24"/>
                <w:color w:val="auto"/>
              </w:rPr>
            </w:pPr>
          </w:p>
        </w:tc>
        <w:tc>
          <w:tcPr>
            <w:tcW w:w="720" w:type="dxa"/>
            <w:vAlign w:val="bottom"/>
            <w:gridSpan w:val="4"/>
          </w:tcPr>
          <w:p>
            <w:pPr>
              <w:jc w:val="center"/>
              <w:ind w:left="450"/>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40</w:t>
              </w:r>
            </w:hyperlink>
          </w:p>
        </w:tc>
      </w:tr>
      <w:tr>
        <w:trPr>
          <w:trHeight w:val="20"/>
        </w:trPr>
        <w:tc>
          <w:tcPr>
            <w:tcW w:w="5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6080" w:type="dxa"/>
            <w:vAlign w:val="bottom"/>
            <w:gridSpan w:val="1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41">
              <w:r>
                <w:rPr>
                  <w:rFonts w:ascii="Arial" w:cs="Arial" w:eastAsia="Arial" w:hAnsi="Arial"/>
                  <w:sz w:val="18"/>
                  <w:szCs w:val="18"/>
                  <w:color w:val="0000EE"/>
                  <w:w w:val="85"/>
                </w:rPr>
                <w:t>ITEM 5.</w:t>
              </w:r>
            </w:hyperlink>
          </w:p>
        </w:tc>
        <w:tc>
          <w:tcPr>
            <w:tcW w:w="1260" w:type="dxa"/>
            <w:vAlign w:val="bottom"/>
            <w:gridSpan w:val="5"/>
          </w:tcPr>
          <w:p>
            <w:pPr>
              <w:spacing w:after="0"/>
              <w:rPr>
                <w:sz w:val="24"/>
                <w:szCs w:val="24"/>
                <w:color w:val="auto"/>
              </w:rPr>
            </w:pPr>
          </w:p>
        </w:tc>
        <w:tc>
          <w:tcPr>
            <w:tcW w:w="1860" w:type="dxa"/>
            <w:vAlign w:val="bottom"/>
            <w:gridSpan w:val="4"/>
          </w:tcPr>
          <w:p>
            <w:pPr>
              <w:spacing w:after="0"/>
              <w:rPr>
                <w:rFonts w:ascii="Arial" w:cs="Arial" w:eastAsia="Arial" w:hAnsi="Arial"/>
                <w:sz w:val="18"/>
                <w:szCs w:val="18"/>
                <w:color w:val="0000EE"/>
                <w:w w:val="93"/>
              </w:rPr>
            </w:pPr>
            <w:hyperlink w:anchor="page41">
              <w:r>
                <w:rPr>
                  <w:rFonts w:ascii="Arial" w:cs="Arial" w:eastAsia="Arial" w:hAnsi="Arial"/>
                  <w:sz w:val="18"/>
                  <w:szCs w:val="18"/>
                  <w:color w:val="0000EE"/>
                  <w:w w:val="93"/>
                </w:rPr>
                <w:t>OTHER INFORMATION</w:t>
              </w:r>
            </w:hyperlink>
          </w:p>
        </w:tc>
        <w:tc>
          <w:tcPr>
            <w:tcW w:w="580" w:type="dxa"/>
            <w:vAlign w:val="bottom"/>
            <w:gridSpan w:val="2"/>
          </w:tcPr>
          <w:p>
            <w:pPr>
              <w:spacing w:after="0"/>
              <w:rPr>
                <w:sz w:val="24"/>
                <w:szCs w:val="24"/>
                <w:color w:val="auto"/>
              </w:rPr>
            </w:pPr>
          </w:p>
        </w:tc>
        <w:tc>
          <w:tcPr>
            <w:tcW w:w="6080" w:type="dxa"/>
            <w:vAlign w:val="bottom"/>
            <w:gridSpan w:val="12"/>
          </w:tcPr>
          <w:p>
            <w:pPr>
              <w:spacing w:after="0"/>
              <w:rPr>
                <w:sz w:val="24"/>
                <w:szCs w:val="24"/>
                <w:color w:val="auto"/>
              </w:rPr>
            </w:pPr>
          </w:p>
        </w:tc>
        <w:tc>
          <w:tcPr>
            <w:tcW w:w="720" w:type="dxa"/>
            <w:vAlign w:val="bottom"/>
            <w:gridSpan w:val="4"/>
          </w:tcPr>
          <w:p>
            <w:pPr>
              <w:jc w:val="center"/>
              <w:ind w:left="450"/>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40</w:t>
              </w:r>
            </w:hyperlink>
          </w:p>
        </w:tc>
      </w:tr>
      <w:tr>
        <w:trPr>
          <w:trHeight w:val="20"/>
        </w:trPr>
        <w:tc>
          <w:tcPr>
            <w:tcW w:w="5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6660" w:type="dxa"/>
            <w:vAlign w:val="bottom"/>
            <w:tcBorders>
              <w:left w:val="single" w:sz="8" w:color="0000EE"/>
            </w:tcBorders>
            <w:gridSpan w:val="1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42">
              <w:r>
                <w:rPr>
                  <w:rFonts w:ascii="Arial" w:cs="Arial" w:eastAsia="Arial" w:hAnsi="Arial"/>
                  <w:sz w:val="18"/>
                  <w:szCs w:val="18"/>
                  <w:color w:val="0000EE"/>
                  <w:w w:val="85"/>
                </w:rPr>
                <w:t>ITEM 6.</w:t>
              </w:r>
            </w:hyperlink>
          </w:p>
        </w:tc>
        <w:tc>
          <w:tcPr>
            <w:tcW w:w="1260" w:type="dxa"/>
            <w:vAlign w:val="bottom"/>
            <w:gridSpan w:val="5"/>
          </w:tcPr>
          <w:p>
            <w:pPr>
              <w:spacing w:after="0"/>
              <w:rPr>
                <w:sz w:val="24"/>
                <w:szCs w:val="24"/>
                <w:color w:val="auto"/>
              </w:rPr>
            </w:pPr>
          </w:p>
        </w:tc>
        <w:tc>
          <w:tcPr>
            <w:tcW w:w="820" w:type="dxa"/>
            <w:vAlign w:val="bottom"/>
          </w:tcPr>
          <w:p>
            <w:pPr>
              <w:spacing w:after="0"/>
              <w:rPr>
                <w:rFonts w:ascii="Arial" w:cs="Arial" w:eastAsia="Arial" w:hAnsi="Arial"/>
                <w:sz w:val="18"/>
                <w:szCs w:val="18"/>
                <w:color w:val="0000EE"/>
                <w:w w:val="97"/>
              </w:rPr>
            </w:pPr>
            <w:hyperlink w:anchor="page42">
              <w:r>
                <w:rPr>
                  <w:rFonts w:ascii="Arial" w:cs="Arial" w:eastAsia="Arial" w:hAnsi="Arial"/>
                  <w:sz w:val="18"/>
                  <w:szCs w:val="18"/>
                  <w:color w:val="0000EE"/>
                  <w:w w:val="97"/>
                </w:rPr>
                <w:t>EXHIBITS</w:t>
              </w:r>
            </w:hyperlink>
          </w:p>
        </w:tc>
        <w:tc>
          <w:tcPr>
            <w:tcW w:w="1040" w:type="dxa"/>
            <w:vAlign w:val="bottom"/>
            <w:gridSpan w:val="3"/>
          </w:tcPr>
          <w:p>
            <w:pPr>
              <w:spacing w:after="0"/>
              <w:rPr>
                <w:sz w:val="24"/>
                <w:szCs w:val="24"/>
                <w:color w:val="auto"/>
              </w:rPr>
            </w:pPr>
          </w:p>
        </w:tc>
        <w:tc>
          <w:tcPr>
            <w:tcW w:w="6660" w:type="dxa"/>
            <w:vAlign w:val="bottom"/>
            <w:gridSpan w:val="14"/>
          </w:tcPr>
          <w:p>
            <w:pPr>
              <w:spacing w:after="0"/>
              <w:rPr>
                <w:sz w:val="24"/>
                <w:szCs w:val="24"/>
                <w:color w:val="auto"/>
              </w:rPr>
            </w:pPr>
          </w:p>
        </w:tc>
        <w:tc>
          <w:tcPr>
            <w:tcW w:w="720" w:type="dxa"/>
            <w:vAlign w:val="bottom"/>
            <w:gridSpan w:val="4"/>
          </w:tcPr>
          <w:p>
            <w:pPr>
              <w:jc w:val="center"/>
              <w:ind w:left="450"/>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41</w:t>
              </w:r>
            </w:hyperlink>
          </w:p>
        </w:tc>
      </w:tr>
      <w:tr>
        <w:trPr>
          <w:trHeight w:val="20"/>
        </w:trPr>
        <w:tc>
          <w:tcPr>
            <w:tcW w:w="5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1000" w:type="dxa"/>
            <w:vAlign w:val="bottom"/>
            <w:gridSpan w:val="4"/>
          </w:tcPr>
          <w:p>
            <w:pPr>
              <w:spacing w:after="0"/>
              <w:rPr>
                <w:rFonts w:ascii="Arial" w:cs="Arial" w:eastAsia="Arial" w:hAnsi="Arial"/>
                <w:sz w:val="18"/>
                <w:szCs w:val="18"/>
                <w:color w:val="0000EE"/>
                <w:w w:val="93"/>
              </w:rPr>
            </w:pPr>
            <w:hyperlink w:anchor="page43">
              <w:r>
                <w:rPr>
                  <w:rFonts w:ascii="Arial" w:cs="Arial" w:eastAsia="Arial" w:hAnsi="Arial"/>
                  <w:sz w:val="18"/>
                  <w:szCs w:val="18"/>
                  <w:color w:val="0000EE"/>
                  <w:w w:val="93"/>
                </w:rPr>
                <w:t>SIGNATURE</w:t>
              </w:r>
            </w:hyperlink>
          </w:p>
        </w:tc>
        <w:tc>
          <w:tcPr>
            <w:tcW w:w="84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gridSpan w:val="4"/>
          </w:tcPr>
          <w:p>
            <w:pPr>
              <w:jc w:val="center"/>
              <w:ind w:left="450"/>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42</w:t>
              </w:r>
            </w:hyperlink>
          </w:p>
        </w:tc>
      </w:tr>
      <w:tr>
        <w:trPr>
          <w:trHeight w:val="20"/>
        </w:trPr>
        <w:tc>
          <w:tcPr>
            <w:tcW w:w="1000" w:type="dxa"/>
            <w:vAlign w:val="bottom"/>
            <w:gridSpan w:val="4"/>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1840" w:type="dxa"/>
            <w:vAlign w:val="bottom"/>
            <w:gridSpan w:val="6"/>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EXHIBIT INDEX</w:t>
              </w:r>
            </w:hyperlink>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gridSpan w:val="4"/>
          </w:tcPr>
          <w:p>
            <w:pPr>
              <w:jc w:val="center"/>
              <w:ind w:left="450"/>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43</w:t>
              </w:r>
            </w:hyperlink>
          </w:p>
        </w:tc>
      </w:tr>
      <w:tr>
        <w:trPr>
          <w:trHeight w:val="723"/>
        </w:trPr>
        <w:tc>
          <w:tcPr>
            <w:tcW w:w="5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4260" w:type="dxa"/>
            <w:vAlign w:val="bottom"/>
            <w:gridSpan w:val="10"/>
          </w:tcPr>
          <w:p>
            <w:pPr>
              <w:ind w:left="3780"/>
              <w:spacing w:after="0"/>
              <w:rPr>
                <w:sz w:val="20"/>
                <w:szCs w:val="20"/>
                <w:color w:val="auto"/>
              </w:rPr>
            </w:pPr>
            <w:r>
              <w:rPr>
                <w:rFonts w:ascii="Arial" w:cs="Arial" w:eastAsia="Arial" w:hAnsi="Arial"/>
                <w:sz w:val="18"/>
                <w:szCs w:val="18"/>
                <w:color w:val="auto"/>
              </w:rPr>
              <w:t>3</w:t>
            </w: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r>
    </w:tbl>
    <w:p>
      <w:pPr>
        <w:sectPr>
          <w:pgSz w:w="11900" w:h="16838" w:orient="portrait"/>
          <w:cols w:equalWidth="0" w:num="1">
            <w:col w:w="11120"/>
          </w:cols>
          <w:pgMar w:left="240" w:top="130" w:right="5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March 31,</w:t>
            </w:r>
          </w:p>
        </w:tc>
        <w:tc>
          <w:tcPr>
            <w:tcW w:w="140" w:type="dxa"/>
            <w:vAlign w:val="bottom"/>
          </w:tcPr>
          <w:p>
            <w:pPr>
              <w:spacing w:after="0"/>
              <w:rPr>
                <w:sz w:val="14"/>
                <w:szCs w:val="14"/>
                <w:color w:val="auto"/>
              </w:rPr>
            </w:pPr>
          </w:p>
        </w:tc>
        <w:tc>
          <w:tcPr>
            <w:tcW w:w="134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Real estate investments, net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3,714,190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3,739,091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Land rights,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588,447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590,758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Property and equipment, used in operations, net</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116,447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119,427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in direct financing lease,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2,693,099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2,710,711</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23,361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36,556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7,477</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75,521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75,521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9,577</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Loan receivable</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13,000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26,200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3,922</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67,957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50,090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7,314,399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7,369,330</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8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6,590</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Accrued interest</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75,671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33,743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salaries and wages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10,619</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Gaming, property, and other taxes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41,580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32,584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Long-term debt, net of unamortized debt issuance costs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4,573,194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4,664,965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rental revenue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182,297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166,052</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Deferred tax liabilities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20,756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19,564</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4,907,063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4,935,461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83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180"/>
              <w:spacing w:after="0"/>
              <w:rPr>
                <w:sz w:val="20"/>
                <w:szCs w:val="20"/>
                <w:color w:val="auto"/>
              </w:rPr>
            </w:pPr>
            <w:r>
              <w:rPr>
                <w:rFonts w:ascii="Arial" w:cs="Arial" w:eastAsia="Arial" w:hAnsi="Arial"/>
                <w:sz w:val="18"/>
                <w:szCs w:val="18"/>
                <w:color w:val="auto"/>
                <w:w w:val="89"/>
              </w:rPr>
              <w:t>Preferred stock ($.01 par value, 50,000,000 shares authorized, no shares issued or outstanding at March 31, 2017</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420"/>
              <w:spacing w:after="0"/>
              <w:rPr>
                <w:sz w:val="20"/>
                <w:szCs w:val="20"/>
                <w:color w:val="auto"/>
              </w:rPr>
            </w:pPr>
            <w:r>
              <w:rPr>
                <w:rFonts w:ascii="Arial" w:cs="Arial" w:eastAsia="Arial" w:hAnsi="Arial"/>
                <w:sz w:val="18"/>
                <w:szCs w:val="18"/>
                <w:color w:val="auto"/>
              </w:rPr>
              <w:t>and December 31, 2016)</w:t>
            </w:r>
          </w:p>
        </w:tc>
        <w:tc>
          <w:tcPr>
            <w:tcW w:w="26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Common stock ($.01 par value, 500,000,000 shares authorized, 208,137,358 and 207,676,827 shares issued at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March 31, 2017 and December 31, 2016, 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2,077</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3,769,502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3,760,729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accumulated deficit</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(1,364,247)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(1,328,937)</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2,407,336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2,433,869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shareholders’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7,314,399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7,369,330</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420"/>
          </w:cols>
          <w:pgMar w:left="240" w:top="13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30" w:right="239" w:bottom="1440" w:gutter="0" w:footer="0" w:header="0"/>
          <w:type w:val="continuous"/>
        </w:sectPr>
      </w:pPr>
    </w:p>
    <w:bookmarkStart w:id="5" w:name="page6"/>
    <w:bookmarkEnd w:id="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gridSpan w:val="7"/>
          </w:tcPr>
          <w:p>
            <w:pPr>
              <w:jc w:val="center"/>
              <w:ind w:left="2910"/>
              <w:spacing w:after="0"/>
              <w:rPr>
                <w:sz w:val="20"/>
                <w:szCs w:val="20"/>
                <w:color w:val="auto"/>
              </w:rPr>
            </w:pPr>
            <w:r>
              <w:rPr>
                <w:rFonts w:ascii="Arial" w:cs="Arial" w:eastAsia="Arial" w:hAnsi="Arial"/>
                <w:sz w:val="18"/>
                <w:szCs w:val="18"/>
                <w:b w:val="1"/>
                <w:bCs w:val="1"/>
                <w:color w:val="auto"/>
                <w:w w:val="90"/>
              </w:rPr>
              <w:t>Gaming and Leisure Properties, Inc. and Subsidiaries</w:t>
            </w:r>
          </w:p>
        </w:tc>
      </w:tr>
      <w:tr>
        <w:trPr>
          <w:trHeight w:val="216"/>
        </w:trPr>
        <w:tc>
          <w:tcPr>
            <w:tcW w:w="7540" w:type="dxa"/>
            <w:vAlign w:val="bottom"/>
            <w:gridSpan w:val="6"/>
          </w:tcPr>
          <w:p>
            <w:pPr>
              <w:jc w:val="center"/>
              <w:ind w:left="3790"/>
              <w:spacing w:after="0"/>
              <w:rPr>
                <w:sz w:val="20"/>
                <w:szCs w:val="20"/>
                <w:color w:val="auto"/>
              </w:rPr>
            </w:pPr>
            <w:r>
              <w:rPr>
                <w:rFonts w:ascii="Arial" w:cs="Arial" w:eastAsia="Arial" w:hAnsi="Arial"/>
                <w:sz w:val="18"/>
                <w:szCs w:val="18"/>
                <w:b w:val="1"/>
                <w:bCs w:val="1"/>
                <w:color w:val="auto"/>
                <w:w w:val="88"/>
              </w:rPr>
              <w:t>Condensed Consolidated Statements of Income</w:t>
            </w:r>
          </w:p>
        </w:tc>
        <w:tc>
          <w:tcPr>
            <w:tcW w:w="900" w:type="dxa"/>
            <w:vAlign w:val="bottom"/>
          </w:tcPr>
          <w:p>
            <w:pPr>
              <w:spacing w:after="0"/>
              <w:rPr>
                <w:sz w:val="18"/>
                <w:szCs w:val="18"/>
                <w:color w:val="auto"/>
              </w:rPr>
            </w:pPr>
          </w:p>
        </w:tc>
      </w:tr>
      <w:tr>
        <w:trPr>
          <w:trHeight w:val="216"/>
        </w:trPr>
        <w:tc>
          <w:tcPr>
            <w:tcW w:w="7540" w:type="dxa"/>
            <w:vAlign w:val="bottom"/>
            <w:gridSpan w:val="6"/>
          </w:tcPr>
          <w:p>
            <w:pPr>
              <w:jc w:val="center"/>
              <w:ind w:left="3790"/>
              <w:spacing w:after="0"/>
              <w:rPr>
                <w:sz w:val="20"/>
                <w:szCs w:val="20"/>
                <w:color w:val="auto"/>
              </w:rPr>
            </w:pPr>
            <w:r>
              <w:rPr>
                <w:rFonts w:ascii="Arial" w:cs="Arial" w:eastAsia="Arial" w:hAnsi="Arial"/>
                <w:sz w:val="18"/>
                <w:szCs w:val="18"/>
                <w:b w:val="1"/>
                <w:bCs w:val="1"/>
                <w:color w:val="auto"/>
                <w:w w:val="88"/>
              </w:rPr>
              <w:t>(in thousands, except per share data)</w:t>
            </w:r>
          </w:p>
        </w:tc>
        <w:tc>
          <w:tcPr>
            <w:tcW w:w="900" w:type="dxa"/>
            <w:vAlign w:val="bottom"/>
          </w:tcPr>
          <w:p>
            <w:pPr>
              <w:spacing w:after="0"/>
              <w:rPr>
                <w:sz w:val="18"/>
                <w:szCs w:val="18"/>
                <w:color w:val="auto"/>
              </w:rPr>
            </w:pPr>
          </w:p>
        </w:tc>
      </w:tr>
      <w:tr>
        <w:trPr>
          <w:trHeight w:val="234"/>
        </w:trPr>
        <w:tc>
          <w:tcPr>
            <w:tcW w:w="4800" w:type="dxa"/>
            <w:vAlign w:val="bottom"/>
          </w:tcPr>
          <w:p>
            <w:pPr>
              <w:spacing w:after="0"/>
              <w:rPr>
                <w:sz w:val="20"/>
                <w:szCs w:val="20"/>
                <w:color w:val="auto"/>
              </w:rPr>
            </w:pPr>
          </w:p>
        </w:tc>
        <w:tc>
          <w:tcPr>
            <w:tcW w:w="218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1"/>
              </w:rPr>
              <w:t>(unaudited)</w:t>
            </w: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764"/>
        </w:trPr>
        <w:tc>
          <w:tcPr>
            <w:tcW w:w="4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right"/>
              <w:ind w:right="43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480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w w:val="96"/>
              </w:rPr>
              <w:t>2016</w:t>
            </w:r>
          </w:p>
        </w:tc>
      </w:tr>
      <w:tr>
        <w:trPr>
          <w:trHeight w:val="283"/>
        </w:trPr>
        <w:tc>
          <w:tcPr>
            <w:tcW w:w="48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Rental income</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165,161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100,215</w:t>
            </w: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Income from direct financing lease</w:t>
            </w: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17,824</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 estate taxes paid by tenants</w:t>
            </w:r>
          </w:p>
        </w:tc>
        <w:tc>
          <w:tcPr>
            <w:tcW w:w="6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21,720</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11,827</w:t>
            </w: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Total rental revenue and income from direct financing lease</w:t>
            </w:r>
          </w:p>
        </w:tc>
        <w:tc>
          <w:tcPr>
            <w:tcW w:w="6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204,705</w:t>
            </w: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112,042</w:t>
            </w:r>
          </w:p>
        </w:tc>
      </w:tr>
      <w:tr>
        <w:trPr>
          <w:trHeight w:val="27"/>
        </w:trPr>
        <w:tc>
          <w:tcPr>
            <w:tcW w:w="4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Gaming, food, beverage and other</w:t>
            </w:r>
          </w:p>
        </w:tc>
        <w:tc>
          <w:tcPr>
            <w:tcW w:w="6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39,260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38,159</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243,965</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150,201</w:t>
            </w:r>
          </w:p>
        </w:tc>
      </w:tr>
      <w:tr>
        <w:trPr>
          <w:trHeight w:val="27"/>
        </w:trPr>
        <w:tc>
          <w:tcPr>
            <w:tcW w:w="4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promotional allowances</w:t>
            </w:r>
          </w:p>
        </w:tc>
        <w:tc>
          <w:tcPr>
            <w:tcW w:w="6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(1,381)</w:t>
            </w: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6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242,713</w:t>
            </w: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148,820</w:t>
            </w:r>
          </w:p>
        </w:tc>
      </w:tr>
      <w:tr>
        <w:trPr>
          <w:trHeight w:val="27"/>
        </w:trPr>
        <w:tc>
          <w:tcPr>
            <w:tcW w:w="48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77"/>
        </w:trPr>
        <w:tc>
          <w:tcPr>
            <w:tcW w:w="48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Gaming, food, beverage and other</w:t>
            </w:r>
          </w:p>
        </w:tc>
        <w:tc>
          <w:tcPr>
            <w:tcW w:w="6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21,076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20,987</w:t>
            </w: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Real estate taxes</w:t>
            </w: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22,143</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12,207</w:t>
            </w:r>
          </w:p>
        </w:tc>
      </w:tr>
      <w:tr>
        <w:trPr>
          <w:trHeight w:val="27"/>
        </w:trPr>
        <w:tc>
          <w:tcPr>
            <w:tcW w:w="4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6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21,231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20,906</w:t>
            </w: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28,257</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27,083</w:t>
            </w:r>
          </w:p>
        </w:tc>
      </w:tr>
      <w:tr>
        <w:trPr>
          <w:trHeight w:val="27"/>
        </w:trPr>
        <w:tc>
          <w:tcPr>
            <w:tcW w:w="48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6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92,707</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81,183</w:t>
            </w: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6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150,006</w:t>
            </w: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67,637</w:t>
            </w:r>
          </w:p>
        </w:tc>
      </w:tr>
      <w:tr>
        <w:trPr>
          <w:trHeight w:val="27"/>
        </w:trPr>
        <w:tc>
          <w:tcPr>
            <w:tcW w:w="48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77"/>
        </w:trPr>
        <w:tc>
          <w:tcPr>
            <w:tcW w:w="48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(expenses)</w:t>
            </w: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6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(53,949)</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(33,401)</w:t>
            </w: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517</w:t>
            </w:r>
          </w:p>
        </w:tc>
      </w:tr>
      <w:tr>
        <w:trPr>
          <w:trHeight w:val="27"/>
        </w:trPr>
        <w:tc>
          <w:tcPr>
            <w:tcW w:w="48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expenses</w:t>
            </w:r>
          </w:p>
        </w:tc>
        <w:tc>
          <w:tcPr>
            <w:tcW w:w="6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(53,485)</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(32,884)</w:t>
            </w:r>
          </w:p>
        </w:tc>
      </w:tr>
      <w:tr>
        <w:trPr>
          <w:trHeight w:val="291"/>
        </w:trPr>
        <w:tc>
          <w:tcPr>
            <w:tcW w:w="4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6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96,521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34,753</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2,530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2,004</w:t>
            </w:r>
          </w:p>
        </w:tc>
      </w:tr>
      <w:tr>
        <w:trPr>
          <w:trHeight w:val="27"/>
        </w:trPr>
        <w:tc>
          <w:tcPr>
            <w:tcW w:w="48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48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93,991</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32,749</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4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common share:</w:t>
            </w:r>
          </w:p>
        </w:tc>
        <w:tc>
          <w:tcPr>
            <w:tcW w:w="6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0.28</w:t>
            </w:r>
          </w:p>
        </w:tc>
      </w:tr>
      <w:tr>
        <w:trPr>
          <w:trHeight w:val="27"/>
        </w:trPr>
        <w:tc>
          <w:tcPr>
            <w:tcW w:w="4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0.27</w:t>
            </w:r>
          </w:p>
        </w:tc>
      </w:tr>
      <w:tr>
        <w:trPr>
          <w:trHeight w:val="297"/>
        </w:trPr>
        <w:tc>
          <w:tcPr>
            <w:tcW w:w="4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43"/>
        </w:trPr>
        <w:tc>
          <w:tcPr>
            <w:tcW w:w="4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Dividends paid per common share</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r>
      <w:tr>
        <w:trPr>
          <w:trHeight w:val="27"/>
        </w:trPr>
        <w:tc>
          <w:tcPr>
            <w:tcW w:w="48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right"/>
        <w:ind w:right="1739"/>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19"/>
          </w:cols>
          <w:pgMar w:left="240" w:top="130" w:right="1440"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Retained</w:t>
            </w:r>
          </w:p>
        </w:tc>
        <w:tc>
          <w:tcPr>
            <w:tcW w:w="180" w:type="dxa"/>
            <w:vAlign w:val="bottom"/>
          </w:tcPr>
          <w:p>
            <w:pPr>
              <w:spacing w:after="0"/>
              <w:rPr>
                <w:sz w:val="14"/>
                <w:szCs w:val="14"/>
                <w:color w:val="auto"/>
              </w:rPr>
            </w:pPr>
          </w:p>
        </w:tc>
        <w:tc>
          <w:tcPr>
            <w:tcW w:w="1180" w:type="dxa"/>
            <w:vAlign w:val="bottom"/>
          </w:tcPr>
          <w:p>
            <w:pPr>
              <w:jc w:val="center"/>
              <w:ind w:right="9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4120" w:type="dxa"/>
            <w:vAlign w:val="bottom"/>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gridSpan w:val="2"/>
            <w:vMerge w:val="restart"/>
          </w:tcPr>
          <w:p>
            <w:pPr>
              <w:jc w:val="center"/>
              <w:ind w:right="340"/>
              <w:spacing w:after="0" w:line="139" w:lineRule="exact"/>
              <w:rPr>
                <w:sz w:val="20"/>
                <w:szCs w:val="20"/>
                <w:color w:val="auto"/>
              </w:rPr>
            </w:pPr>
            <w:r>
              <w:rPr>
                <w:rFonts w:ascii="Arial" w:cs="Arial" w:eastAsia="Arial" w:hAnsi="Arial"/>
                <w:sz w:val="14"/>
                <w:szCs w:val="14"/>
                <w:b w:val="1"/>
                <w:bCs w:val="1"/>
                <w:color w:val="auto"/>
                <w:w w:val="98"/>
              </w:rPr>
              <w:t>Paid-In</w:t>
            </w:r>
          </w:p>
        </w:tc>
        <w:tc>
          <w:tcPr>
            <w:tcW w:w="200" w:type="dxa"/>
            <w:vAlign w:val="bottom"/>
          </w:tcPr>
          <w:p>
            <w:pPr>
              <w:spacing w:after="0"/>
              <w:rPr>
                <w:sz w:val="4"/>
                <w:szCs w:val="4"/>
                <w:color w:val="auto"/>
              </w:rPr>
            </w:pPr>
          </w:p>
        </w:tc>
        <w:tc>
          <w:tcPr>
            <w:tcW w:w="128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4"/>
                <w:szCs w:val="4"/>
                <w:color w:val="auto"/>
              </w:rPr>
            </w:pPr>
          </w:p>
        </w:tc>
        <w:tc>
          <w:tcPr>
            <w:tcW w:w="1180" w:type="dxa"/>
            <w:vAlign w:val="bottom"/>
            <w:vMerge w:val="restart"/>
          </w:tcPr>
          <w:p>
            <w:pPr>
              <w:jc w:val="center"/>
              <w:ind w:right="115"/>
              <w:spacing w:after="0" w:line="13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65"/>
        </w:trPr>
        <w:tc>
          <w:tcPr>
            <w:tcW w:w="4120" w:type="dxa"/>
            <w:vAlign w:val="bottom"/>
          </w:tcPr>
          <w:p>
            <w:pPr>
              <w:spacing w:after="0"/>
              <w:rPr>
                <w:sz w:val="5"/>
                <w:szCs w:val="5"/>
                <w:color w:val="auto"/>
              </w:rPr>
            </w:pPr>
          </w:p>
        </w:tc>
        <w:tc>
          <w:tcPr>
            <w:tcW w:w="150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Shares</w:t>
            </w:r>
          </w:p>
        </w:tc>
        <w:tc>
          <w:tcPr>
            <w:tcW w:w="440" w:type="dxa"/>
            <w:vAlign w:val="bottom"/>
          </w:tcPr>
          <w:p>
            <w:pPr>
              <w:spacing w:after="0"/>
              <w:rPr>
                <w:sz w:val="5"/>
                <w:szCs w:val="5"/>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Deficit</w:t>
            </w:r>
          </w:p>
        </w:tc>
        <w:tc>
          <w:tcPr>
            <w:tcW w:w="180" w:type="dxa"/>
            <w:vAlign w:val="bottom"/>
          </w:tcPr>
          <w:p>
            <w:pPr>
              <w:spacing w:after="0"/>
              <w:rPr>
                <w:sz w:val="16"/>
                <w:szCs w:val="16"/>
                <w:color w:val="auto"/>
              </w:rPr>
            </w:pPr>
          </w:p>
        </w:tc>
        <w:tc>
          <w:tcPr>
            <w:tcW w:w="1180" w:type="dxa"/>
            <w:vAlign w:val="bottom"/>
          </w:tcPr>
          <w:p>
            <w:pPr>
              <w:jc w:val="center"/>
              <w:ind w:right="115"/>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2016</w:t>
            </w:r>
          </w:p>
        </w:tc>
        <w:tc>
          <w:tcPr>
            <w:tcW w:w="13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207,676,827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3,760,729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(1,328,937)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2,433,869</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Issuance of common stock</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Stock option activity</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333,293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6,700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6,703</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Restricted stock activity</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127,238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2,178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2,179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Dividends paid</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(129,301)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(129,301)</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93,991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93,991</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March 31, 2017</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208,137,358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2,081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3,769,502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(1,364,247)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2,407,336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30"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gridSpan w:val="2"/>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36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83"/>
        </w:trPr>
        <w:tc>
          <w:tcPr>
            <w:tcW w:w="82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93,991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32,749</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27,083</w:t>
            </w: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Amortization of debt issuance costs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5,582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Losses (gains) on dispositions of property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4,572</w:t>
            </w: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Straight-line rent adjustments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16,245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13,956</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(Increase), decrease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60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3,848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Increase, (decrease)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60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Accrued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w:t>
            </w:r>
          </w:p>
        </w:tc>
      </w:tr>
      <w:tr>
        <w:trPr>
          <w:trHeight w:val="243"/>
        </w:trPr>
        <w:tc>
          <w:tcPr>
            <w:tcW w:w="8360" w:type="dxa"/>
            <w:vAlign w:val="bottom"/>
            <w:gridSpan w:val="2"/>
          </w:tcPr>
          <w:p>
            <w:pPr>
              <w:ind w:left="600"/>
              <w:spacing w:after="0"/>
              <w:rPr>
                <w:sz w:val="20"/>
                <w:szCs w:val="20"/>
                <w:color w:val="auto"/>
              </w:rPr>
            </w:pPr>
            <w:r>
              <w:rPr>
                <w:rFonts w:ascii="Arial" w:cs="Arial" w:eastAsia="Arial" w:hAnsi="Arial"/>
                <w:sz w:val="18"/>
                <w:szCs w:val="18"/>
                <w:color w:val="auto"/>
              </w:rPr>
              <w:t>Accrued interest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41,928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25,225</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Accrued salaries and wages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(8,623)</w:t>
            </w:r>
          </w:p>
        </w:tc>
      </w:tr>
      <w:tr>
        <w:trPr>
          <w:trHeight w:val="243"/>
        </w:trPr>
        <w:tc>
          <w:tcPr>
            <w:tcW w:w="8360" w:type="dxa"/>
            <w:vAlign w:val="bottom"/>
            <w:gridSpan w:val="2"/>
          </w:tcPr>
          <w:p>
            <w:pPr>
              <w:ind w:left="600"/>
              <w:spacing w:after="0"/>
              <w:rPr>
                <w:sz w:val="20"/>
                <w:szCs w:val="20"/>
                <w:color w:val="auto"/>
              </w:rPr>
            </w:pPr>
            <w:r>
              <w:rPr>
                <w:rFonts w:ascii="Arial" w:cs="Arial" w:eastAsia="Arial" w:hAnsi="Arial"/>
                <w:sz w:val="18"/>
                <w:szCs w:val="18"/>
                <w:color w:val="auto"/>
              </w:rPr>
              <w:t>Gaming, property and other taxes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gridSpan w:val="2"/>
          </w:tcPr>
          <w:p>
            <w:pPr>
              <w:ind w:left="600"/>
              <w:spacing w:after="0"/>
              <w:rPr>
                <w:sz w:val="20"/>
                <w:szCs w:val="20"/>
                <w:color w:val="auto"/>
              </w:rPr>
            </w:pPr>
            <w:r>
              <w:rPr>
                <w:rFonts w:ascii="Arial" w:cs="Arial" w:eastAsia="Arial" w:hAnsi="Arial"/>
                <w:sz w:val="18"/>
                <w:szCs w:val="18"/>
                <w:color w:val="auto"/>
              </w:rPr>
              <w:t>Other liabilities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703</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184,689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103,858</w:t>
            </w:r>
          </w:p>
        </w:tc>
      </w:tr>
      <w:tr>
        <w:trPr>
          <w:trHeight w:val="223"/>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Capital project expenditures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Capital maintenance expenditures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sale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Principal payments on loan receivable</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13,200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1,537</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Deposit for pending acquisition of real estate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Collections of principal payments on investment in direct financing lease</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17,613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22,093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1,143</w:t>
            </w:r>
          </w:p>
        </w:tc>
      </w:tr>
      <w:tr>
        <w:trPr>
          <w:trHeight w:val="223"/>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Dividends paid</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(129,301)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(65,670)</w:t>
            </w:r>
          </w:p>
        </w:tc>
      </w:tr>
      <w:tr>
        <w:trPr>
          <w:trHeight w:val="229"/>
        </w:trPr>
        <w:tc>
          <w:tcPr>
            <w:tcW w:w="8360" w:type="dxa"/>
            <w:vAlign w:val="bottom"/>
            <w:gridSpan w:val="2"/>
          </w:tcPr>
          <w:p>
            <w:pPr>
              <w:ind w:left="180"/>
              <w:spacing w:after="0"/>
              <w:rPr>
                <w:sz w:val="20"/>
                <w:szCs w:val="20"/>
                <w:color w:val="auto"/>
              </w:rPr>
            </w:pPr>
            <w:r>
              <w:rPr>
                <w:rFonts w:ascii="Arial" w:cs="Arial" w:eastAsia="Arial" w:hAnsi="Arial"/>
                <w:sz w:val="18"/>
                <w:szCs w:val="18"/>
                <w:color w:val="auto"/>
                <w:w w:val="94"/>
              </w:rPr>
              <w:t>Proceeds from exercise of options, net of taxes paid related to shares withheld for tax purposes on restricted</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360" w:type="dxa"/>
            <w:vAlign w:val="bottom"/>
            <w:gridSpan w:val="2"/>
          </w:tcPr>
          <w:p>
            <w:pPr>
              <w:ind w:left="340"/>
              <w:spacing w:after="0"/>
              <w:rPr>
                <w:sz w:val="20"/>
                <w:szCs w:val="20"/>
                <w:color w:val="auto"/>
              </w:rPr>
            </w:pPr>
            <w:r>
              <w:rPr>
                <w:rFonts w:ascii="Arial" w:cs="Arial" w:eastAsia="Arial" w:hAnsi="Arial"/>
                <w:sz w:val="18"/>
                <w:szCs w:val="18"/>
                <w:color w:val="auto"/>
              </w:rPr>
              <w:t>stock award vestings</w:t>
            </w: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4,456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23,089</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Costs related to continuous equity offering</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Financing costs</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(709)</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Repayments of long-term debt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(95,027)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(42,025)</w:t>
            </w: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(219,977)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(85,315)</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19,686</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36,556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41,875</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23,361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61,561</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30" w:right="239" w:bottom="1440" w:gutter="0" w:footer="0" w:header="0"/>
          <w:type w:val="continuous"/>
        </w:sectPr>
      </w:pPr>
    </w:p>
    <w:bookmarkStart w:id="8" w:name="page9"/>
    <w:bookmarkEnd w:id="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Gaming and Leisure Properties,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and Operations</w:t>
      </w:r>
    </w:p>
    <w:p>
      <w:pPr>
        <w:spacing w:after="0" w:line="270"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Gaming and Leisure Properties, Inc. ("GLPI") is a self-administered and self-managed Pennsylvania real estate investment trust ("REIT"). GLPI (together with its subsidiaries, the "Company") was incorporated on February 13, 2013, as a wholly-owned subsidiary of Penn National Gaming, Inc. ("Penn"). On November 1, 2013, Penn contributed to GLPI,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which are referred to as the "TRS Properties," and then spun-off GLPI to holders of Penn's common and preferred stock in a tax-free distribution (the "Spin-Off"). The Company elected on its United States ("U.S.") federal income tax return for its taxable year beginning on January 1, 2014 to be treated as a REIT and the Company, together with its indirect wholly-owned subsidiary of the Company, GLP Holdings, Inc., jointly elected to treat each of GLP Holdings, Inc., Louisiana Casino Cruises, Inc. (d/b/a Hollywood Casino Baton Rouge) and Penn Cecil Maryland, Inc. (d/b/a Hollywood Casino Perryville) as a "taxable REIT subsidiary" ("TRS") effective on the first day of the first taxable year of GLPI as a REIT.</w:t>
      </w:r>
    </w:p>
    <w:p>
      <w:pPr>
        <w:spacing w:after="0" w:line="16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As a result of the Spin-Off, GLPI owns substantially all of Penn’s former real property assets and leases back most of those assets to Penn for use by its subsidiaries, under a master lease, a triple-net operating lease with an initial term of 15 years (expiring October 31, 2028) with no purchase option, followed by four 5-year renewal options (exercisable by Penn) on the same terms and conditions (the "Penn Master Lease"), and GLPI also owns and operates the TRS Properties through an indirect wholly-owned subsidiary, GLP Holdings, Inc. In April 2016, the Company acquired substantially all of the real estate assets of Pinnacle Entertainment, Inc. ("Pinnacle") for approximately $4.8 billion. GLPI leases these assets back to Pinnacle, under a triple-net lease with an initial term of 10 years (expiring April 30, 2026) with no purchase option, followed by five 5-year renewal options (exercisable by Pinnacle) on the same terms and conditions (the "Pinnacle Master Lease" and together with the Penn Master Lease, the "Master Leases").</w:t>
      </w:r>
    </w:p>
    <w:p>
      <w:pPr>
        <w:spacing w:after="0" w:line="16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GLPI’s primary business consists of acquiring, financing, and owning real estate property to be leased to gaming operators in triple-net lease arrangements. As of March 31, 2017, GLPI’s portfolio consisted of 36 gaming and related facilities, including the TRS Properties, the real property associated with 18 gaming and related facilities operated by Penn, the real property associated with 15 gaming and related facilities operated by Pinnacle and the real property associated with the Casino Queen in East St. Louis, Illinois. These facilities are geographically diversified across 14 states and were 100% occupied at March 31, 2017.</w:t>
      </w:r>
    </w:p>
    <w:p>
      <w:pPr>
        <w:spacing w:after="0" w:line="18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GLPI expects to grow its portfolio by pursuing opportunities to acquire additional gaming facilities to lease to gaming operators under prudent terms. For example, on March 27, 2017 the Company entered into an agreement to purchase the real property assets of Bally's Casino Tunica and Resorts Casino Tunica (the "Tunica properties") for $82.6 million. Penn purchased the operating assets of the Tunica properties directly from the seller, operates both properties and leases the real property assets from the Company under the Penn Master Lease. The initial annual rent of $9.0 million for the Tunica properties will be subject to rent escalators and adjustments consistent with the other properties under the Penn Master Lease. The transaction closed on May 1, 2017.</w:t>
      </w:r>
    </w:p>
    <w:p>
      <w:pPr>
        <w:spacing w:after="0" w:line="154"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70"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The accompanying unaudited condensed consolidated financial statements of the Company have been prepared in accordance with U.S. generally accepted accounting principles ("GAAP") for interim financial information and with the instructions for Form 10-Q and Article 10 of Regulation S-X. Accordingly, they do not include all of the information and footnotes required by GAAP for complete consolidated financial statements. In the opinion of management, all normal recurring adjustments considered necessary for a fair presentation have been included.</w:t>
      </w:r>
    </w:p>
    <w:p>
      <w:pPr>
        <w:spacing w:after="0" w:line="171"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In order to conform to the current presentation of the statement of income, the Company combined certain line items on the condensed consolidated statement of income for the three months ended March 31, 2016. Specifically, the Company aggregated the former revenue line items gaming revenue and food, beverage and other revenue into the line item gaming, food, beverage and other revenues and aggregated the former expense line items gaming expenses and food, beverage and other expenses into the line item gaming, food, beverage and other expenses. These reclassifications were made only for presentation purposes and had no impact on the Company's financial results for the three months ended March 31, 2016.</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30" w:right="2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condensed consolidated financial statements include the accounts of GLPI and its subsidiaries. All intercompany accounts and transactions have been eliminated in consolidation.</w:t>
      </w:r>
    </w:p>
    <w:p>
      <w:pPr>
        <w:spacing w:after="0" w:line="170"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for the reporting periods. Actual results could differ from those estimates.</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Operating results for the three months ended March 31, 2017 are not necessarily indicative of the results that may be expected for the year ending December 31, 2017. The notes to the consolidated financial statements contained in our Annual Report on Form 10-K for the year ended December 31, 2016 (our "Annual Report") should be read in conjunction with these condensed consolidated financial statements. The December 31, 2016 financial information has been derived from the Company’s audited consolidated financial statements.</w:t>
      </w:r>
    </w:p>
    <w:p>
      <w:pPr>
        <w:spacing w:after="0" w:line="18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New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 xml:space="preserve">In March 2016, the Financial Accounting Standards Board ("FASB") issued Accounting Standards Update ("ASU") No. 2016-09, </w:t>
      </w:r>
      <w:r>
        <w:rPr>
          <w:rFonts w:ascii="Arial" w:cs="Arial" w:eastAsia="Arial" w:hAnsi="Arial"/>
          <w:sz w:val="16"/>
          <w:szCs w:val="16"/>
          <w:i w:val="1"/>
          <w:iCs w:val="1"/>
          <w:color w:val="auto"/>
        </w:rPr>
        <w:t>Compensation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Stock Compensation (Topic 718): Improvements to Employee Share-Based Payment Accounting </w:t>
      </w:r>
      <w:r>
        <w:rPr>
          <w:rFonts w:ascii="Arial" w:cs="Arial" w:eastAsia="Arial" w:hAnsi="Arial"/>
          <w:sz w:val="16"/>
          <w:szCs w:val="16"/>
          <w:color w:val="auto"/>
        </w:rPr>
        <w:t>("ASU 2016-09"). This ASU amends certain aspects of</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for share-based payments to employees, including (i) requiring all income tax effects of share-based awards to be recognized in the income statement when the award vests or settles and eliminating APIC pools, (ii) permitting employers to withhold the share equivalent of an employee's maximum tax liability without triggering liability accounting and (iii) allowing companies to make a policy election to account for forfeitures as they occur. The Company adopted ASU 2016-09 on January 1, 2017 and it did not have a significant impact on how the Company accounts for share-based payments.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 xml:space="preserve">In January 2017, the FASB issued ASU No. 2017-04, </w:t>
      </w:r>
      <w:r>
        <w:rPr>
          <w:rFonts w:ascii="Arial" w:cs="Arial" w:eastAsia="Arial" w:hAnsi="Arial"/>
          <w:sz w:val="16"/>
          <w:szCs w:val="16"/>
          <w:i w:val="1"/>
          <w:iCs w:val="1"/>
          <w:color w:val="auto"/>
        </w:rPr>
        <w:t>Intangibles - Goodwill and Other (Topic 350): Simplifying the Test for Goodwill Impairment</w:t>
      </w:r>
      <w:r>
        <w:rPr>
          <w:rFonts w:ascii="Arial" w:cs="Arial" w:eastAsia="Arial" w:hAnsi="Arial"/>
          <w:sz w:val="16"/>
          <w:szCs w:val="16"/>
          <w:color w:val="auto"/>
        </w:rPr>
        <w:t>. This ASU simplifies an entity's goodwill impairment test by eliminating Step 2 from the test. The new guidance also amends the definition of impairment to a condition that exists when the carrying amount of goodwill exceeds its fair value. By eliminating Step 2 from the test, entities are no longer required to determine the implied fair value of goodwill by computing the fair value (at impairment testing date) of all assets and liabilities in a manner similar to that required in conjunction with business combinations. Upon the adoption of ASU 2017-04, an impairment charge is simply recorded as the difference between carrying value and fair value, when carrying value exceeds fair value. ASU 2017-04 is effective for annual reporting period beginning after December 15, 2019 and early adoption is permitted. The Company does not expect the adoption of ASU 2017-04 to significantly impact its goodwill impairment testing.</w:t>
      </w:r>
    </w:p>
    <w:p>
      <w:pPr>
        <w:spacing w:after="0" w:line="167"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6"/>
          <w:szCs w:val="16"/>
          <w:color w:val="auto"/>
        </w:rPr>
        <w:t xml:space="preserve">In January 2017, the FASB issued ASU No. 2017-01, </w:t>
      </w:r>
      <w:r>
        <w:rPr>
          <w:rFonts w:ascii="Arial" w:cs="Arial" w:eastAsia="Arial" w:hAnsi="Arial"/>
          <w:sz w:val="16"/>
          <w:szCs w:val="16"/>
          <w:i w:val="1"/>
          <w:iCs w:val="1"/>
          <w:color w:val="auto"/>
        </w:rPr>
        <w:t>Business Combinations (Topic 805): Clarifying the Definition of a Business</w:t>
      </w:r>
      <w:r>
        <w:rPr>
          <w:rFonts w:ascii="Arial" w:cs="Arial" w:eastAsia="Arial" w:hAnsi="Arial"/>
          <w:sz w:val="16"/>
          <w:szCs w:val="16"/>
          <w:color w:val="auto"/>
        </w:rPr>
        <w:t xml:space="preserve"> ("ASU 2017-01"). This ASU provides clarifying guidance on what constitutes a business acquisition versus an asset acquisition. Specifically, the new guidance lays out a screen to more easily determine if a set of integrated assets and activities does in fact represent a business. Under the ASU 2017-01, when substantially all of the fair value of the gross assets acquired is concentrated in a single identifiable asset or group of similar identifiable assets, the assets do not represent a business.</w:t>
      </w:r>
    </w:p>
    <w:p>
      <w:pPr>
        <w:spacing w:after="0" w:line="2" w:lineRule="exact"/>
        <w:rPr>
          <w:sz w:val="20"/>
          <w:szCs w:val="20"/>
          <w:color w:val="auto"/>
        </w:rPr>
      </w:pPr>
    </w:p>
    <w:p>
      <w:pPr>
        <w:ind w:right="540"/>
        <w:spacing w:after="0" w:line="290" w:lineRule="auto"/>
        <w:rPr>
          <w:sz w:val="20"/>
          <w:szCs w:val="20"/>
          <w:color w:val="auto"/>
        </w:rPr>
      </w:pPr>
      <w:r>
        <w:rPr>
          <w:rFonts w:ascii="Arial" w:cs="Arial" w:eastAsia="Arial" w:hAnsi="Arial"/>
          <w:sz w:val="17"/>
          <w:szCs w:val="17"/>
          <w:color w:val="auto"/>
        </w:rPr>
        <w:t>ASU 2017-01 is effective for annual reporting periods beginning after December 15, 2017. As a REIT, GLPI generally acquires only real estate assets; therefore it does not expect this clarifying language to have an impact on the Company's accounting treatment of its acquisitions.</w:t>
      </w:r>
    </w:p>
    <w:p>
      <w:pPr>
        <w:spacing w:after="0" w:line="16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 Classification of Certain Cash Receipts and Cash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Payments, a Consensus of the FASB Emerging Issues Task Force </w:t>
      </w:r>
      <w:r>
        <w:rPr>
          <w:rFonts w:ascii="Arial" w:cs="Arial" w:eastAsia="Arial" w:hAnsi="Arial"/>
          <w:sz w:val="18"/>
          <w:szCs w:val="18"/>
          <w:color w:val="auto"/>
        </w:rPr>
        <w:t>("ASU 2016-15")</w:t>
      </w:r>
      <w:r>
        <w:rPr>
          <w:rFonts w:ascii="Arial" w:cs="Arial" w:eastAsia="Arial" w:hAnsi="Arial"/>
          <w:sz w:val="18"/>
          <w:szCs w:val="18"/>
          <w:i w:val="1"/>
          <w:iCs w:val="1"/>
          <w:color w:val="auto"/>
        </w:rPr>
        <w:t xml:space="preserve">. </w:t>
      </w:r>
      <w:r>
        <w:rPr>
          <w:rFonts w:ascii="Arial" w:cs="Arial" w:eastAsia="Arial" w:hAnsi="Arial"/>
          <w:sz w:val="18"/>
          <w:szCs w:val="18"/>
          <w:color w:val="auto"/>
        </w:rPr>
        <w:t>This ASU provides clarifying guidance on the presentation of certain cash</w:t>
      </w:r>
      <w:r>
        <w:rPr>
          <w:rFonts w:ascii="Arial" w:cs="Arial" w:eastAsia="Arial" w:hAnsi="Arial"/>
          <w:sz w:val="18"/>
          <w:szCs w:val="18"/>
          <w:i w:val="1"/>
          <w:iCs w:val="1"/>
          <w:color w:val="auto"/>
        </w:rPr>
        <w:t xml:space="preserve"> </w:t>
      </w:r>
      <w:r>
        <w:rPr>
          <w:rFonts w:ascii="Arial" w:cs="Arial" w:eastAsia="Arial" w:hAnsi="Arial"/>
          <w:sz w:val="18"/>
          <w:szCs w:val="18"/>
          <w:color w:val="auto"/>
        </w:rPr>
        <w:t>receipts and cash payments in the statement of cash flows. ASU 2016-15 is effective for annual reporting periods beginning after December 15, 2017, with early adoption permitted. The Company does not expect the adoption of ASU 2016-15 to impact its presentation of cash receipts and payments on its consolidated statements of cash flows.</w:t>
      </w:r>
    </w:p>
    <w:p>
      <w:pPr>
        <w:spacing w:after="0" w:line="18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 </w:t>
      </w:r>
      <w:r>
        <w:rPr>
          <w:rFonts w:ascii="Arial" w:cs="Arial" w:eastAsia="Arial" w:hAnsi="Arial"/>
          <w:sz w:val="18"/>
          <w:szCs w:val="18"/>
          <w:color w:val="auto"/>
        </w:rPr>
        <w:t>("ASU 2016-13"). This ASU introduces a new model for estimating credit losses for certain types of financial instruments, including loans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and net investments in direct financing leases, amongst other financial instruments. ASU 2016-13 sets forth an "expected credit loss" impairment model to replace the current "incurred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30" w:right="25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loss" method of recognizing credit losses, which is intended to improve financial reporting by requiring timely recording of credit losses on loans and other financial instruments. ASU 2016-13 is effective for fiscal years beginning after December 15, 2019, with early adoption permitted for fiscal years beginning after December 15, 2018. The Company does not expect the adoption of ASU 2016-13 to have a significant impact on its consolidated financial statements.</w:t>
      </w:r>
    </w:p>
    <w:p>
      <w:pPr>
        <w:spacing w:after="0" w:line="14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2016-02"). This ASU primarily provides new guidance for lessees on the accounting treatment of operating leases. Under the new guidance, lessees are required to recognize assets and liabilities arising from operating leases on the balance sheet. ASU 2016-02 also aligns lessor accounting with the revenue recognition guidance in Topic 606 of the Accounting Standards Codification. ASU 2016-02 is effective for annual reporting periods beginning after December 15, 2018 and is required to be adopted on a modified retrospective basis, meaning the new leasing model will be applied to the earliest year presented in the financial statements and thereafter. The Company is evaluating the impact of adopting this new accounting standard on its financial statements but does not expect the adoption of the new guidance to have a significant impact on the accounting treatment of its triple-net tenant leases, which are the primary source of revenue to the Company. Generally speaking, ASU 2016-02 will more significantly impact the accounting for leases in which GLPI is the lessee by requiring the Company to record a right of use asset and lease liability on its books for these leases at adoption.</w:t>
      </w:r>
    </w:p>
    <w:p>
      <w:pPr>
        <w:spacing w:after="0" w:line="18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("ASU 2014-09"). This new standard will replace all current U.S. GAAP guidance on this topic and eliminate all industry-specific guidance. ASU 2014-09 provides a unified model to determine when and how revenue is recognized. The core principle is that a company should recognize revenue to depict the transfer of promised goods or services to customers in an amount that reflects the consideration for which the entity expects to be entitled in exchange for those goods or services. At the April 1, 2015 FASB meeting, the board voted to defer the effective date for the new revenue recognition standard to annual reporting periods beginning after December 15, 2017. The pronouncement was originally effective for annual reporting periods beginning after December 15, 2016, and companies are permitted to elect the adoption of the standard as of the original effective date. When adopted, the new guidance can be applied either retrospectively to each period presented or as a cumulative-effect adjustment as of the date of adoption. The Company is evaluating the impact of adopting this new accounting standard on its financial statements and internal revenue recognition policies. The Company does not believe the majority of its revenue recognition policies will be impacted by the new standard, as leases (the source of the Company's majority of revenues) are excluded from ASU 2014-09. Currently, the Company believes only the accounting treatment for the customer loyalty programs at the TRS properties will be impacted by the adoption of ASU 2014-09. Specifically, the recognition of revenue associated with these points based programs will be impacted by eliminating the current accrual for the cost of the points awarded at the time of play and instead deferring an increased value of the revenue received from the customer at the time of play and attributed to the awarded points until a later period when the points are redeemed or forfeited. In addition, the Company believes that upon the adoption of ASU 2014-09, promotional allowances representing the retail value of food, beverages and other services furnished to guests without charge will no longer be presented as a separate line item on the consolidated statements of income.</w:t>
      </w:r>
    </w:p>
    <w:p>
      <w:pPr>
        <w:spacing w:after="0" w:line="177"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following methods and assumptions are used to estimate the fair value of each class of financial instruments for which it is practicable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estimate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fair value of the Company’s cash and cash equivalents approximates the carrying value of the Company’s cash and cash equivalents, due to the short maturity of the cash equivalents.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Deferred Compensation Plan Assets</w:t>
      </w:r>
    </w:p>
    <w:p>
      <w:pPr>
        <w:spacing w:after="0" w:line="225" w:lineRule="exact"/>
        <w:rPr>
          <w:sz w:val="20"/>
          <w:szCs w:val="20"/>
          <w:color w:val="auto"/>
        </w:rPr>
      </w:pPr>
    </w:p>
    <w:p>
      <w:pPr>
        <w:ind w:right="400" w:firstLine="648"/>
        <w:spacing w:after="0" w:line="286" w:lineRule="auto"/>
        <w:rPr>
          <w:sz w:val="20"/>
          <w:szCs w:val="20"/>
          <w:color w:val="auto"/>
        </w:rPr>
      </w:pPr>
      <w:r>
        <w:rPr>
          <w:rFonts w:ascii="Arial" w:cs="Arial" w:eastAsia="Arial" w:hAnsi="Arial"/>
          <w:sz w:val="17"/>
          <w:szCs w:val="17"/>
          <w:color w:val="auto"/>
        </w:rPr>
        <w:t>The Company's deferred compensation plan assets consist of open-ended mutual funds and as such the fair value measurement of the assets is considered a Level 1 measurement as defined under Accounting Standards Code ("ASC") 820 "Fair Value Measurements and Disclosures" ("ASC 820"). Deferred compensation plan assets are included within other assets on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30"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Loan Receivable</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The fair value of the loan receivable approximates the carrying value of the Company's loan receivable, as collection on the outstanding loan balance is reasonably assured and the interest rate approximates market rates for a similar instrument. The fair value measurement of the loan receivable is considered a Level 3 measurement as defined under ASC 820.</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fair value of the senior unsecured notes and senior unsecured credit facility is estimated based on quoted prices in active markets and as such is a Level 1 measurement as defined under ASC 820.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estimated fair values of the Company’s financial instruments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120" w:type="dxa"/>
            <w:vAlign w:val="bottom"/>
            <w:tcBorders>
              <w:bottom w:val="single" w:sz="8" w:color="auto"/>
            </w:tcBorders>
            <w:gridSpan w:val="3"/>
          </w:tcPr>
          <w:p>
            <w:pPr>
              <w:ind w:left="1080"/>
              <w:spacing w:after="0"/>
              <w:rPr>
                <w:sz w:val="20"/>
                <w:szCs w:val="20"/>
                <w:color w:val="auto"/>
              </w:rPr>
            </w:pPr>
            <w:r>
              <w:rPr>
                <w:rFonts w:ascii="Arial" w:cs="Arial" w:eastAsia="Arial" w:hAnsi="Arial"/>
                <w:sz w:val="14"/>
                <w:szCs w:val="14"/>
                <w:b w:val="1"/>
                <w:bCs w:val="1"/>
                <w:color w:val="auto"/>
              </w:rPr>
              <w:t>March 31, 2017</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w w:val="91"/>
              </w:rPr>
              <w:t>December 31, 2016</w:t>
            </w:r>
          </w:p>
        </w:tc>
        <w:tc>
          <w:tcPr>
            <w:tcW w:w="920" w:type="dxa"/>
            <w:vAlign w:val="bottom"/>
            <w:tcBorders>
              <w:bottom w:val="single" w:sz="8" w:color="auto"/>
            </w:tcBorders>
          </w:tcPr>
          <w:p>
            <w:pPr>
              <w:spacing w:after="0"/>
              <w:rPr>
                <w:sz w:val="16"/>
                <w:szCs w:val="16"/>
                <w:color w:val="auto"/>
              </w:rPr>
            </w:pPr>
          </w:p>
        </w:tc>
      </w:tr>
      <w:tr>
        <w:trPr>
          <w:trHeight w:val="152"/>
        </w:trPr>
        <w:tc>
          <w:tcPr>
            <w:tcW w:w="5160" w:type="dxa"/>
            <w:vAlign w:val="bottom"/>
          </w:tcPr>
          <w:p>
            <w:pPr>
              <w:spacing w:after="0"/>
              <w:rPr>
                <w:sz w:val="13"/>
                <w:szCs w:val="13"/>
                <w:color w:val="auto"/>
              </w:rPr>
            </w:pPr>
          </w:p>
        </w:tc>
        <w:tc>
          <w:tcPr>
            <w:tcW w:w="2120" w:type="dxa"/>
            <w:vAlign w:val="bottom"/>
            <w:gridSpan w:val="3"/>
          </w:tcPr>
          <w:p>
            <w:pPr>
              <w:jc w:val="center"/>
              <w:ind w:right="640"/>
              <w:spacing w:after="0" w:line="153" w:lineRule="exact"/>
              <w:rPr>
                <w:sz w:val="20"/>
                <w:szCs w:val="20"/>
                <w:color w:val="auto"/>
              </w:rPr>
            </w:pPr>
            <w:r>
              <w:rPr>
                <w:rFonts w:ascii="Arial" w:cs="Arial" w:eastAsia="Arial" w:hAnsi="Arial"/>
                <w:sz w:val="14"/>
                <w:szCs w:val="14"/>
                <w:b w:val="1"/>
                <w:bCs w:val="1"/>
                <w:color w:val="auto"/>
                <w:w w:val="97"/>
              </w:rPr>
              <w:t>Carrying</w:t>
            </w:r>
          </w:p>
        </w:tc>
        <w:tc>
          <w:tcPr>
            <w:tcW w:w="1080" w:type="dxa"/>
            <w:vAlign w:val="bottom"/>
            <w:gridSpan w:val="2"/>
          </w:tcPr>
          <w:p>
            <w:pPr>
              <w:jc w:val="center"/>
              <w:ind w:right="620"/>
              <w:spacing w:after="0" w:line="153" w:lineRule="exact"/>
              <w:rPr>
                <w:sz w:val="20"/>
                <w:szCs w:val="20"/>
                <w:color w:val="auto"/>
              </w:rPr>
            </w:pPr>
            <w:r>
              <w:rPr>
                <w:rFonts w:ascii="Arial" w:cs="Arial" w:eastAsia="Arial" w:hAnsi="Arial"/>
                <w:sz w:val="14"/>
                <w:szCs w:val="14"/>
                <w:b w:val="1"/>
                <w:bCs w:val="1"/>
                <w:color w:val="auto"/>
              </w:rPr>
              <w:t>Fair</w:t>
            </w:r>
          </w:p>
        </w:tc>
        <w:tc>
          <w:tcPr>
            <w:tcW w:w="2140" w:type="dxa"/>
            <w:vAlign w:val="bottom"/>
            <w:gridSpan w:val="3"/>
          </w:tcPr>
          <w:p>
            <w:pPr>
              <w:jc w:val="center"/>
              <w:ind w:right="660"/>
              <w:spacing w:after="0" w:line="153" w:lineRule="exact"/>
              <w:rPr>
                <w:sz w:val="20"/>
                <w:szCs w:val="20"/>
                <w:color w:val="auto"/>
              </w:rPr>
            </w:pPr>
            <w:r>
              <w:rPr>
                <w:rFonts w:ascii="Arial" w:cs="Arial" w:eastAsia="Arial" w:hAnsi="Arial"/>
                <w:sz w:val="14"/>
                <w:szCs w:val="14"/>
                <w:b w:val="1"/>
                <w:bCs w:val="1"/>
                <w:color w:val="auto"/>
                <w:w w:val="97"/>
              </w:rPr>
              <w:t>Carrying</w:t>
            </w:r>
          </w:p>
        </w:tc>
        <w:tc>
          <w:tcPr>
            <w:tcW w:w="920" w:type="dxa"/>
            <w:vAlign w:val="bottom"/>
          </w:tcPr>
          <w:p>
            <w:pPr>
              <w:jc w:val="right"/>
              <w:ind w:right="515"/>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160" w:type="dxa"/>
            <w:vAlign w:val="bottom"/>
          </w:tcPr>
          <w:p>
            <w:pPr>
              <w:spacing w:after="0"/>
              <w:rPr>
                <w:sz w:val="16"/>
                <w:szCs w:val="16"/>
                <w:color w:val="auto"/>
              </w:rPr>
            </w:pPr>
          </w:p>
        </w:tc>
        <w:tc>
          <w:tcPr>
            <w:tcW w:w="212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4"/>
              </w:rPr>
              <w:t>Amount</w:t>
            </w:r>
          </w:p>
        </w:tc>
        <w:tc>
          <w:tcPr>
            <w:tcW w:w="10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6"/>
              </w:rPr>
              <w:t>Value</w:t>
            </w:r>
          </w:p>
        </w:tc>
        <w:tc>
          <w:tcPr>
            <w:tcW w:w="21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4"/>
              </w:rPr>
              <w:t>Amount</w:t>
            </w:r>
          </w:p>
        </w:tc>
        <w:tc>
          <w:tcPr>
            <w:tcW w:w="920" w:type="dxa"/>
            <w:vAlign w:val="bottom"/>
          </w:tcPr>
          <w:p>
            <w:pPr>
              <w:jc w:val="right"/>
              <w:ind w:right="475"/>
              <w:spacing w:after="0"/>
              <w:rPr>
                <w:sz w:val="20"/>
                <w:szCs w:val="20"/>
                <w:color w:val="auto"/>
              </w:rPr>
            </w:pPr>
            <w:r>
              <w:rPr>
                <w:rFonts w:ascii="Arial" w:cs="Arial" w:eastAsia="Arial" w:hAnsi="Arial"/>
                <w:sz w:val="14"/>
                <w:szCs w:val="14"/>
                <w:b w:val="1"/>
                <w:bCs w:val="1"/>
                <w:color w:val="auto"/>
                <w:w w:val="90"/>
              </w:rPr>
              <w:t>Value</w:t>
            </w:r>
          </w:p>
        </w:tc>
      </w:tr>
      <w:tr>
        <w:trPr>
          <w:trHeight w:val="236"/>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assets:</w:t>
            </w:r>
          </w:p>
        </w:tc>
        <w:tc>
          <w:tcPr>
            <w:tcW w:w="15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23,361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23,361</w:t>
            </w:r>
          </w:p>
        </w:tc>
        <w:tc>
          <w:tcPr>
            <w:tcW w:w="10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36,556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36,556</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Deferred compensation plan assets</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19,221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19,221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17,593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17,593</w:t>
            </w: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Loan receivable</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13,000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13,000</w:t>
            </w:r>
          </w:p>
        </w:tc>
        <w:tc>
          <w:tcPr>
            <w:tcW w:w="10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26,200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26,200</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liabilities:</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Senior unsecured credit facility</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1,195,000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1,184,900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1,290,000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1,272,852</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Senior unsecured notes</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3,425,000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3,556,000</w:t>
            </w:r>
          </w:p>
        </w:tc>
        <w:tc>
          <w:tcPr>
            <w:tcW w:w="10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3,425,000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w w:val="99"/>
              </w:rPr>
              <w:t>3,573,500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The Company recognizes rental revenue from tenants, including rental abatements, lease incentives and contractually fixed increases attributable to operating leases, on a straight-line basis over the term of the related leases when collectability is reasonably assured. Additionally, percentage rent that is fixed and determinable at the lease inception date is recorded on a straight-line basis over the lease term, resulting in the recognition of deferred rental revenue on the Company’s condensed consolidated balance sheets. Deferred rental revenue is amortized to rental revenue on a straight-line basis over the remainder of the lease term. The lease term includes the initial non-cancelable lease term and any reasonably assured renewable periods. Contingent rental income that is not fixed and determinable at lease inception is recognized only when the lessee achieves the specified target. Recognition of rental income commences when control of the facility has been transferred to the tenant.</w:t>
      </w:r>
    </w:p>
    <w:p>
      <w:pPr>
        <w:spacing w:after="0" w:line="178"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The Company recognizes income from tenants subject to direct financing leases ratably over the lease term using the effective interest rate method which produces a constant periodic rate of return on the net investment in the leased property. At lease inception, the Company records an asset which represents the Company's net investment in the direct financing lease. This initial net investment is determined by aggregating the total future minimum lease payments attributable to the direct financing lease and the estimated residual value of the property, less unearned income. Over the lease term, the investment in the direct financing lease is reduced and income is recognized for the building portion of rent. Furthermore, as the net investment in direct financing lease includes only future minimum lease payments, percentage rent that is not fixed and determinable at the lease inception is excluded from the determination of the rent attributable to the leased assets and will therefore be recorded as income from the direct financing lease in the period earned. For further detail on the Company's direct financing lease refer to Note 8.</w:t>
      </w:r>
    </w:p>
    <w:p>
      <w:pPr>
        <w:spacing w:after="0" w:line="17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Additionally, in accordance with ASC 605, "Revenue Recognition," the Company records revenue for the real estate taxes paid by its tenants on the leased properties with an offsetting expense in real estate taxes within the condensed consolidated statement of income as the Company has concluded it is the primary obligor. Similarly, the Company records revenue for the ground lease rent paid by its tenants with an offsetting expense in general and administrative expense within the condensed consolidated statement of income as the Company has concluded that as the lessee it is the primary obligor under the ground leases. The Company subleases these ground leases back to its tenants, who are responsible for payment directly to the landlord.</w:t>
      </w:r>
    </w:p>
    <w:p>
      <w:pPr>
        <w:spacing w:after="0" w:line="158"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Gaming revenue generated by the TRS Properties mainly consists of video lottery gaming revenue, and to a lesser extent, table game and poker revenue. Video lottery gaming revenue is the aggregate net difference between gaming wins and losses with liabilities recognized for funds deposited by customers before gaming play occurs, for "ticket-in, ticket-out"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30"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coupons in the customers’ possession, and for accruals related to the anticipated payout of progressive jackpots. Progressive slot machines, which contain base jackpots that increase at a progressive rate based on the number of coins played, are charged to revenue as the amount of the jackpots increases. Table game gaming revenue is the aggregate of table drop adjusted for the change in aggregate table chip inventory. Table drop is the total dollar amount of the currency, coins, chips, tokens, outstanding counter checks (markers), and front money that are removed from the live gaming tables. Additionally, food and beverage revenue is recognized as services are performed.</w:t>
      </w:r>
    </w:p>
    <w:p>
      <w:pPr>
        <w:spacing w:after="0" w:line="188"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Gaming revenue is recognized net of certain sales incentives in accordance with ASC 605-50, "Revenue Recognition— Customer Payments and Incentives." The Company records certain sales incentives and points earned in point-loyalty programs as a reduction of revenue.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 and Admission Taxes</w:t>
      </w:r>
    </w:p>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For the TRS Properties, the Company is subject to gaming and admission taxes based on gross gaming revenues in the jurisdictions in which it operates, as well as state gaming device fees, based upon a standard per game assessment. The Company recognizes gaming tax expense based on the statutorily required percentage of revenue that is required to be paid to state and local jurisdictions in the states where wagering occurs. Admission taxes are only assessed in Louisiana, while state gaming device fees are only assessed in Maryland. The Company records gaming and admission taxes at the Company’s estimated effective gaming tax rate for the year, considering estimated taxable gaming revenue and the applicable rates. Such estimates are adjusted each interim period. If gaming and admission tax rates change during the year, such changes are applied prospectively in the determination of gaming and admission tax expense in future interim periods. For the three months ended March 31, 2017 and 2016, these expenses, which are primarily recorded within gaming expense in the condensed consolidated statements of income, totaled $15.1 million and $14.7 million,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Company calculates earnings per share ("EPS") in accordance with ASC 260, "Earnings per Share." Basic EPS is computed by dividing net income applicable to common stock by the weighted-average number of common shares outstanding during the period, excluding net income attributable to participating securities (unvested restricted stock awards). Diluted EPS reflects the additional dilution for all potentially-dilutive securities such as stock options, unvested restricted shares and unvested performance-based restricted shares. In accordance with ASC 260 "Earnings per Share," the Company includes all performance-based restricted shares that would have vested based upon the Company’s performance at quarter-end in the calculation of diluted EPS. Diluted EPS for the Company's common stock is computed using the more dilutive of the two-class method or the treasury stock method.</w:t>
      </w:r>
    </w:p>
    <w:p>
      <w:pPr>
        <w:spacing w:after="0" w:line="165"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The following table reconciles the weighted-average common shares outstanding used in the calculation of basic EPS to the weighted-average common shares outstanding used in the calculation of diluted EPS for the three months ended March 31, 2017 and 2016:</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310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5280" w:type="dxa"/>
            <w:vAlign w:val="bottom"/>
          </w:tcPr>
          <w:p>
            <w:pPr>
              <w:spacing w:after="0"/>
              <w:rPr>
                <w:sz w:val="22"/>
                <w:szCs w:val="22"/>
                <w:color w:val="auto"/>
              </w:rPr>
            </w:pPr>
          </w:p>
        </w:tc>
        <w:tc>
          <w:tcPr>
            <w:tcW w:w="15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187"/>
        </w:trPr>
        <w:tc>
          <w:tcPr>
            <w:tcW w:w="5280" w:type="dxa"/>
            <w:vAlign w:val="bottom"/>
          </w:tcPr>
          <w:p>
            <w:pPr>
              <w:spacing w:after="0"/>
              <w:rPr>
                <w:sz w:val="16"/>
                <w:szCs w:val="16"/>
                <w:color w:val="auto"/>
              </w:rPr>
            </w:pPr>
          </w:p>
        </w:tc>
        <w:tc>
          <w:tcPr>
            <w:tcW w:w="2080" w:type="dxa"/>
            <w:vAlign w:val="bottom"/>
            <w:gridSpan w:val="3"/>
          </w:tcPr>
          <w:p>
            <w:pPr>
              <w:ind w:left="106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6"/>
                <w:szCs w:val="16"/>
                <w:color w:val="auto"/>
              </w:rPr>
            </w:pPr>
          </w:p>
        </w:tc>
      </w:tr>
      <w:tr>
        <w:trPr>
          <w:trHeight w:val="252"/>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Determination of shares:</w:t>
            </w: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1500" w:type="dxa"/>
            <w:vAlign w:val="bottom"/>
          </w:tcPr>
          <w:p>
            <w:pPr>
              <w:jc w:val="right"/>
              <w:spacing w:after="0"/>
              <w:rPr>
                <w:sz w:val="20"/>
                <w:szCs w:val="20"/>
                <w:color w:val="auto"/>
              </w:rPr>
            </w:pPr>
            <w:r>
              <w:rPr>
                <w:rFonts w:ascii="Arial" w:cs="Arial" w:eastAsia="Arial" w:hAnsi="Arial"/>
                <w:sz w:val="18"/>
                <w:szCs w:val="18"/>
                <w:color w:val="auto"/>
              </w:rPr>
              <w:t>207,880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116,671</w:t>
            </w:r>
          </w:p>
        </w:tc>
      </w:tr>
      <w:tr>
        <w:trPr>
          <w:trHeight w:val="27"/>
        </w:trPr>
        <w:tc>
          <w:tcPr>
            <w:tcW w:w="5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Assumed conversion of dilutive employee stock-based awards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1,821</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Assumed conversion of restricted stock awards</w:t>
            </w:r>
          </w:p>
        </w:tc>
        <w:tc>
          <w:tcPr>
            <w:tcW w:w="150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7"/>
        </w:trPr>
        <w:tc>
          <w:tcPr>
            <w:tcW w:w="5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Assumed conversion of performance-based restricted stock awards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57"/>
        </w:trPr>
        <w:tc>
          <w:tcPr>
            <w:tcW w:w="5280" w:type="dxa"/>
            <w:vAlign w:val="bottom"/>
          </w:tcPr>
          <w:p>
            <w:pPr>
              <w:ind w:left="40"/>
              <w:spacing w:after="0"/>
              <w:rPr>
                <w:sz w:val="20"/>
                <w:szCs w:val="20"/>
                <w:color w:val="auto"/>
              </w:rPr>
            </w:pPr>
            <w:r>
              <w:rPr>
                <w:rFonts w:ascii="Arial" w:cs="Arial" w:eastAsia="Arial" w:hAnsi="Arial"/>
                <w:sz w:val="18"/>
                <w:szCs w:val="18"/>
                <w:color w:val="auto"/>
              </w:rPr>
              <w:t>Diluted weighted-average common shares outstanding</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209,526</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118,817</w:t>
            </w:r>
          </w:p>
        </w:tc>
      </w:tr>
      <w:tr>
        <w:trPr>
          <w:trHeight w:val="20"/>
        </w:trPr>
        <w:tc>
          <w:tcPr>
            <w:tcW w:w="52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240" w:top="130" w:right="41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00" w:firstLine="567"/>
        <w:spacing w:after="0" w:line="277" w:lineRule="auto"/>
        <w:rPr>
          <w:sz w:val="20"/>
          <w:szCs w:val="20"/>
          <w:color w:val="auto"/>
        </w:rPr>
      </w:pPr>
      <w:r>
        <w:rPr>
          <w:rFonts w:ascii="Arial" w:cs="Arial" w:eastAsia="Arial" w:hAnsi="Arial"/>
          <w:sz w:val="18"/>
          <w:szCs w:val="18"/>
          <w:color w:val="auto"/>
        </w:rPr>
        <w:t>The following table presents the calculation of basic and diluted EPS for the Company’s common stock for the three months ended March 31, 2017 and 2016:</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5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2016</w:t>
            </w:r>
          </w:p>
        </w:tc>
      </w:tr>
      <w:tr>
        <w:trPr>
          <w:trHeight w:val="250"/>
        </w:trPr>
        <w:tc>
          <w:tcPr>
            <w:tcW w:w="5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90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w w:val="97"/>
              </w:rPr>
              <w:t>(in thousands, except per share data)</w:t>
            </w:r>
          </w:p>
        </w:tc>
      </w:tr>
      <w:tr>
        <w:trPr>
          <w:trHeight w:val="256"/>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Calculation of basic EPS:</w:t>
            </w: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93,991</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32,749</w:t>
            </w:r>
          </w:p>
        </w:tc>
      </w:tr>
      <w:tr>
        <w:trPr>
          <w:trHeight w:val="27"/>
        </w:trPr>
        <w:tc>
          <w:tcPr>
            <w:tcW w:w="5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allocated to participating securities</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37"/>
        </w:trPr>
        <w:tc>
          <w:tcPr>
            <w:tcW w:w="5200" w:type="dxa"/>
            <w:vAlign w:val="bottom"/>
          </w:tcPr>
          <w:p>
            <w:pPr>
              <w:ind w:left="40"/>
              <w:spacing w:after="0"/>
              <w:rPr>
                <w:sz w:val="20"/>
                <w:szCs w:val="20"/>
                <w:color w:val="auto"/>
              </w:rPr>
            </w:pPr>
            <w:r>
              <w:rPr>
                <w:rFonts w:ascii="Arial" w:cs="Arial" w:eastAsia="Arial" w:hAnsi="Arial"/>
                <w:sz w:val="18"/>
                <w:szCs w:val="18"/>
                <w:color w:val="auto"/>
              </w:rPr>
              <w:t>Net income attributable to common shareholders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93,816</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32,614</w:t>
            </w:r>
          </w:p>
        </w:tc>
      </w:tr>
      <w:tr>
        <w:trPr>
          <w:trHeight w:val="27"/>
        </w:trPr>
        <w:tc>
          <w:tcPr>
            <w:tcW w:w="5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207,880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116,671</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Basic EPS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0.28</w:t>
            </w:r>
          </w:p>
        </w:tc>
      </w:tr>
      <w:tr>
        <w:trPr>
          <w:trHeight w:val="27"/>
        </w:trPr>
        <w:tc>
          <w:tcPr>
            <w:tcW w:w="5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84"/>
        </w:trPr>
        <w:tc>
          <w:tcPr>
            <w:tcW w:w="5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b w:val="1"/>
                <w:bCs w:val="1"/>
                <w:color w:val="auto"/>
              </w:rPr>
              <w:t>Calculation of diluted EPS:</w:t>
            </w: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93,991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32,749</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Diluted weighted-average common shares outstanding</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209,526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118,817</w:t>
            </w:r>
          </w:p>
        </w:tc>
      </w:tr>
      <w:tr>
        <w:trPr>
          <w:trHeight w:val="27"/>
        </w:trPr>
        <w:tc>
          <w:tcPr>
            <w:tcW w:w="5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5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EPS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r>
      <w:tr>
        <w:trPr>
          <w:trHeight w:val="27"/>
        </w:trPr>
        <w:tc>
          <w:tcPr>
            <w:tcW w:w="52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There were 23,954 and 257,321 outstanding equity based awards during the three months ended March 31, 2017 and 2016, respectively, that were not included in the computation of diluted EPS because they were antidilutive.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accounts for stock compensation under ASC 718, "Compensation - Stock Compensation," which requires the Company to expense the cost of employee services received in exchange for an award of equity instruments based on the grant-date fair value of the award. This expense is recognized ratably over the requisite service period following the date of grant. The fair value of the Company's time-based restricted stock awards is equivalent to the closing stock price on the day of grant. The Company utilizes a third party valuation firm to measure the fair value of performance-based restricted stock awards at grant date using the Monte Carlo model.</w:t>
      </w:r>
    </w:p>
    <w:p>
      <w:pPr>
        <w:spacing w:after="0" w:line="18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As of March 31, 2017, there was $8.9 million of total unrecognized compensation cost for restricted stock awards that will be recognized over the grants' remaining weighted average vesting period of 2.16 years. For the three months ended March 31, 2017 and 2016, the Company recognized $2.1 million and $1.8 million, respectively, of compensation expense associated with these awards.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contains information on restricted stock award activity for the three months ended March 31, 2017:</w:t>
      </w:r>
    </w:p>
    <w:p>
      <w:pPr>
        <w:spacing w:after="0" w:line="150" w:lineRule="exact"/>
        <w:rPr>
          <w:sz w:val="20"/>
          <w:szCs w:val="20"/>
          <w:color w:val="auto"/>
        </w:rPr>
      </w:pPr>
    </w:p>
    <w:tbl>
      <w:tblPr>
        <w:tblLayout w:type="fixed"/>
        <w:tblInd w:w="282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000" w:type="dxa"/>
            <w:vAlign w:val="bottom"/>
          </w:tcPr>
          <w:p>
            <w:pPr>
              <w:jc w:val="right"/>
              <w:ind w:right="375"/>
              <w:spacing w:after="0"/>
              <w:rPr>
                <w:sz w:val="20"/>
                <w:szCs w:val="20"/>
                <w:color w:val="auto"/>
              </w:rPr>
            </w:pPr>
            <w:r>
              <w:rPr>
                <w:rFonts w:ascii="Arial" w:cs="Arial" w:eastAsia="Arial" w:hAnsi="Arial"/>
                <w:sz w:val="14"/>
                <w:szCs w:val="14"/>
                <w:b w:val="1"/>
                <w:bCs w:val="1"/>
                <w:color w:val="auto"/>
              </w:rPr>
              <w:t>Number of Award</w:t>
            </w:r>
          </w:p>
        </w:tc>
      </w:tr>
      <w:tr>
        <w:trPr>
          <w:trHeight w:val="192"/>
        </w:trPr>
        <w:tc>
          <w:tcPr>
            <w:tcW w:w="3800" w:type="dxa"/>
            <w:vAlign w:val="bottom"/>
          </w:tcPr>
          <w:p>
            <w:pPr>
              <w:spacing w:after="0"/>
              <w:rPr>
                <w:sz w:val="16"/>
                <w:szCs w:val="16"/>
                <w:color w:val="auto"/>
              </w:rPr>
            </w:pPr>
          </w:p>
        </w:tc>
        <w:tc>
          <w:tcPr>
            <w:tcW w:w="200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auto"/>
              </w:rPr>
              <w:t>Shares</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Outstanding at December 31, 2016</w:t>
            </w:r>
          </w:p>
        </w:tc>
        <w:tc>
          <w:tcPr>
            <w:tcW w:w="2000" w:type="dxa"/>
            <w:vAlign w:val="bottom"/>
          </w:tcPr>
          <w:p>
            <w:pPr>
              <w:jc w:val="right"/>
              <w:ind w:right="15"/>
              <w:spacing w:after="0"/>
              <w:rPr>
                <w:sz w:val="20"/>
                <w:szCs w:val="20"/>
                <w:color w:val="auto"/>
              </w:rPr>
            </w:pPr>
            <w:r>
              <w:rPr>
                <w:rFonts w:ascii="Arial" w:cs="Arial" w:eastAsia="Arial" w:hAnsi="Arial"/>
                <w:sz w:val="18"/>
                <w:szCs w:val="18"/>
                <w:color w:val="auto"/>
              </w:rPr>
              <w:t>413,242</w:t>
            </w:r>
          </w:p>
        </w:tc>
      </w:tr>
      <w:tr>
        <w:trPr>
          <w:trHeight w:val="27"/>
        </w:trPr>
        <w:tc>
          <w:tcPr>
            <w:tcW w:w="38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2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173,902</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Released</w:t>
            </w:r>
          </w:p>
        </w:tc>
        <w:tc>
          <w:tcPr>
            <w:tcW w:w="2000" w:type="dxa"/>
            <w:vAlign w:val="bottom"/>
          </w:tcPr>
          <w:p>
            <w:pPr>
              <w:jc w:val="right"/>
              <w:spacing w:after="0"/>
              <w:rPr>
                <w:sz w:val="20"/>
                <w:szCs w:val="20"/>
                <w:color w:val="auto"/>
              </w:rPr>
            </w:pPr>
            <w:r>
              <w:rPr>
                <w:rFonts w:ascii="Arial" w:cs="Arial" w:eastAsia="Arial" w:hAnsi="Arial"/>
                <w:sz w:val="18"/>
                <w:szCs w:val="18"/>
                <w:color w:val="auto"/>
              </w:rPr>
              <w:t>(199,348)</w:t>
            </w:r>
          </w:p>
        </w:tc>
      </w:tr>
      <w:tr>
        <w:trPr>
          <w:trHeight w:val="27"/>
        </w:trPr>
        <w:tc>
          <w:tcPr>
            <w:tcW w:w="38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Canceled</w:t>
            </w:r>
          </w:p>
        </w:tc>
        <w:tc>
          <w:tcPr>
            <w:tcW w:w="2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57"/>
        </w:trPr>
        <w:tc>
          <w:tcPr>
            <w:tcW w:w="3800" w:type="dxa"/>
            <w:vAlign w:val="bottom"/>
          </w:tcPr>
          <w:p>
            <w:pPr>
              <w:ind w:left="20"/>
              <w:spacing w:after="0"/>
              <w:rPr>
                <w:sz w:val="20"/>
                <w:szCs w:val="20"/>
                <w:color w:val="auto"/>
              </w:rPr>
            </w:pPr>
            <w:r>
              <w:rPr>
                <w:rFonts w:ascii="Arial" w:cs="Arial" w:eastAsia="Arial" w:hAnsi="Arial"/>
                <w:sz w:val="18"/>
                <w:szCs w:val="18"/>
                <w:color w:val="auto"/>
              </w:rPr>
              <w:t>Outstanding at March 31, 2017</w:t>
            </w:r>
          </w:p>
        </w:tc>
        <w:tc>
          <w:tcPr>
            <w:tcW w:w="2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387,796</w:t>
            </w:r>
          </w:p>
        </w:tc>
      </w:tr>
      <w:tr>
        <w:trPr>
          <w:trHeight w:val="20"/>
        </w:trPr>
        <w:tc>
          <w:tcPr>
            <w:tcW w:w="38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Performance-based restricted stock awards have a three-year cliff vesting with the amount of restricted shares vesting at the end of the three-year period determined based upon the Company’s performance as measured against its peers. More specifically, the percentage of shares vesting at the end of the measurement period will be based on the Company’s three-year total shareholder return measured against the three-year return of the MSCI US REIT index and/or the Company's stock performance ranking among a group of triple-net REIT peer companies. The triple-net measurement group includes publicly traded REITS deriving at least 75% of revenues from triple-net leases. As of March 31, 2017, there was $17.2 million of total unrecognized compensation cost, which will be recognized over the performance-based restricted stock awards' remaining weighted average vesting period of 2.16 years. For the three months ended March 31, 2017 and 2016, the Company recognized $2.4 million and $2.7 million, respectively, of compensation expense associated with these awards.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30" w:right="25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contains information on performance-based restricted stock award activity for the three months ended March 31, 2017:</w:t>
      </w:r>
    </w:p>
    <w:p>
      <w:pPr>
        <w:spacing w:after="0" w:line="162" w:lineRule="exact"/>
        <w:rPr>
          <w:sz w:val="20"/>
          <w:szCs w:val="20"/>
          <w:color w:val="auto"/>
        </w:rPr>
      </w:pPr>
    </w:p>
    <w:tbl>
      <w:tblPr>
        <w:tblLayout w:type="fixed"/>
        <w:tblInd w:w="282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960" w:type="dxa"/>
            <w:vAlign w:val="bottom"/>
          </w:tcPr>
          <w:p>
            <w:pPr>
              <w:jc w:val="right"/>
              <w:ind w:right="115"/>
              <w:spacing w:after="0"/>
              <w:rPr>
                <w:sz w:val="20"/>
                <w:szCs w:val="20"/>
                <w:color w:val="auto"/>
              </w:rPr>
            </w:pPr>
            <w:r>
              <w:rPr>
                <w:rFonts w:ascii="Arial" w:cs="Arial" w:eastAsia="Arial" w:hAnsi="Arial"/>
                <w:sz w:val="14"/>
                <w:szCs w:val="14"/>
                <w:b w:val="1"/>
                <w:bCs w:val="1"/>
                <w:color w:val="auto"/>
              </w:rPr>
              <w:t>Number of Performance-</w:t>
            </w:r>
          </w:p>
        </w:tc>
      </w:tr>
      <w:tr>
        <w:trPr>
          <w:trHeight w:val="192"/>
        </w:trPr>
        <w:tc>
          <w:tcPr>
            <w:tcW w:w="3840" w:type="dxa"/>
            <w:vAlign w:val="bottom"/>
          </w:tcPr>
          <w:p>
            <w:pPr>
              <w:spacing w:after="0"/>
              <w:rPr>
                <w:sz w:val="16"/>
                <w:szCs w:val="16"/>
                <w:color w:val="auto"/>
              </w:rPr>
            </w:pPr>
          </w:p>
        </w:tc>
        <w:tc>
          <w:tcPr>
            <w:tcW w:w="19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Based Award Shares</w:t>
            </w:r>
          </w:p>
        </w:tc>
      </w:tr>
      <w:tr>
        <w:trPr>
          <w:trHeight w:val="243"/>
        </w:trPr>
        <w:tc>
          <w:tcPr>
            <w:tcW w:w="3840" w:type="dxa"/>
            <w:vAlign w:val="bottom"/>
          </w:tcPr>
          <w:p>
            <w:pPr>
              <w:ind w:left="20"/>
              <w:spacing w:after="0"/>
              <w:rPr>
                <w:sz w:val="20"/>
                <w:szCs w:val="20"/>
                <w:color w:val="auto"/>
              </w:rPr>
            </w:pPr>
            <w:r>
              <w:rPr>
                <w:rFonts w:ascii="Arial" w:cs="Arial" w:eastAsia="Arial" w:hAnsi="Arial"/>
                <w:sz w:val="18"/>
                <w:szCs w:val="18"/>
                <w:color w:val="auto"/>
              </w:rPr>
              <w:t>Outstanding at December 31, 2016</w:t>
            </w:r>
          </w:p>
        </w:tc>
        <w:tc>
          <w:tcPr>
            <w:tcW w:w="1960" w:type="dxa"/>
            <w:vAlign w:val="bottom"/>
          </w:tcPr>
          <w:p>
            <w:pPr>
              <w:jc w:val="right"/>
              <w:spacing w:after="0"/>
              <w:rPr>
                <w:sz w:val="20"/>
                <w:szCs w:val="20"/>
                <w:color w:val="auto"/>
              </w:rPr>
            </w:pPr>
            <w:r>
              <w:rPr>
                <w:rFonts w:ascii="Arial" w:cs="Arial" w:eastAsia="Arial" w:hAnsi="Arial"/>
                <w:sz w:val="18"/>
                <w:szCs w:val="18"/>
                <w:color w:val="auto"/>
              </w:rPr>
              <w:t>1,106,000</w:t>
            </w:r>
          </w:p>
        </w:tc>
      </w:tr>
      <w:tr>
        <w:trPr>
          <w:trHeight w:val="27"/>
        </w:trPr>
        <w:tc>
          <w:tcPr>
            <w:tcW w:w="38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558,000</w:t>
            </w:r>
          </w:p>
        </w:tc>
      </w:tr>
      <w:tr>
        <w:trPr>
          <w:trHeight w:val="243"/>
        </w:trPr>
        <w:tc>
          <w:tcPr>
            <w:tcW w:w="3840" w:type="dxa"/>
            <w:vAlign w:val="bottom"/>
          </w:tcPr>
          <w:p>
            <w:pPr>
              <w:ind w:left="20"/>
              <w:spacing w:after="0"/>
              <w:rPr>
                <w:sz w:val="20"/>
                <w:szCs w:val="20"/>
                <w:color w:val="auto"/>
              </w:rPr>
            </w:pPr>
            <w:r>
              <w:rPr>
                <w:rFonts w:ascii="Arial" w:cs="Arial" w:eastAsia="Arial" w:hAnsi="Arial"/>
                <w:sz w:val="18"/>
                <w:szCs w:val="18"/>
                <w:color w:val="auto"/>
              </w:rPr>
              <w:t>Released</w:t>
            </w: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8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Canceled</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3840" w:type="dxa"/>
            <w:vAlign w:val="bottom"/>
          </w:tcPr>
          <w:p>
            <w:pPr>
              <w:ind w:left="20"/>
              <w:spacing w:after="0"/>
              <w:rPr>
                <w:sz w:val="20"/>
                <w:szCs w:val="20"/>
                <w:color w:val="auto"/>
              </w:rPr>
            </w:pPr>
            <w:r>
              <w:rPr>
                <w:rFonts w:ascii="Arial" w:cs="Arial" w:eastAsia="Arial" w:hAnsi="Arial"/>
                <w:sz w:val="18"/>
                <w:szCs w:val="18"/>
                <w:color w:val="auto"/>
              </w:rPr>
              <w:t>Outstanding at March 31, 2017</w:t>
            </w: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1,664,000</w:t>
            </w:r>
          </w:p>
        </w:tc>
      </w:tr>
      <w:tr>
        <w:trPr>
          <w:trHeight w:val="20"/>
        </w:trPr>
        <w:tc>
          <w:tcPr>
            <w:tcW w:w="384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Real Estate Investments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Real estate investments, net, represents investments in 34 rental properties and the corporate headquarters building and is summarized as follows: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060" w:type="dxa"/>
            <w:vAlign w:val="bottom"/>
          </w:tcPr>
          <w:p>
            <w:pPr>
              <w:jc w:val="right"/>
              <w:ind w:right="115"/>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6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2016</w:t>
            </w:r>
          </w:p>
        </w:tc>
      </w:tr>
      <w:tr>
        <w:trPr>
          <w:trHeight w:val="196"/>
        </w:trPr>
        <w:tc>
          <w:tcPr>
            <w:tcW w:w="6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00" w:type="dxa"/>
            <w:vAlign w:val="bottom"/>
            <w:gridSpan w:val="4"/>
          </w:tcPr>
          <w:p>
            <w:pPr>
              <w:jc w:val="right"/>
              <w:ind w:right="715"/>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improvements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2,057,391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2,057,391</w:t>
            </w: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Building and improvements</w:t>
            </w:r>
          </w:p>
        </w:tc>
        <w:tc>
          <w:tcPr>
            <w:tcW w:w="200" w:type="dxa"/>
            <w:vAlign w:val="bottom"/>
          </w:tcPr>
          <w:p>
            <w:pPr>
              <w:spacing w:after="0"/>
              <w:rPr>
                <w:sz w:val="21"/>
                <w:szCs w:val="21"/>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2,438,583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2,438,581</w:t>
            </w:r>
          </w:p>
        </w:tc>
      </w:tr>
      <w:tr>
        <w:trPr>
          <w:trHeight w:val="27"/>
        </w:trPr>
        <w:tc>
          <w:tcPr>
            <w:tcW w:w="6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real estate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4,495,974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4,495,972</w:t>
            </w: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(781,784)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(756,881)</w:t>
            </w:r>
          </w:p>
        </w:tc>
      </w:tr>
      <w:tr>
        <w:trPr>
          <w:trHeight w:val="27"/>
        </w:trPr>
        <w:tc>
          <w:tcPr>
            <w:tcW w:w="6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investments,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3,714,190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3,739,091</w:t>
            </w:r>
          </w:p>
        </w:tc>
      </w:tr>
      <w:tr>
        <w:trPr>
          <w:trHeight w:val="20"/>
        </w:trPr>
        <w:tc>
          <w:tcPr>
            <w:tcW w:w="6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Land Rights</w:t>
      </w:r>
    </w:p>
    <w:p>
      <w:pPr>
        <w:spacing w:after="0" w:line="229"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Land rights, net represents the Company's rights to land subject to long-term ground leases. The Company acquired ground leases at several of the Pinnacle properties and immediately subleased the land back to Pinnacle. The land rights are amortized over the individual lease term of each ground lease, including all renewal options, which ranged from 33 years to 92 years at the time of the Pinnacle acquisition. Land rights net, consists of the following:</w:t>
      </w:r>
    </w:p>
    <w:p>
      <w:pPr>
        <w:spacing w:after="0" w:line="288"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20" w:type="dxa"/>
            <w:vAlign w:val="bottom"/>
          </w:tcPr>
          <w:p>
            <w:pPr>
              <w:jc w:val="right"/>
              <w:ind w:right="217"/>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7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2016</w:t>
            </w:r>
          </w:p>
        </w:tc>
      </w:tr>
      <w:tr>
        <w:trPr>
          <w:trHeight w:val="250"/>
        </w:trPr>
        <w:tc>
          <w:tcPr>
            <w:tcW w:w="7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80" w:type="dxa"/>
            <w:vAlign w:val="bottom"/>
            <w:gridSpan w:val="4"/>
          </w:tcPr>
          <w:p>
            <w:pPr>
              <w:jc w:val="right"/>
              <w:ind w:right="937"/>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rights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596,921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596,921</w:t>
            </w: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color w:val="auto"/>
              </w:rPr>
              <w:t>Less accumulated amortization</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(6,163)</w:t>
            </w:r>
          </w:p>
        </w:tc>
      </w:tr>
      <w:tr>
        <w:trPr>
          <w:trHeight w:val="27"/>
        </w:trPr>
        <w:tc>
          <w:tcPr>
            <w:tcW w:w="7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rights,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588,447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590,758</w:t>
            </w:r>
          </w:p>
        </w:tc>
      </w:tr>
      <w:tr>
        <w:trPr>
          <w:trHeight w:val="20"/>
        </w:trPr>
        <w:tc>
          <w:tcPr>
            <w:tcW w:w="7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Amortization expense related to the ground leases is recorded within general and administrative expenses in the condensed consolidated statements of income and totaled $2.3 million for the three months ended March 31, 2017.</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March 31, 2017, estimated future amortization expense related to the Company’s ground leases by fiscal year is as follows (in thousands):</w:t>
      </w:r>
    </w:p>
    <w:p>
      <w:pPr>
        <w:spacing w:after="0" w:line="200" w:lineRule="exact"/>
        <w:rPr>
          <w:sz w:val="20"/>
          <w:szCs w:val="20"/>
          <w:color w:val="auto"/>
        </w:rPr>
      </w:pPr>
    </w:p>
    <w:p>
      <w:pPr>
        <w:spacing w:after="0" w:line="266"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312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5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480" w:type="dxa"/>
            <w:vAlign w:val="bottom"/>
            <w:tcBorders>
              <w:bottom w:val="single" w:sz="8" w:color="CCEEFF"/>
            </w:tcBorders>
            <w:shd w:val="clear" w:color="auto" w:fill="CCEEFF"/>
          </w:tcPr>
          <w:p>
            <w:pPr>
              <w:spacing w:after="0"/>
              <w:rPr>
                <w:sz w:val="21"/>
                <w:szCs w:val="21"/>
                <w:color w:val="auto"/>
              </w:rPr>
            </w:pPr>
          </w:p>
        </w:tc>
        <w:tc>
          <w:tcPr>
            <w:tcW w:w="5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6,933</w:t>
            </w:r>
          </w:p>
        </w:tc>
        <w:tc>
          <w:tcPr>
            <w:tcW w:w="0" w:type="dxa"/>
            <w:vAlign w:val="bottom"/>
          </w:tcPr>
          <w:p>
            <w:pPr>
              <w:spacing w:after="0"/>
              <w:rPr>
                <w:sz w:val="1"/>
                <w:szCs w:val="1"/>
                <w:color w:val="auto"/>
              </w:rPr>
            </w:pPr>
          </w:p>
        </w:tc>
      </w:tr>
      <w:tr>
        <w:trPr>
          <w:trHeight w:val="243"/>
        </w:trPr>
        <w:tc>
          <w:tcPr>
            <w:tcW w:w="1640" w:type="dxa"/>
            <w:vAlign w:val="bottom"/>
            <w:gridSpan w:val="2"/>
          </w:tcPr>
          <w:p>
            <w:pPr>
              <w:ind w:left="20"/>
              <w:spacing w:after="0"/>
              <w:rPr>
                <w:sz w:val="20"/>
                <w:szCs w:val="20"/>
                <w:color w:val="auto"/>
              </w:rPr>
            </w:pPr>
            <w:r>
              <w:rPr>
                <w:rFonts w:ascii="Arial" w:cs="Arial" w:eastAsia="Arial" w:hAnsi="Arial"/>
                <w:sz w:val="18"/>
                <w:szCs w:val="18"/>
                <w:color w:val="auto"/>
              </w:rPr>
              <w:t>2018</w:t>
            </w:r>
          </w:p>
        </w:tc>
        <w:tc>
          <w:tcPr>
            <w:tcW w:w="148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9,244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48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9,244</w:t>
            </w:r>
          </w:p>
        </w:tc>
        <w:tc>
          <w:tcPr>
            <w:tcW w:w="0" w:type="dxa"/>
            <w:vAlign w:val="bottom"/>
          </w:tcPr>
          <w:p>
            <w:pPr>
              <w:spacing w:after="0"/>
              <w:rPr>
                <w:sz w:val="1"/>
                <w:szCs w:val="1"/>
                <w:color w:val="auto"/>
              </w:rPr>
            </w:pPr>
          </w:p>
        </w:tc>
      </w:tr>
      <w:tr>
        <w:trPr>
          <w:trHeight w:val="243"/>
        </w:trPr>
        <w:tc>
          <w:tcPr>
            <w:tcW w:w="1640" w:type="dxa"/>
            <w:vAlign w:val="bottom"/>
            <w:gridSpan w:val="2"/>
          </w:tcPr>
          <w:p>
            <w:pPr>
              <w:ind w:left="20"/>
              <w:spacing w:after="0"/>
              <w:rPr>
                <w:sz w:val="20"/>
                <w:szCs w:val="20"/>
                <w:color w:val="auto"/>
              </w:rPr>
            </w:pPr>
            <w:r>
              <w:rPr>
                <w:rFonts w:ascii="Arial" w:cs="Arial" w:eastAsia="Arial" w:hAnsi="Arial"/>
                <w:sz w:val="18"/>
                <w:szCs w:val="18"/>
                <w:color w:val="auto"/>
              </w:rPr>
              <w:t>2020</w:t>
            </w:r>
          </w:p>
        </w:tc>
        <w:tc>
          <w:tcPr>
            <w:tcW w:w="148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9,244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48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9,244</w:t>
            </w:r>
          </w:p>
        </w:tc>
        <w:tc>
          <w:tcPr>
            <w:tcW w:w="0" w:type="dxa"/>
            <w:vAlign w:val="bottom"/>
          </w:tcPr>
          <w:p>
            <w:pPr>
              <w:spacing w:after="0"/>
              <w:rPr>
                <w:sz w:val="1"/>
                <w:szCs w:val="1"/>
                <w:color w:val="auto"/>
              </w:rPr>
            </w:pPr>
          </w:p>
        </w:tc>
      </w:tr>
      <w:tr>
        <w:trPr>
          <w:trHeight w:val="243"/>
        </w:trPr>
        <w:tc>
          <w:tcPr>
            <w:tcW w:w="3120" w:type="dxa"/>
            <w:vAlign w:val="bottom"/>
            <w:gridSpan w:val="3"/>
          </w:tcPr>
          <w:p>
            <w:pPr>
              <w:ind w:left="20"/>
              <w:spacing w:after="0"/>
              <w:rPr>
                <w:sz w:val="20"/>
                <w:szCs w:val="20"/>
                <w:color w:val="auto"/>
              </w:rPr>
            </w:pPr>
            <w:r>
              <w:rPr>
                <w:rFonts w:ascii="Arial" w:cs="Arial" w:eastAsia="Arial" w:hAnsi="Arial"/>
                <w:sz w:val="18"/>
                <w:szCs w:val="18"/>
                <w:color w:val="auto"/>
              </w:rPr>
              <w:t>Thereafter</w:t>
            </w:r>
          </w:p>
        </w:tc>
        <w:tc>
          <w:tcPr>
            <w:tcW w:w="5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544,538</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588,447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5580" w:type="dxa"/>
            <w:vAlign w:val="bottom"/>
            <w:tcBorders>
              <w:top w:val="single" w:sz="8" w:color="CCEEFF"/>
              <w:bottom w:val="single" w:sz="8" w:color="CCEEFF"/>
            </w:tcBorders>
            <w:vMerge w:val="restart"/>
          </w:tcPr>
          <w:p>
            <w:pPr>
              <w:jc w:val="right"/>
              <w:ind w:right="3850"/>
              <w:spacing w:after="0"/>
              <w:rPr>
                <w:sz w:val="20"/>
                <w:szCs w:val="20"/>
                <w:color w:val="auto"/>
              </w:rPr>
            </w:pPr>
            <w:r>
              <w:rPr>
                <w:rFonts w:ascii="Arial" w:cs="Arial" w:eastAsia="Arial" w:hAnsi="Arial"/>
                <w:sz w:val="18"/>
                <w:szCs w:val="18"/>
                <w:color w:val="auto"/>
              </w:rPr>
              <w:t>14</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5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130" w:right="39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Used in Operations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Property and equipment used in operations, net, consists of the following and primarily represents the assets utilized in the TRS Properties:</w:t>
      </w:r>
    </w:p>
    <w:p>
      <w:pPr>
        <w:spacing w:after="0" w:line="162"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060" w:type="dxa"/>
            <w:vAlign w:val="bottom"/>
          </w:tcPr>
          <w:p>
            <w:pPr>
              <w:jc w:val="right"/>
              <w:ind w:right="114"/>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63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2016</w:t>
            </w:r>
          </w:p>
        </w:tc>
      </w:tr>
      <w:tr>
        <w:trPr>
          <w:trHeight w:val="196"/>
        </w:trPr>
        <w:tc>
          <w:tcPr>
            <w:tcW w:w="6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00" w:type="dxa"/>
            <w:vAlign w:val="bottom"/>
            <w:gridSpan w:val="4"/>
          </w:tcPr>
          <w:p>
            <w:pPr>
              <w:jc w:val="right"/>
              <w:ind w:right="71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and improvements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30,965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30,965</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20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117,341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117,350</w:t>
            </w:r>
          </w:p>
        </w:tc>
      </w:tr>
      <w:tr>
        <w:trPr>
          <w:trHeight w:val="27"/>
        </w:trPr>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fixtures,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113,718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114,965</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20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330</w:t>
            </w:r>
          </w:p>
        </w:tc>
      </w:tr>
      <w:tr>
        <w:trPr>
          <w:trHeight w:val="27"/>
        </w:trPr>
        <w:tc>
          <w:tcPr>
            <w:tcW w:w="6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property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262,706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263,610</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(146,259)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(144,183)</w:t>
            </w:r>
          </w:p>
        </w:tc>
      </w:tr>
      <w:tr>
        <w:trPr>
          <w:trHeight w:val="27"/>
        </w:trPr>
        <w:tc>
          <w:tcPr>
            <w:tcW w:w="6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116,447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119,427</w:t>
            </w:r>
          </w:p>
        </w:tc>
      </w:tr>
      <w:tr>
        <w:trPr>
          <w:trHeight w:val="20"/>
        </w:trPr>
        <w:tc>
          <w:tcPr>
            <w:tcW w:w="6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Receivables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Direct Financing Lease, Net</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Under ASC 840 - Leases ("ASC 840"), the Pinnacle Master Lease is bifurcated between an operating lease and a direct financing lease. The fair value assigned to the land (inclusive of the land rights) qualifies for operating lease treatment, while the fair value assigned to the buildings is classified as a direct financing lease. Under ASC 840, the accounting treatment for direct financing leases requires the Company to record an investment in direct financing leases on its books at lease inception and subsequently recognize interest income and a reduction in the investment for the building portion of rent. This initial net investment is determined by aggregating the total future minimum lease payments attributable to the direct financing lease and the estimated residual value of the property, less unearned income. The interest income recorded under the direct financing lease is included in income from direct financing lease in the Company's condensed consolidated statements of income and is recognized over the 35-year lease term using the effective interest rate method which produces a constant periodic rate of return on the net investment in the leased property. Furthermore, as the net investment in direct financing lease includes only future minimum lease payments, rent that is not fixed and determinable at the lease inception is excluded from the determination of the rent attributable to the leased assets and will therefore be recorded as income from direct financing lease in the period earned. The unguaranteed residual value is the Company's estimate of what it could realize upon the sale of the property at the end of the lease term.</w:t>
      </w:r>
    </w:p>
    <w:p>
      <w:pPr>
        <w:spacing w:after="0" w:line="173" w:lineRule="exact"/>
        <w:rPr>
          <w:sz w:val="20"/>
          <w:szCs w:val="20"/>
          <w:color w:val="auto"/>
        </w:rPr>
      </w:pPr>
    </w:p>
    <w:p>
      <w:pPr>
        <w:jc w:val="both"/>
        <w:ind w:right="280" w:firstLine="648"/>
        <w:spacing w:after="0" w:line="312" w:lineRule="auto"/>
        <w:rPr>
          <w:sz w:val="20"/>
          <w:szCs w:val="20"/>
          <w:color w:val="auto"/>
        </w:rPr>
      </w:pPr>
      <w:r>
        <w:rPr>
          <w:rFonts w:ascii="Arial" w:cs="Arial" w:eastAsia="Arial" w:hAnsi="Arial"/>
          <w:sz w:val="16"/>
          <w:szCs w:val="16"/>
          <w:color w:val="auto"/>
        </w:rPr>
        <w:t>The net investment in the direct financing lease is evaluated for impairment as necessary, if indicators of impairment are present, to determine if there has been an-other-than-temporary decline in the residual value of the property or a change in the lessee's credit worthiness. At March 31, 2017, there were no indicators of a decline in the estimated residual value of the property and collectability of the remaining receivable balance is reasonably assured.</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Company's investment in direct financing lease, net, consists of the following and represents the building assets acquired from Pinnacle:</w:t>
      </w:r>
    </w:p>
    <w:p>
      <w:pPr>
        <w:spacing w:after="0" w:line="150"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060" w:type="dxa"/>
            <w:vAlign w:val="bottom"/>
          </w:tcPr>
          <w:p>
            <w:pPr>
              <w:jc w:val="right"/>
              <w:ind w:right="115"/>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63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2016</w:t>
            </w:r>
          </w:p>
        </w:tc>
      </w:tr>
      <w:tr>
        <w:trPr>
          <w:trHeight w:val="196"/>
        </w:trPr>
        <w:tc>
          <w:tcPr>
            <w:tcW w:w="6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00" w:type="dxa"/>
            <w:vAlign w:val="bottom"/>
            <w:gridSpan w:val="4"/>
          </w:tcPr>
          <w:p>
            <w:pPr>
              <w:jc w:val="right"/>
              <w:ind w:right="715"/>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Minimum lease payments receivable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3,370,181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3,405,131</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Unguaranteed residual value</w:t>
            </w:r>
          </w:p>
        </w:tc>
        <w:tc>
          <w:tcPr>
            <w:tcW w:w="200" w:type="dxa"/>
            <w:vAlign w:val="bottom"/>
          </w:tcPr>
          <w:p>
            <w:pPr>
              <w:spacing w:after="0"/>
              <w:rPr>
                <w:sz w:val="21"/>
                <w:szCs w:val="21"/>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689,811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689,811</w:t>
            </w:r>
          </w:p>
        </w:tc>
      </w:tr>
      <w:tr>
        <w:trPr>
          <w:trHeight w:val="27"/>
        </w:trPr>
        <w:tc>
          <w:tcPr>
            <w:tcW w:w="6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investment in direct financing lease</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4,059,992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4,094,942</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Less: unearned income</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(1,366,893)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(1,384,231)</w:t>
            </w:r>
          </w:p>
        </w:tc>
      </w:tr>
      <w:tr>
        <w:trPr>
          <w:trHeight w:val="27"/>
        </w:trPr>
        <w:tc>
          <w:tcPr>
            <w:tcW w:w="6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in direct financing lease,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2,693,099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2,710,711</w:t>
            </w:r>
          </w:p>
        </w:tc>
      </w:tr>
      <w:tr>
        <w:trPr>
          <w:trHeight w:val="20"/>
        </w:trPr>
        <w:tc>
          <w:tcPr>
            <w:tcW w:w="6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Receivable</w:t>
      </w:r>
    </w:p>
    <w:p>
      <w:pPr>
        <w:spacing w:after="0" w:line="229"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color w:val="auto"/>
        </w:rPr>
        <w:t>In January 2014, the Company completed the asset acquisition of the real property associated with the Casino Queen in East St. Louis, Illinois for $140.7 million. GLPI leases the property back to Casino Queen on a triple-net basis on terms similar to those in the Master Leases. The lease has an initial term of 15 years and the tenant has an option to renew it at the same terms and conditions for four successive five-year periods.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30" w:right="25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Simultaneously with the Casino Queen acquisition, GLPI provided Casino Queen with a $43.0 million, five-year term loan at 7% interest, pre-payable at any time, which, together with the sale proceeds, completely refinanced and retired all of Casino Queen’s outstanding long-term debt obligations. On March 13, 2017, the outstanding principal and interest on this loan was repaid in full and GLPI simultaneously provided a new unsecured $13.0 million,</w:t>
      </w:r>
    </w:p>
    <w:p>
      <w:pPr>
        <w:spacing w:after="0" w:line="292" w:lineRule="auto"/>
        <w:rPr>
          <w:sz w:val="20"/>
          <w:szCs w:val="20"/>
          <w:color w:val="auto"/>
        </w:rPr>
      </w:pPr>
      <w:r>
        <w:rPr>
          <w:rFonts w:ascii="Arial" w:cs="Arial" w:eastAsia="Arial" w:hAnsi="Arial"/>
          <w:sz w:val="16"/>
          <w:szCs w:val="16"/>
          <w:color w:val="auto"/>
        </w:rPr>
        <w:t>5.5 year term loan to CQ Holding Company, Inc., an affiliate of Casino Queen, to partially finance their acquisition of Lady Luck Casino in Marquette, Iowa. The cash proceeds were net settled. The new loan bears an interest rate of 15% and is pre-payable at any time. As of March 31, 2017, the balance of the new loan is $13.0 million. The collectability of the loan balance is reasonably assured, and as of March 31, 2017, there is no indication that the obligor will not remit all mandatory principal and interest payments in full and on time. The loan balance is recorded at carrying value which approximates fair value. Interest income related to the loan is recorded in interest income within the Company's condensed consolidated statements of income in the period earned.</w:t>
      </w:r>
    </w:p>
    <w:p>
      <w:pPr>
        <w:spacing w:after="0" w:line="15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9.</w:t>
        <w:tab/>
        <w:t>Long-term Debt</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is as follows:</w:t>
      </w:r>
    </w:p>
    <w:p>
      <w:pPr>
        <w:spacing w:after="0" w:line="150"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060" w:type="dxa"/>
            <w:vAlign w:val="bottom"/>
          </w:tcPr>
          <w:p>
            <w:pPr>
              <w:jc w:val="right"/>
              <w:ind w:right="113"/>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6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2016</w:t>
            </w:r>
          </w:p>
        </w:tc>
      </w:tr>
      <w:tr>
        <w:trPr>
          <w:trHeight w:val="196"/>
        </w:trPr>
        <w:tc>
          <w:tcPr>
            <w:tcW w:w="6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00" w:type="dxa"/>
            <w:vAlign w:val="bottom"/>
            <w:gridSpan w:val="4"/>
          </w:tcPr>
          <w:p>
            <w:pPr>
              <w:jc w:val="right"/>
              <w:ind w:right="713"/>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Unsecured term loan 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300,000</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Unsecured term loan A-1</w:t>
            </w:r>
          </w:p>
        </w:tc>
        <w:tc>
          <w:tcPr>
            <w:tcW w:w="20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825,000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825,000</w:t>
            </w:r>
          </w:p>
        </w:tc>
      </w:tr>
      <w:tr>
        <w:trPr>
          <w:trHeight w:val="27"/>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Unsecured $700 million revolver</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165,000</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$550 million 4.375% senior unsecured notes due November 2018</w:t>
            </w:r>
          </w:p>
        </w:tc>
        <w:tc>
          <w:tcPr>
            <w:tcW w:w="20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550,000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550,000</w:t>
            </w:r>
          </w:p>
        </w:tc>
      </w:tr>
      <w:tr>
        <w:trPr>
          <w:trHeight w:val="27"/>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$1,000 million 4.875% senior unsecured notes due November 2020</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1,000,000</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$400 million 4.375% senior unsecured notes due April 2021</w:t>
            </w:r>
          </w:p>
        </w:tc>
        <w:tc>
          <w:tcPr>
            <w:tcW w:w="20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400,000</w:t>
            </w:r>
          </w:p>
        </w:tc>
      </w:tr>
      <w:tr>
        <w:trPr>
          <w:trHeight w:val="27"/>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$500 million 5.375% senior unsecured notes due November 2023</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500,000</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$975 million 5.375% senior unsecured notes due April 2026</w:t>
            </w:r>
          </w:p>
        </w:tc>
        <w:tc>
          <w:tcPr>
            <w:tcW w:w="20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975,000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975,000</w:t>
            </w:r>
          </w:p>
        </w:tc>
      </w:tr>
      <w:tr>
        <w:trPr>
          <w:trHeight w:val="27"/>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1,314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1,341</w:t>
            </w:r>
          </w:p>
        </w:tc>
      </w:tr>
      <w:tr>
        <w:trPr>
          <w:trHeight w:val="237"/>
        </w:trPr>
        <w:tc>
          <w:tcPr>
            <w:tcW w:w="670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4,621,314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4,716,341</w:t>
            </w:r>
          </w:p>
        </w:tc>
      </w:tr>
      <w:tr>
        <w:trPr>
          <w:trHeight w:val="27"/>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unamortized debt issuance costs</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(51,376)</w:t>
            </w:r>
          </w:p>
        </w:tc>
      </w:tr>
      <w:tr>
        <w:trPr>
          <w:trHeight w:val="257"/>
        </w:trPr>
        <w:tc>
          <w:tcPr>
            <w:tcW w:w="6700" w:type="dxa"/>
            <w:vAlign w:val="bottom"/>
          </w:tcPr>
          <w:p>
            <w:pPr>
              <w:ind w:left="20"/>
              <w:spacing w:after="0"/>
              <w:rPr>
                <w:sz w:val="20"/>
                <w:szCs w:val="20"/>
                <w:color w:val="auto"/>
              </w:rPr>
            </w:pPr>
            <w:r>
              <w:rPr>
                <w:rFonts w:ascii="Arial" w:cs="Arial" w:eastAsia="Arial" w:hAnsi="Arial"/>
                <w:sz w:val="18"/>
                <w:szCs w:val="18"/>
                <w:color w:val="auto"/>
              </w:rPr>
              <w:t>Total long-term debt, net of unamortized debt issuance costs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4,573,194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4,664,965</w:t>
            </w:r>
          </w:p>
        </w:tc>
      </w:tr>
      <w:tr>
        <w:trPr>
          <w:trHeight w:val="20"/>
        </w:trPr>
        <w:tc>
          <w:tcPr>
            <w:tcW w:w="6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schedule of future minimum repayments of long-term debt as of March 31, 2017 (in thousands):</w:t>
      </w:r>
    </w:p>
    <w:p>
      <w:pPr>
        <w:spacing w:after="0" w:line="158" w:lineRule="exact"/>
        <w:rPr>
          <w:sz w:val="20"/>
          <w:szCs w:val="20"/>
          <w:color w:val="auto"/>
        </w:rPr>
      </w:pPr>
    </w:p>
    <w:tbl>
      <w:tblPr>
        <w:tblLayout w:type="fixed"/>
        <w:tblInd w:w="2420" w:type="dxa"/>
        <w:tblCellMar>
          <w:top w:w="0" w:type="dxa"/>
          <w:left w:w="0" w:type="dxa"/>
          <w:bottom w:w="0" w:type="dxa"/>
          <w:right w:w="0" w:type="dxa"/>
        </w:tblCellMar>
      </w:tblPr>
      <w:tr>
        <w:trPr>
          <w:trHeight w:val="270"/>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Within one year</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2-3 years</w:t>
            </w:r>
          </w:p>
        </w:tc>
        <w:tc>
          <w:tcPr>
            <w:tcW w:w="10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920,243</w:t>
            </w:r>
          </w:p>
        </w:tc>
      </w:tr>
      <w:tr>
        <w:trPr>
          <w:trHeight w:val="27"/>
        </w:trPr>
        <w:tc>
          <w:tcPr>
            <w:tcW w:w="3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4-5 years</w:t>
            </w:r>
          </w:p>
        </w:tc>
        <w:tc>
          <w:tcPr>
            <w:tcW w:w="10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2,225,268</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Over 5 years</w:t>
            </w:r>
          </w:p>
        </w:tc>
        <w:tc>
          <w:tcPr>
            <w:tcW w:w="10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1,475,690</w:t>
            </w:r>
          </w:p>
        </w:tc>
      </w:tr>
      <w:tr>
        <w:trPr>
          <w:trHeight w:val="27"/>
        </w:trPr>
        <w:tc>
          <w:tcPr>
            <w:tcW w:w="3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payments</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4,621,314</w:t>
            </w:r>
          </w:p>
        </w:tc>
      </w:tr>
      <w:tr>
        <w:trPr>
          <w:trHeight w:val="20"/>
        </w:trPr>
        <w:tc>
          <w:tcPr>
            <w:tcW w:w="39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Credit Facility</w:t>
      </w:r>
    </w:p>
    <w:p>
      <w:pPr>
        <w:spacing w:after="0" w:line="229"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The Company has a $1,825 million senior unsecured credit facility (the "Credit Facility"), consisting of a $700 million revolving credit facility, a $300 million Term Loan A facility, and an $825 million Term Loan A-1 facility. The revolving credit facility and the Term Loan A facility mature on October 28, 2018 and the Term Loan A-1 facility matures on April 28, 2021.</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At March 31, 2017, the Credit Facility had a gross outstanding balance of $1,195 million, consisting of the $1,125 million Term Loan A and A-1 facilities and $70 million of borrowings under the revolving credit facility. Additionally, at March 31, 2017, the Company was contingently obligated under letters of credit issued pursuant to the senior unsecured credit facility with face amounts aggregating approximately $0.9 million, resulting in $629.1 million of available borrowing capacity under the revolving credit facility as of March 31, 2017.</w:t>
      </w:r>
    </w:p>
    <w:p>
      <w:pPr>
        <w:spacing w:after="0" w:line="187"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Credit Facility contains customary covenants that, among other things, restrict, subject to certain exceptions, the ability of GLPI and its subsidiaries to grant liens on their assets, incur indebtedness, sell assets, make investments, engage in acquisitions, mergers or consolidations or pay certain dividends and other restricted payments. The Credit Facility contains the following financial covenants, which are measured quarterly on a trailing four-quarter basis: a maximum total debt to total asset value ratio, a maximum senior secured debt to total asset value ratio, a maximum ratio of certain recourse debt to</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130" w:right="27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unencumbered asset value and a minimum fixed charge coverage ratio. In addition, GLPI is required to maintain a minimum tangible net worth and its status as a REIT on and after the effective date of its election to be treated as a REIT, which the Company elected on its 2014 U.S. federal income tax return. GLPI is permitted to pay dividends to its shareholders as may be required in order to maintain REIT status, subject to the absence of payment or bankruptcy defaults. GLPI is also permitted to make other dividends and distributions subject to pro forma compliance with the financial covenants and the absence of defaults. The Credit Facility also contains certain customary affirmative covenants and events of default, including the occurrence of a change of control and termination of the Penn Master Lease (subject to certain replacement rights). The occurrence and continuance of an event of default under the Credit Facility will enable the lenders under the Credit Facility to accelerate the loans and terminate the commitments thereunder. At March 31, 2017, the Company was in compliance with all required financial covenants under the Credit Facility.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Notes</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Each of the 4.375% Senior Unsecured Notes due 2018 (the "2018 Notes"), 4.875% Senior Unsecured Notes due 2020 (the "2020 Notes"), 4.375% Senior Unsecured Notes due 2021 (the "2021 Notes"), 5.375% Senior Unsecured Notes due 2023 (the "2023 Notes"), and 5.375% Senior Unsecured Notes due 2026 (the "2026 Notes") and collectively with the 2018 Notes, 2020 Notes, 2021 Notes and 2023 Notes, the "Notes") contain covenants limiting the Company’s ability to: incur additional debt and use its assets to secure debt; merge or consolidate with another company; and make certain amendments to the Penn Master Lease. The Notes also require the Company to maintain a specified ratio of unencumbered assets to unsecured debt. These covenants are subject to a number of important and significant limitations, qualifications and exceptions.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March 31, 2017, the Company was in compliance with all required financial covenants under the Notes.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Lease</w:t>
      </w:r>
    </w:p>
    <w:p>
      <w:pPr>
        <w:spacing w:after="0" w:line="229"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The Company assumed the capital lease obligation related to certain assets at its Aurora, Illinois property. GLPI recorded the asset and liability associated with the capital lease on its balance sheet. The original term of the capital lease was 30 years and it will terminate in 2026.</w:t>
      </w:r>
    </w:p>
    <w:p>
      <w:pPr>
        <w:spacing w:after="0" w:line="143"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Company is subject to various legal and administrative proceedings relating to personal injuries, employment matters, commercial transactions, and other matters arising in the normal course of business. The Company does not believe that the final outcome of these matters will have a material adverse effect on the Company’s consolidated financial position or results of operations. In addition, the Company maintains what it believes is adequate insurance coverage to further mitigate the risks of such proceedings. However, such proceedings can be costly, time consuming, and unpredictable and, therefore, no assurance can be given that the final outcome of such proceedings may not materially impact the Company’s financial condition or results of operations. Further, no assurance can be given that the amount or scope of existing insurance coverage will be sufficient to cover losses arising from such matters.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Revenue Recognition</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As of March 31, 2017, 18 of the Company’s real estate investment properties were leased to a subsidiary of Penn under the Penn Master Lease and 14 of the Company's real estate investment properties were leased to a subsidiary of Pinnacle under the Pinnacle Master Lease. The obligations under the Penn and Pinnacle Master Leases are guaranteed by Penn and Pinnacle, respectively and by most Penn's and Pinnacle's subsidiaries that occupy and operate the facilities leased under the respective Master Leases. A default by Penn or its subsidiaries with regard to any facility will cause a default with regard to the Penn Master Lease and a default by Pinnacle or its subsidiaries with regard to any facility will cause a default with regard to the Pinnacle Master Lease. Additionally, the Meadows real estate assets are leased to Pinnacle under a single property triple-net lease separate from the Pinnacle Master Lease. GLPI also leases the Casino Queen property back to its operator on a triple-net basis on terms similar to those in the Master Leases (the "Casino Queen Lease").</w:t>
      </w:r>
    </w:p>
    <w:p>
      <w:pPr>
        <w:spacing w:after="0" w:line="16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rent structure under the Penn Master Lease includes a fixed component, a portion of which is subject to an annual 2% escalator if certain rent coverage ratio thresholds are met, and a component that is based on the performance of the facilities, which is adjusted, subject to certain floors (i) every five years to an amount equal to 4% of the average net revenues of all facilities under the Penn Master Lease (other than Hollywood Casino Columbus and Hollywood Casino Toledo) during</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30"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preceding five years, and (ii) monthly by an amount equal to 20% of the change in net revenues of Hollywood Casino Columbus and Hollywood Casino Toledo during the preceding month.</w:t>
      </w:r>
    </w:p>
    <w:p>
      <w:pPr>
        <w:spacing w:after="0" w:line="170"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Similar to the Penn Master Lease, the Pinnacle Master Lease also includes a fixed component, a portion of which is subject to an annual 2% escalator if certain rent coverage ratio thresholds are met and a component that is based on the performance of the facilities, which is adjusted, subject to certain floors every two years to an amount equal to 4% of the average annual net revenues of all facilities under the Pinnacle Master Lease during the preceding two years.</w:t>
      </w:r>
    </w:p>
    <w:p>
      <w:pPr>
        <w:spacing w:after="0" w:line="187" w:lineRule="exact"/>
        <w:rPr>
          <w:sz w:val="20"/>
          <w:szCs w:val="20"/>
          <w:color w:val="auto"/>
        </w:rPr>
      </w:pPr>
    </w:p>
    <w:p>
      <w:pPr>
        <w:ind w:firstLine="693"/>
        <w:spacing w:after="0" w:line="293" w:lineRule="auto"/>
        <w:rPr>
          <w:sz w:val="20"/>
          <w:szCs w:val="20"/>
          <w:color w:val="auto"/>
        </w:rPr>
      </w:pPr>
      <w:r>
        <w:rPr>
          <w:rFonts w:ascii="Arial" w:cs="Arial" w:eastAsia="Arial" w:hAnsi="Arial"/>
          <w:sz w:val="16"/>
          <w:szCs w:val="16"/>
          <w:color w:val="auto"/>
        </w:rPr>
        <w:t>GLPI leases the Meadows real property assets to Pinnacle under a triple-net operating lease separate from the Pinnacle Master Lease with an initial term of 10 years with no purchase option and the option to renew for three successive 5-year terms and one 4-year term, at Pinnacle's option (the "Meadows Lease"). The Meadows Lease contains a fixed component, subject to annual escalators, and a component that is based on the performance of the facility, which is reset every two years to a fixed amount determined by multiplying (i) 4% by (ii) the average annual net revenues of the facility for the trailing two year period. The Meadows Lease contains an annual escalator provision for up to 5% of the base rent, if certain rent coverage ratio thresholds are met, which remains at 5% until the earlier of ten years or the year in which total rent is $31 million, at which point the escalator will be reduced to 2% annually thereafter.</w:t>
      </w:r>
    </w:p>
    <w:p>
      <w:pPr>
        <w:spacing w:after="0" w:line="165"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The rent structure under the Casino Queen Lease also includes a fixed component, a portion of which is subject to an annual 2% escalator if certain rent coverage ratio thresholds are met, and a component that is based on the performance of the facility, which is reset every five years to a fixed amount equal to the greater of (i) the annual amount of non-fixed rent applicable for the lease year immediately preceding such rent reset year and (ii) an amount equal to 4% of the average annual net revenues of the facility for the trailing five year period.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to rent, as triple-net lessees, all of the Company's tenants are required to pay the following executory costs: (1) all facility maintenance,</w:t>
      </w:r>
    </w:p>
    <w:p>
      <w:pPr>
        <w:spacing w:after="0" w:line="46" w:lineRule="exact"/>
        <w:rPr>
          <w:sz w:val="20"/>
          <w:szCs w:val="20"/>
          <w:color w:val="auto"/>
        </w:rPr>
      </w:pPr>
    </w:p>
    <w:p>
      <w:pPr>
        <w:ind w:right="40" w:firstLine="8"/>
        <w:spacing w:after="0" w:line="255"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insurance required in connection with the leased properties and the business conducted on the leased properties, (3) taxes levied on or with respect to the leased properties (other than taxes on the income of the lessor) and (4) all utilities and other services necessary or appropriate for the leased properties and the business conducted on the leased properties</w:t>
      </w:r>
    </w:p>
    <w:p>
      <w:pPr>
        <w:spacing w:after="0" w:line="190"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The Company determined, based on facts and circumstances prevailing at the time of each lease's inception, that neither Penn, Pinnacle (excluding the Meadows lease as described below) nor Casino Queen could effectively operate and run their respective business without the properties that are leased to it under the respective lease agreements with GLPI. Furthermore, at lease inception, all of Casino Queen's revenues and substantially all of Penn's and Pinnacle's revenues were generated from operations in connection with the leased properties. There are also various legal restrictions in the jurisdictions in which Penn, Pinnacle and Casino Queen operate that limit the availability and location of gaming facilities, which makes relocation or replacement of the leased gaming facilities restrictive and potentially impracticable or unavailable. Moreover, under the terms of the Penn and Pinnacle Master Leases, Penn and Pinnacle must make their renewal election with respect to all of the leased property together; the tenant is not entitled to selectively renew certain of the leased property while not renewing other property. Accordingly, the Company concluded that failure by Penn, Pinnacle or Casino Queen to renew the lease would impose a significant penalty on such tenant such that renewal of all lease renewal options appears at lease inception to be reasonably assured. Therefore, the Company concluded that the term of the leases with both Penn and Casino Queen is 35 years, equal to the initial 15 year term plus all four of the 5-year renewal options. The lease term of the Pinnacle Master Lease is also 35 years, equal to the initial 10 year term plus all five of the 5-year renewal options.</w:t>
      </w:r>
    </w:p>
    <w:p>
      <w:pPr>
        <w:spacing w:after="0" w:line="180"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As described above, subsequent to purchasing the majority of Pinnacle's real estate assets and leasing them back to Pinnacle, GLPI entered into a separate triple-net lease with Pinnacle to lease the newly acquired Meadows real estate assets to Pinnacle. Because this lease involves only a single property within Pinnacle's portfolio, GLPI concluded it was not reasonably assured at lease inception that Pinnacle would elect to exercise all lease renewal options. The Company concluded that failure by Pinnacle to renew the Meadows lease would not impose a significant penalty on such tenant as this property's operations represent only an incremental portion of Pinnacle's total business at lease inception. Therefore, the Company concluded that the lease term of the Meadows lease is 10 years, equal to the initial 10-year term only.</w:t>
      </w:r>
    </w:p>
    <w:p>
      <w:pPr>
        <w:spacing w:after="0" w:line="178" w:lineRule="exact"/>
        <w:rPr>
          <w:sz w:val="20"/>
          <w:szCs w:val="20"/>
          <w:color w:val="auto"/>
        </w:rPr>
      </w:pPr>
    </w:p>
    <w:p>
      <w:pPr>
        <w:ind w:right="280" w:firstLine="648"/>
        <w:spacing w:after="0" w:line="293" w:lineRule="auto"/>
        <w:rPr>
          <w:sz w:val="20"/>
          <w:szCs w:val="20"/>
          <w:color w:val="auto"/>
        </w:rPr>
      </w:pPr>
      <w:r>
        <w:rPr>
          <w:rFonts w:ascii="Arial" w:cs="Arial" w:eastAsia="Arial" w:hAnsi="Arial"/>
          <w:sz w:val="16"/>
          <w:szCs w:val="16"/>
          <w:color w:val="auto"/>
        </w:rPr>
        <w:t>Gaming revenue generated by the TRS Properties mainly consists of video lottery gaming revenue, and to a lesser extent, table game and poker revenue. Video lottery gaming revenue is the aggregate net difference between gaming wins and losses with liabilities recognized for funds deposited by customers before gaming play occurs, for "ticket-in, ticket-out" coupons in the customers’ possession, and for accruals related to the anticipated payout of progressive jackpots. Progressive slot machines, which contain base jackpots that increase at a progressive rate based on the number of coins played, are charged to revenue as the amount of the jackpots increases. Table game gaming revenue is the aggregate of table drop adjusted for the change in aggregate table chip inventory. Table drop is the total dollar amount of the currency, coins, chips, tokens, outstanding</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30"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counter checks (markers), and front money that are removed from the live gaming tables. Additionally, food and beverage revenue is recognized as services are performed.</w:t>
      </w:r>
    </w:p>
    <w:p>
      <w:pPr>
        <w:spacing w:after="0" w:line="170"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Gaming revenue is recognized net of certain sales incentives in accordance with ASC 605-50, "Revenue Recognition— Customer Payments and Incentives." The Company records certain sales incentives and points earned in point-loyalty programs as a reduction of revenue.</w:t>
      </w:r>
    </w:p>
    <w:p>
      <w:pPr>
        <w:spacing w:after="0" w:line="14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table discloses the components of gaming, food, beverage and other revenue within the condensed consolidated statements of income for the three months ended March 31, 2017 and 2016:</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260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w w:val="94"/>
              </w:rPr>
              <w:t>Three Months Ended March 31,</w:t>
            </w:r>
          </w:p>
        </w:tc>
        <w:tc>
          <w:tcPr>
            <w:tcW w:w="600" w:type="dxa"/>
            <w:vAlign w:val="bottom"/>
            <w:tcBorders>
              <w:bottom w:val="single" w:sz="8" w:color="auto"/>
            </w:tcBorders>
          </w:tcPr>
          <w:p>
            <w:pPr>
              <w:spacing w:after="0"/>
              <w:rPr>
                <w:sz w:val="16"/>
                <w:szCs w:val="16"/>
                <w:color w:val="auto"/>
              </w:rPr>
            </w:pPr>
          </w:p>
        </w:tc>
      </w:tr>
      <w:tr>
        <w:trPr>
          <w:trHeight w:val="264"/>
        </w:trPr>
        <w:tc>
          <w:tcPr>
            <w:tcW w:w="6280" w:type="dxa"/>
            <w:vAlign w:val="bottom"/>
          </w:tcPr>
          <w:p>
            <w:pPr>
              <w:spacing w:after="0"/>
              <w:rPr>
                <w:sz w:val="22"/>
                <w:szCs w:val="22"/>
                <w:color w:val="auto"/>
              </w:rPr>
            </w:pPr>
          </w:p>
        </w:tc>
        <w:tc>
          <w:tcPr>
            <w:tcW w:w="94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w w:val="89"/>
              </w:rPr>
              <w:t>2017</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r>
      <w:tr>
        <w:trPr>
          <w:trHeight w:val="196"/>
        </w:trPr>
        <w:tc>
          <w:tcPr>
            <w:tcW w:w="6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60" w:type="dxa"/>
            <w:vAlign w:val="bottom"/>
            <w:gridSpan w:val="3"/>
          </w:tcPr>
          <w:p>
            <w:pPr>
              <w:jc w:val="right"/>
              <w:ind w:right="456"/>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7"/>
                <w:szCs w:val="17"/>
                <w:color w:val="auto"/>
              </w:rPr>
            </w:pPr>
          </w:p>
        </w:tc>
      </w:tr>
      <w:tr>
        <w:trPr>
          <w:trHeight w:val="256"/>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Video lottery</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31,698</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30,353</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Table game</w:t>
            </w:r>
          </w:p>
        </w:tc>
        <w:tc>
          <w:tcPr>
            <w:tcW w:w="9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4,803</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4,716</w:t>
            </w:r>
          </w:p>
        </w:tc>
      </w:tr>
      <w:tr>
        <w:trPr>
          <w:trHeight w:val="27"/>
        </w:trPr>
        <w:tc>
          <w:tcPr>
            <w:tcW w:w="6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Poker</w:t>
            </w: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Food, beverage and other</w:t>
            </w:r>
          </w:p>
        </w:tc>
        <w:tc>
          <w:tcPr>
            <w:tcW w:w="9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2,445</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2,776</w:t>
            </w:r>
          </w:p>
        </w:tc>
      </w:tr>
      <w:tr>
        <w:trPr>
          <w:trHeight w:val="27"/>
        </w:trPr>
        <w:tc>
          <w:tcPr>
            <w:tcW w:w="62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7"/>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gaming, food, beverage and other revenue, net of cash incentives</w:t>
            </w: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39,260</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38,159</w:t>
            </w:r>
          </w:p>
        </w:tc>
      </w:tr>
      <w:tr>
        <w:trPr>
          <w:trHeight w:val="20"/>
        </w:trPr>
        <w:tc>
          <w:tcPr>
            <w:tcW w:w="6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retail value of food and beverage and other services furnished to guests without charge is included in gross revenues and then deducted as promotional allowances.</w:t>
      </w:r>
    </w:p>
    <w:p>
      <w:pPr>
        <w:spacing w:after="0" w:line="166"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During 2016, the Company commenced a continuous equity offering under which the Company may sell up to an aggregate of $400 million of its common stock from time to time through a sales agent in “at the market” offerings (the “ATM Program”). Actual sales will depend on a variety of factors, including market conditions, the trading price of the Company's common stock and determinations of the appropriate sources of funding for proposed transactions. The Company may sell the shares in amounts and at times to be determined by the Company, but has no obligation to sell any of the shares in the ATM Program. The ATM Program also allows the Company to enter into forward sale agreements. In no event will the aggregate number of shares sold under the ATM Program (whether under any forward sale agreement or through a sales agent), have an aggregate sales price in excess of $400 million. The Company expects, that if it enters into a forward sale contract, to physically settle each forward sale agreement with the forward purchaser on one or more dates specified by the Company prior to the maturity date of that particular forward sale agreement, in which case the aggregate net cash proceeds at settlement will equal the number of shares underlying the particular forward sale agreement multiplied by the relevant forward sale price. However, the Company may also elect to cash settle or net share settle a particular forward sale agreement, in which case proceeds may or may not be received or cash may be owed to the forward purchaser.</w:t>
      </w:r>
    </w:p>
    <w:p>
      <w:pPr>
        <w:spacing w:after="0" w:line="183"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In connection with the ATM Program, the Company engaged a sales agent who may receive compensation of up to 2% of the gross sales price of the shares sold. Similarly, in the event the Company enters into a forward sale agreement, it will pay the relevant forward seller a commission of up to 2% of the sales price of all borrowed shares of common stock sold during the applicable selling period of the forward sale agreement.</w:t>
      </w:r>
    </w:p>
    <w:p>
      <w:pPr>
        <w:spacing w:after="0" w:line="1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Through March 31, 2017, GLPI sold 1,321,999 shares of its common stock at an average price of $35.00 per share under the ATM Program, which generated gross proceeds of approximately $46.3 million (net proceeds of approximately $45.5 million). The Company used the net proceeds from the ATM Program to partially fund its acquisition of the Meadows real estate assets. As of March 31, 2017, the Company had $353.7 million remaining for issuance under the ATM Program and had not entered into any forward sale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30"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lists the dividends declared and paid by the Company during the three months ended March 31, 2017 and 2016: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w w:val="91"/>
              </w:rPr>
              <w:t>Shareholder Record</w:t>
            </w: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w w:val="88"/>
              </w:rPr>
              <w:t>Securities</w:t>
            </w:r>
          </w:p>
        </w:tc>
        <w:tc>
          <w:tcPr>
            <w:tcW w:w="1120" w:type="dxa"/>
            <w:vAlign w:val="bottom"/>
            <w:gridSpan w:val="3"/>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w w:val="91"/>
              </w:rPr>
              <w:t>Dividend Per</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Declaration Date</w:t>
            </w:r>
          </w:p>
        </w:tc>
        <w:tc>
          <w:tcPr>
            <w:tcW w:w="1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w w:val="92"/>
              </w:rPr>
              <w:t>Date</w:t>
            </w:r>
          </w:p>
        </w:tc>
        <w:tc>
          <w:tcPr>
            <w:tcW w:w="11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b w:val="1"/>
                <w:bCs w:val="1"/>
                <w:color w:val="auto"/>
                <w:w w:val="88"/>
              </w:rPr>
              <w:t>Class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6"/>
                <w:szCs w:val="16"/>
                <w:b w:val="1"/>
                <w:bCs w:val="1"/>
                <w:color w:val="auto"/>
                <w:w w:val="89"/>
              </w:rPr>
              <w:t>Share</w:t>
            </w:r>
          </w:p>
        </w:tc>
        <w:tc>
          <w:tcPr>
            <w:tcW w:w="1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b w:val="1"/>
                <w:bCs w:val="1"/>
                <w:color w:val="auto"/>
              </w:rPr>
              <w:t>Period Covered</w:t>
            </w:r>
          </w:p>
        </w:tc>
        <w:tc>
          <w:tcPr>
            <w:tcW w:w="18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b w:val="1"/>
                <w:bCs w:val="1"/>
                <w:color w:val="auto"/>
              </w:rPr>
              <w:t>Distribution Date</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Dividend Amount</w:t>
            </w:r>
          </w:p>
        </w:tc>
      </w:tr>
      <w:tr>
        <w:trPr>
          <w:trHeight w:val="231"/>
        </w:trPr>
        <w:tc>
          <w:tcPr>
            <w:tcW w:w="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0"/>
              </w:rPr>
              <w:t>(in thousands)</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8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2017</w:t>
            </w:r>
          </w:p>
        </w:tc>
        <w:tc>
          <w:tcPr>
            <w:tcW w:w="12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0"/>
        </w:trPr>
        <w:tc>
          <w:tcPr>
            <w:tcW w:w="4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7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7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gridSpan w:val="2"/>
          </w:tcPr>
          <w:p>
            <w:pPr>
              <w:jc w:val="center"/>
              <w:ind w:right="120"/>
              <w:spacing w:after="0"/>
              <w:rPr>
                <w:sz w:val="20"/>
                <w:szCs w:val="20"/>
                <w:color w:val="auto"/>
              </w:rPr>
            </w:pPr>
            <w:r>
              <w:rPr>
                <w:rFonts w:ascii="Arial" w:cs="Arial" w:eastAsia="Arial" w:hAnsi="Arial"/>
                <w:sz w:val="16"/>
                <w:szCs w:val="16"/>
                <w:color w:val="auto"/>
                <w:w w:val="92"/>
              </w:rPr>
              <w:t>Common</w:t>
            </w:r>
          </w:p>
        </w:tc>
        <w:tc>
          <w:tcPr>
            <w:tcW w:w="20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7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200" w:type="dxa"/>
            <w:vAlign w:val="bottom"/>
            <w:tcBorders>
              <w:top w:val="single" w:sz="8" w:color="CCEEFF"/>
            </w:tcBorders>
          </w:tcPr>
          <w:p>
            <w:pPr>
              <w:spacing w:after="0"/>
              <w:rPr>
                <w:sz w:val="19"/>
                <w:szCs w:val="19"/>
                <w:color w:val="auto"/>
              </w:rPr>
            </w:pPr>
          </w:p>
        </w:tc>
      </w:tr>
      <w:tr>
        <w:trPr>
          <w:trHeight w:val="206"/>
        </w:trPr>
        <w:tc>
          <w:tcPr>
            <w:tcW w:w="2200" w:type="dxa"/>
            <w:vAlign w:val="bottom"/>
            <w:gridSpan w:val="4"/>
          </w:tcPr>
          <w:p>
            <w:pPr>
              <w:ind w:left="40"/>
              <w:spacing w:after="0"/>
              <w:rPr>
                <w:sz w:val="20"/>
                <w:szCs w:val="20"/>
                <w:color w:val="auto"/>
              </w:rPr>
            </w:pPr>
            <w:r>
              <w:rPr>
                <w:rFonts w:ascii="Arial" w:cs="Arial" w:eastAsia="Arial" w:hAnsi="Arial"/>
                <w:sz w:val="16"/>
                <w:szCs w:val="16"/>
                <w:color w:val="auto"/>
              </w:rPr>
              <w:t>February 1, 2017</w:t>
            </w:r>
          </w:p>
        </w:tc>
        <w:tc>
          <w:tcPr>
            <w:tcW w:w="1840" w:type="dxa"/>
            <w:vAlign w:val="bottom"/>
            <w:gridSpan w:val="2"/>
          </w:tcPr>
          <w:p>
            <w:pPr>
              <w:ind w:left="20"/>
              <w:spacing w:after="0"/>
              <w:rPr>
                <w:sz w:val="20"/>
                <w:szCs w:val="20"/>
                <w:color w:val="auto"/>
              </w:rPr>
            </w:pPr>
            <w:r>
              <w:rPr>
                <w:rFonts w:ascii="Arial" w:cs="Arial" w:eastAsia="Arial" w:hAnsi="Arial"/>
                <w:sz w:val="16"/>
                <w:szCs w:val="16"/>
                <w:color w:val="auto"/>
              </w:rPr>
              <w:t>March 13, 2017</w:t>
            </w: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color w:val="auto"/>
                <w:w w:val="94"/>
              </w:rPr>
              <w:t>Stock</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0.62</w:t>
            </w:r>
          </w:p>
        </w:tc>
        <w:tc>
          <w:tcPr>
            <w:tcW w:w="100" w:type="dxa"/>
            <w:vAlign w:val="bottom"/>
          </w:tcPr>
          <w:p>
            <w:pPr>
              <w:spacing w:after="0"/>
              <w:rPr>
                <w:sz w:val="17"/>
                <w:szCs w:val="17"/>
                <w:color w:val="auto"/>
              </w:rPr>
            </w:pPr>
          </w:p>
        </w:tc>
        <w:tc>
          <w:tcPr>
            <w:tcW w:w="1940" w:type="dxa"/>
            <w:vAlign w:val="bottom"/>
            <w:gridSpan w:val="2"/>
          </w:tcPr>
          <w:p>
            <w:pPr>
              <w:ind w:left="40"/>
              <w:spacing w:after="0"/>
              <w:rPr>
                <w:sz w:val="20"/>
                <w:szCs w:val="20"/>
                <w:color w:val="auto"/>
              </w:rPr>
            </w:pPr>
            <w:r>
              <w:rPr>
                <w:rFonts w:ascii="Arial" w:cs="Arial" w:eastAsia="Arial" w:hAnsi="Arial"/>
                <w:sz w:val="16"/>
                <w:szCs w:val="16"/>
                <w:color w:val="auto"/>
              </w:rPr>
              <w:t>First Quarter 2017</w:t>
            </w:r>
          </w:p>
        </w:tc>
        <w:tc>
          <w:tcPr>
            <w:tcW w:w="1800" w:type="dxa"/>
            <w:vAlign w:val="bottom"/>
            <w:gridSpan w:val="2"/>
          </w:tcPr>
          <w:p>
            <w:pPr>
              <w:ind w:left="20"/>
              <w:spacing w:after="0"/>
              <w:rPr>
                <w:sz w:val="20"/>
                <w:szCs w:val="20"/>
                <w:color w:val="auto"/>
              </w:rPr>
            </w:pPr>
            <w:r>
              <w:rPr>
                <w:rFonts w:ascii="Arial" w:cs="Arial" w:eastAsia="Arial" w:hAnsi="Arial"/>
                <w:sz w:val="16"/>
                <w:szCs w:val="16"/>
                <w:color w:val="auto"/>
              </w:rPr>
              <w:t>March 24, 2017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129,007</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03"/>
        </w:trPr>
        <w:tc>
          <w:tcPr>
            <w:tcW w:w="2080" w:type="dxa"/>
            <w:vAlign w:val="bottom"/>
            <w:gridSpan w:val="3"/>
          </w:tcPr>
          <w:p>
            <w:pPr>
              <w:ind w:left="40"/>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20"/>
        </w:trPr>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Common</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06"/>
        </w:trPr>
        <w:tc>
          <w:tcPr>
            <w:tcW w:w="220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January 29, 2016</w:t>
            </w:r>
          </w:p>
        </w:tc>
        <w:tc>
          <w:tcPr>
            <w:tcW w:w="1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February 22, 2016</w:t>
            </w:r>
          </w:p>
        </w:tc>
        <w:tc>
          <w:tcPr>
            <w:tcW w:w="116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4"/>
              </w:rPr>
              <w:t>Stock</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0.56</w:t>
            </w:r>
          </w:p>
        </w:tc>
        <w:tc>
          <w:tcPr>
            <w:tcW w:w="10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First Quarter 2016</w:t>
            </w: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March 25, 2016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65,345</w:t>
            </w:r>
          </w:p>
        </w:tc>
      </w:tr>
      <w:tr>
        <w:trPr>
          <w:trHeight w:val="33"/>
        </w:trPr>
        <w:tc>
          <w:tcPr>
            <w:tcW w:w="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In addition for both the three months ended March 31, 2017 and 2016, dividend payments were made to GLPI restricted stock award holders in the amount of $0.3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27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Consistent with how the Company’s Chief Operating Decision Maker reviews and assesses the Company’s financial performance, the Company has two reportable segments, GLP Capital, L.P. (a wholly-owned subsidiary of GLPI through which GLPI owns substantially all of its assets) ("GLP Capital") and the TRS Properties. The GLP Capital reportable segment consists of the leased real property and represents the majority of the Company’s business. The TRS Properties reportable segment consists of Hollywood Casino Perryville and Hollywood Casino Baton Rouge.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certain information with respect to the Company’s segments.</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gridSpan w:val="5"/>
          </w:tcPr>
          <w:p>
            <w:pPr>
              <w:ind w:left="40"/>
              <w:spacing w:after="0"/>
              <w:rPr>
                <w:sz w:val="20"/>
                <w:szCs w:val="20"/>
                <w:color w:val="auto"/>
              </w:rPr>
            </w:pPr>
            <w:r>
              <w:rPr>
                <w:rFonts w:ascii="Arial" w:cs="Arial" w:eastAsia="Arial" w:hAnsi="Arial"/>
                <w:sz w:val="11"/>
                <w:szCs w:val="11"/>
                <w:b w:val="1"/>
                <w:bCs w:val="1"/>
                <w:color w:val="auto"/>
              </w:rPr>
              <w:t>Three Months Ended March 31, 2017</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gridSpan w:val="5"/>
          </w:tcPr>
          <w:p>
            <w:pPr>
              <w:ind w:left="100"/>
              <w:spacing w:after="0"/>
              <w:rPr>
                <w:sz w:val="20"/>
                <w:szCs w:val="20"/>
                <w:color w:val="auto"/>
              </w:rPr>
            </w:pPr>
            <w:r>
              <w:rPr>
                <w:rFonts w:ascii="Arial" w:cs="Arial" w:eastAsia="Arial" w:hAnsi="Arial"/>
                <w:sz w:val="11"/>
                <w:szCs w:val="11"/>
                <w:b w:val="1"/>
                <w:bCs w:val="1"/>
                <w:color w:val="auto"/>
              </w:rPr>
              <w:t>Three Months Ended March 31, 2016</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254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2540" w:type="dxa"/>
            <w:vAlign w:val="bottom"/>
            <w:gridSpan w:val="2"/>
          </w:tcPr>
          <w:p>
            <w:pPr>
              <w:ind w:left="40"/>
              <w:spacing w:after="0"/>
              <w:rPr>
                <w:sz w:val="20"/>
                <w:szCs w:val="20"/>
                <w:color w:val="auto"/>
              </w:rPr>
            </w:pPr>
            <w:r>
              <w:rPr>
                <w:rFonts w:ascii="Arial" w:cs="Arial" w:eastAsia="Arial" w:hAnsi="Arial"/>
                <w:sz w:val="11"/>
                <w:szCs w:val="11"/>
                <w:b w:val="1"/>
                <w:bCs w:val="1"/>
                <w:color w:val="auto"/>
              </w:rPr>
              <w:t>(in thousands)</w:t>
            </w:r>
          </w:p>
        </w:tc>
        <w:tc>
          <w:tcPr>
            <w:tcW w:w="160" w:type="dxa"/>
            <w:vAlign w:val="bottom"/>
          </w:tcPr>
          <w:p>
            <w:pPr>
              <w:spacing w:after="0"/>
              <w:rPr>
                <w:sz w:val="21"/>
                <w:szCs w:val="21"/>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GLP Capital</w:t>
            </w:r>
          </w:p>
        </w:tc>
        <w:tc>
          <w:tcPr>
            <w:tcW w:w="140" w:type="dxa"/>
            <w:vAlign w:val="bottom"/>
          </w:tcPr>
          <w:p>
            <w:pPr>
              <w:spacing w:after="0"/>
              <w:rPr>
                <w:sz w:val="21"/>
                <w:szCs w:val="2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TRS Properties</w:t>
            </w:r>
          </w:p>
        </w:tc>
        <w:tc>
          <w:tcPr>
            <w:tcW w:w="120" w:type="dxa"/>
            <w:vAlign w:val="bottom"/>
          </w:tcPr>
          <w:p>
            <w:pPr>
              <w:spacing w:after="0"/>
              <w:rPr>
                <w:sz w:val="21"/>
                <w:szCs w:val="21"/>
                <w:color w:val="auto"/>
              </w:rPr>
            </w:pPr>
          </w:p>
        </w:tc>
        <w:tc>
          <w:tcPr>
            <w:tcW w:w="1040" w:type="dxa"/>
            <w:vAlign w:val="bottom"/>
            <w:gridSpan w:val="2"/>
          </w:tcPr>
          <w:p>
            <w:pPr>
              <w:ind w:left="60"/>
              <w:spacing w:after="0"/>
              <w:rPr>
                <w:sz w:val="20"/>
                <w:szCs w:val="20"/>
                <w:color w:val="auto"/>
              </w:rPr>
            </w:pPr>
            <w:r>
              <w:rPr>
                <w:rFonts w:ascii="Arial" w:cs="Arial" w:eastAsia="Arial" w:hAnsi="Arial"/>
                <w:sz w:val="11"/>
                <w:szCs w:val="11"/>
                <w:b w:val="1"/>
                <w:bCs w:val="1"/>
                <w:color w:val="auto"/>
              </w:rPr>
              <w:t xml:space="preserve">Eliminations </w:t>
            </w:r>
            <w:r>
              <w:rPr>
                <w:rFonts w:ascii="Arial" w:cs="Arial" w:eastAsia="Arial" w:hAnsi="Arial"/>
                <w:sz w:val="8"/>
                <w:szCs w:val="8"/>
                <w:b w:val="1"/>
                <w:bCs w:val="1"/>
                <w:color w:val="auto"/>
              </w:rPr>
              <w:t>(1)</w:t>
            </w:r>
          </w:p>
        </w:tc>
        <w:tc>
          <w:tcPr>
            <w:tcW w:w="200" w:type="dxa"/>
            <w:vAlign w:val="bottom"/>
          </w:tcPr>
          <w:p>
            <w:pPr>
              <w:spacing w:after="0"/>
              <w:rPr>
                <w:sz w:val="21"/>
                <w:szCs w:val="21"/>
                <w:color w:val="auto"/>
              </w:rPr>
            </w:pPr>
          </w:p>
        </w:tc>
        <w:tc>
          <w:tcPr>
            <w:tcW w:w="800" w:type="dxa"/>
            <w:vAlign w:val="bottom"/>
            <w:gridSpan w:val="2"/>
          </w:tcPr>
          <w:p>
            <w:pPr>
              <w:ind w:left="140"/>
              <w:spacing w:after="0"/>
              <w:rPr>
                <w:sz w:val="20"/>
                <w:szCs w:val="20"/>
                <w:color w:val="auto"/>
              </w:rPr>
            </w:pPr>
            <w:r>
              <w:rPr>
                <w:rFonts w:ascii="Arial" w:cs="Arial" w:eastAsia="Arial" w:hAnsi="Arial"/>
                <w:sz w:val="11"/>
                <w:szCs w:val="11"/>
                <w:b w:val="1"/>
                <w:bCs w:val="1"/>
                <w:color w:val="auto"/>
              </w:rPr>
              <w:t>Total</w:t>
            </w:r>
          </w:p>
        </w:tc>
        <w:tc>
          <w:tcPr>
            <w:tcW w:w="140" w:type="dxa"/>
            <w:vAlign w:val="bottom"/>
          </w:tcPr>
          <w:p>
            <w:pPr>
              <w:spacing w:after="0"/>
              <w:rPr>
                <w:sz w:val="21"/>
                <w:szCs w:val="21"/>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GLP Capital</w:t>
            </w:r>
          </w:p>
        </w:tc>
        <w:tc>
          <w:tcPr>
            <w:tcW w:w="120" w:type="dxa"/>
            <w:vAlign w:val="bottom"/>
          </w:tcPr>
          <w:p>
            <w:pPr>
              <w:spacing w:after="0"/>
              <w:rPr>
                <w:sz w:val="21"/>
                <w:szCs w:val="2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TRS Properties</w:t>
            </w:r>
          </w:p>
        </w:tc>
        <w:tc>
          <w:tcPr>
            <w:tcW w:w="120" w:type="dxa"/>
            <w:vAlign w:val="bottom"/>
          </w:tcPr>
          <w:p>
            <w:pPr>
              <w:spacing w:after="0"/>
              <w:rPr>
                <w:sz w:val="21"/>
                <w:szCs w:val="2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 xml:space="preserve">Eliminations </w:t>
            </w:r>
            <w:r>
              <w:rPr>
                <w:rFonts w:ascii="Arial" w:cs="Arial" w:eastAsia="Arial" w:hAnsi="Arial"/>
                <w:sz w:val="8"/>
                <w:szCs w:val="8"/>
                <w:b w:val="1"/>
                <w:bCs w:val="1"/>
                <w:color w:val="auto"/>
              </w:rPr>
              <w:t>(1)</w:t>
            </w:r>
          </w:p>
        </w:tc>
        <w:tc>
          <w:tcPr>
            <w:tcW w:w="240" w:type="dxa"/>
            <w:vAlign w:val="bottom"/>
          </w:tcPr>
          <w:p>
            <w:pPr>
              <w:spacing w:after="0"/>
              <w:rPr>
                <w:sz w:val="21"/>
                <w:szCs w:val="21"/>
                <w:color w:val="auto"/>
              </w:rPr>
            </w:pPr>
          </w:p>
        </w:tc>
        <w:tc>
          <w:tcPr>
            <w:tcW w:w="780" w:type="dxa"/>
            <w:vAlign w:val="bottom"/>
          </w:tcPr>
          <w:p>
            <w:pPr>
              <w:jc w:val="right"/>
              <w:ind w:right="326"/>
              <w:spacing w:after="0"/>
              <w:rPr>
                <w:sz w:val="20"/>
                <w:szCs w:val="20"/>
                <w:color w:val="auto"/>
              </w:rPr>
            </w:pPr>
            <w:r>
              <w:rPr>
                <w:rFonts w:ascii="Arial" w:cs="Arial" w:eastAsia="Arial" w:hAnsi="Arial"/>
                <w:sz w:val="11"/>
                <w:szCs w:val="11"/>
                <w:b w:val="1"/>
                <w:bCs w:val="1"/>
                <w:color w:val="auto"/>
              </w:rPr>
              <w:t>Total</w:t>
            </w:r>
          </w:p>
        </w:tc>
      </w:tr>
      <w:tr>
        <w:trPr>
          <w:trHeight w:val="22"/>
        </w:trPr>
        <w:tc>
          <w:tcPr>
            <w:tcW w:w="2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Net revenues</w:t>
            </w: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204,705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38,008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242,713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112,042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36,778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148,820</w:t>
            </w:r>
          </w:p>
        </w:tc>
      </w:tr>
      <w:tr>
        <w:trPr>
          <w:trHeight w:val="248"/>
        </w:trPr>
        <w:tc>
          <w:tcPr>
            <w:tcW w:w="2540" w:type="dxa"/>
            <w:vAlign w:val="bottom"/>
            <w:gridSpan w:val="2"/>
          </w:tcPr>
          <w:p>
            <w:pPr>
              <w:ind w:left="40"/>
              <w:spacing w:after="0"/>
              <w:rPr>
                <w:sz w:val="20"/>
                <w:szCs w:val="20"/>
                <w:color w:val="auto"/>
              </w:rPr>
            </w:pPr>
            <w:r>
              <w:rPr>
                <w:rFonts w:ascii="Arial" w:cs="Arial" w:eastAsia="Arial" w:hAnsi="Arial"/>
                <w:sz w:val="11"/>
                <w:szCs w:val="11"/>
                <w:color w:val="auto"/>
              </w:rPr>
              <w:t>Income from operations</w:t>
            </w:r>
          </w:p>
        </w:tc>
        <w:tc>
          <w:tcPr>
            <w:tcW w:w="16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142,034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7,972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150,006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60,770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6,867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67,637</w:t>
            </w:r>
          </w:p>
        </w:tc>
      </w:tr>
      <w:tr>
        <w:trPr>
          <w:trHeight w:val="22"/>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Interest, net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53,486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(2,601)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53,485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32,884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2,601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(2,601)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32,884</w:t>
            </w:r>
          </w:p>
        </w:tc>
      </w:tr>
      <w:tr>
        <w:trPr>
          <w:trHeight w:val="248"/>
        </w:trPr>
        <w:tc>
          <w:tcPr>
            <w:tcW w:w="2540" w:type="dxa"/>
            <w:vAlign w:val="bottom"/>
            <w:gridSpan w:val="2"/>
          </w:tcPr>
          <w:p>
            <w:pPr>
              <w:ind w:left="40"/>
              <w:spacing w:after="0"/>
              <w:rPr>
                <w:sz w:val="20"/>
                <w:szCs w:val="20"/>
                <w:color w:val="auto"/>
              </w:rPr>
            </w:pPr>
            <w:r>
              <w:rPr>
                <w:rFonts w:ascii="Arial" w:cs="Arial" w:eastAsia="Arial" w:hAnsi="Arial"/>
                <w:sz w:val="11"/>
                <w:szCs w:val="11"/>
                <w:color w:val="auto"/>
              </w:rPr>
              <w:t>Income before income taxes</w:t>
            </w:r>
          </w:p>
        </w:tc>
        <w:tc>
          <w:tcPr>
            <w:tcW w:w="16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91,149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5,372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96,521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30,487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4,266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34,753</w:t>
            </w:r>
          </w:p>
        </w:tc>
      </w:tr>
      <w:tr>
        <w:trPr>
          <w:trHeight w:val="22"/>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Income tax expense</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2,004</w:t>
            </w:r>
          </w:p>
        </w:tc>
      </w:tr>
      <w:tr>
        <w:trPr>
          <w:trHeight w:val="248"/>
        </w:trPr>
        <w:tc>
          <w:tcPr>
            <w:tcW w:w="2540" w:type="dxa"/>
            <w:vAlign w:val="bottom"/>
            <w:gridSpan w:val="2"/>
          </w:tcPr>
          <w:p>
            <w:pPr>
              <w:ind w:left="40"/>
              <w:spacing w:after="0"/>
              <w:rPr>
                <w:sz w:val="20"/>
                <w:szCs w:val="20"/>
                <w:color w:val="auto"/>
              </w:rPr>
            </w:pPr>
            <w:r>
              <w:rPr>
                <w:rFonts w:ascii="Arial" w:cs="Arial" w:eastAsia="Arial" w:hAnsi="Arial"/>
                <w:sz w:val="11"/>
                <w:szCs w:val="11"/>
                <w:color w:val="auto"/>
              </w:rPr>
              <w:t>Net income</w:t>
            </w:r>
          </w:p>
        </w:tc>
        <w:tc>
          <w:tcPr>
            <w:tcW w:w="16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90,779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3,212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93,991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30,101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2,648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32,749</w:t>
            </w:r>
          </w:p>
        </w:tc>
      </w:tr>
      <w:tr>
        <w:trPr>
          <w:trHeight w:val="22"/>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Depreciation</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25,424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28,257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24,212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2,871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27,083</w:t>
            </w:r>
          </w:p>
        </w:tc>
      </w:tr>
      <w:tr>
        <w:trPr>
          <w:trHeight w:val="248"/>
        </w:trPr>
        <w:tc>
          <w:tcPr>
            <w:tcW w:w="2540" w:type="dxa"/>
            <w:vAlign w:val="bottom"/>
            <w:gridSpan w:val="2"/>
          </w:tcPr>
          <w:p>
            <w:pPr>
              <w:ind w:left="40"/>
              <w:spacing w:after="0"/>
              <w:rPr>
                <w:sz w:val="20"/>
                <w:szCs w:val="20"/>
                <w:color w:val="auto"/>
              </w:rPr>
            </w:pPr>
            <w:r>
              <w:rPr>
                <w:rFonts w:ascii="Arial" w:cs="Arial" w:eastAsia="Arial" w:hAnsi="Arial"/>
                <w:sz w:val="11"/>
                <w:szCs w:val="11"/>
                <w:color w:val="auto"/>
              </w:rPr>
              <w:t>Capital project expenditures</w:t>
            </w:r>
          </w:p>
        </w:tc>
        <w:tc>
          <w:tcPr>
            <w:tcW w:w="16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164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101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265</w:t>
            </w:r>
          </w:p>
        </w:tc>
      </w:tr>
      <w:tr>
        <w:trPr>
          <w:trHeight w:val="22"/>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48"/>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Capital maintenance expenditures</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482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482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362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362</w:t>
            </w:r>
          </w:p>
        </w:tc>
      </w:tr>
      <w:tr>
        <w:trPr>
          <w:trHeight w:val="22"/>
        </w:trPr>
        <w:tc>
          <w:tcPr>
            <w:tcW w:w="2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bl>
    <w:p>
      <w:pPr>
        <w:spacing w:after="0" w:line="220" w:lineRule="exact"/>
        <w:rPr>
          <w:sz w:val="20"/>
          <w:szCs w:val="20"/>
          <w:color w:val="auto"/>
        </w:rPr>
      </w:pPr>
    </w:p>
    <w:p>
      <w:pPr>
        <w:ind w:right="340" w:firstLine="332"/>
        <w:spacing w:after="0" w:line="363" w:lineRule="auto"/>
        <w:tabs>
          <w:tab w:leader="none" w:pos="671" w:val="left"/>
        </w:tabs>
        <w:numPr>
          <w:ilvl w:val="1"/>
          <w:numId w:val="12"/>
        </w:numPr>
        <w:rPr>
          <w:rFonts w:ascii="Arial" w:cs="Arial" w:eastAsia="Arial" w:hAnsi="Arial"/>
          <w:sz w:val="11"/>
          <w:szCs w:val="11"/>
          <w:color w:val="auto"/>
        </w:rPr>
      </w:pPr>
      <w:r>
        <w:rPr>
          <w:rFonts w:ascii="Arial" w:cs="Arial" w:eastAsia="Arial" w:hAnsi="Arial"/>
          <w:sz w:val="16"/>
          <w:szCs w:val="16"/>
          <w:color w:val="auto"/>
        </w:rPr>
        <w:t>Amounts in the "Eliminations" column represent the elimination of intercompany interest payments from the Company’s TRS Properties business segment to its GLP Capital business segment.</w:t>
      </w:r>
    </w:p>
    <w:p>
      <w:pPr>
        <w:spacing w:after="0" w:line="83" w:lineRule="exact"/>
        <w:rPr>
          <w:rFonts w:ascii="Arial" w:cs="Arial" w:eastAsia="Arial" w:hAnsi="Arial"/>
          <w:sz w:val="11"/>
          <w:szCs w:val="11"/>
          <w:color w:val="auto"/>
        </w:rPr>
      </w:pPr>
    </w:p>
    <w:p>
      <w:pPr>
        <w:ind w:left="360" w:hanging="352"/>
        <w:spacing w:after="0"/>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Disclosures of Cash Flow Information</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disclosures of cash flow information are as follows:</w:t>
      </w:r>
    </w:p>
    <w:p>
      <w:pPr>
        <w:spacing w:after="0" w:line="163" w:lineRule="exact"/>
        <w:rPr>
          <w:sz w:val="20"/>
          <w:szCs w:val="20"/>
          <w:color w:val="auto"/>
        </w:rPr>
      </w:pPr>
    </w:p>
    <w:tbl>
      <w:tblPr>
        <w:tblLayout w:type="fixed"/>
        <w:tblInd w:w="154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2500" w:type="dxa"/>
            <w:vAlign w:val="bottom"/>
            <w:tcBorders>
              <w:bottom w:val="single" w:sz="8" w:color="auto"/>
            </w:tcBorders>
            <w:gridSpan w:val="3"/>
          </w:tcPr>
          <w:p>
            <w:pPr>
              <w:jc w:val="center"/>
              <w:ind w:left="442"/>
              <w:spacing w:after="0"/>
              <w:rPr>
                <w:sz w:val="20"/>
                <w:szCs w:val="20"/>
                <w:color w:val="auto"/>
              </w:rPr>
            </w:pPr>
            <w:r>
              <w:rPr>
                <w:rFonts w:ascii="Arial" w:cs="Arial" w:eastAsia="Arial" w:hAnsi="Arial"/>
                <w:sz w:val="14"/>
                <w:szCs w:val="14"/>
                <w:b w:val="1"/>
                <w:bCs w:val="1"/>
                <w:color w:val="auto"/>
                <w:w w:val="95"/>
              </w:rPr>
              <w:t>Three Months Ended March 31,</w:t>
            </w:r>
          </w:p>
        </w:tc>
        <w:tc>
          <w:tcPr>
            <w:tcW w:w="500" w:type="dxa"/>
            <w:vAlign w:val="bottom"/>
            <w:tcBorders>
              <w:bottom w:val="single" w:sz="8" w:color="auto"/>
            </w:tcBorders>
          </w:tcPr>
          <w:p>
            <w:pPr>
              <w:spacing w:after="0"/>
              <w:rPr>
                <w:sz w:val="16"/>
                <w:szCs w:val="16"/>
                <w:color w:val="auto"/>
              </w:rPr>
            </w:pPr>
          </w:p>
        </w:tc>
      </w:tr>
      <w:tr>
        <w:trPr>
          <w:trHeight w:val="264"/>
        </w:trPr>
        <w:tc>
          <w:tcPr>
            <w:tcW w:w="53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22"/>
                <w:szCs w:val="22"/>
                <w:color w:val="auto"/>
              </w:rPr>
            </w:pPr>
          </w:p>
        </w:tc>
      </w:tr>
      <w:tr>
        <w:trPr>
          <w:trHeight w:val="256"/>
        </w:trPr>
        <w:tc>
          <w:tcPr>
            <w:tcW w:w="53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center"/>
              <w:ind w:right="299"/>
              <w:spacing w:after="0"/>
              <w:rPr>
                <w:sz w:val="20"/>
                <w:szCs w:val="20"/>
                <w:color w:val="auto"/>
              </w:rPr>
            </w:pPr>
            <w:r>
              <w:rPr>
                <w:rFonts w:ascii="Arial" w:cs="Arial" w:eastAsia="Arial" w:hAnsi="Arial"/>
                <w:sz w:val="14"/>
                <w:szCs w:val="14"/>
                <w:b w:val="1"/>
                <w:bCs w:val="1"/>
                <w:color w:val="auto"/>
                <w:w w:val="89"/>
              </w:rPr>
              <w:t>(in thousands)</w:t>
            </w:r>
          </w:p>
        </w:tc>
        <w:tc>
          <w:tcPr>
            <w:tcW w:w="500" w:type="dxa"/>
            <w:vAlign w:val="bottom"/>
            <w:shd w:val="clear" w:color="auto" w:fill="CCEEFF"/>
          </w:tcPr>
          <w:p>
            <w:pPr>
              <w:spacing w:after="0"/>
              <w:rPr>
                <w:sz w:val="22"/>
                <w:szCs w:val="22"/>
                <w:color w:val="auto"/>
              </w:rPr>
            </w:pPr>
          </w:p>
        </w:tc>
      </w:tr>
      <w:tr>
        <w:trPr>
          <w:trHeight w:val="243"/>
        </w:trPr>
        <w:tc>
          <w:tcPr>
            <w:tcW w:w="5360" w:type="dxa"/>
            <w:vAlign w:val="bottom"/>
          </w:tcPr>
          <w:p>
            <w:pPr>
              <w:ind w:left="180"/>
              <w:spacing w:after="0"/>
              <w:rPr>
                <w:sz w:val="20"/>
                <w:szCs w:val="20"/>
                <w:color w:val="auto"/>
              </w:rPr>
            </w:pPr>
            <w:r>
              <w:rPr>
                <w:rFonts w:ascii="Arial" w:cs="Arial" w:eastAsia="Arial" w:hAnsi="Arial"/>
                <w:sz w:val="18"/>
                <w:szCs w:val="18"/>
                <w:color w:val="auto"/>
              </w:rPr>
              <w:t>Cash paid for income taxes, net of refunds received</w:t>
            </w:r>
          </w:p>
        </w:tc>
        <w:tc>
          <w:tcPr>
            <w:tcW w:w="900" w:type="dxa"/>
            <w:vAlign w:val="bottom"/>
          </w:tcPr>
          <w:p>
            <w:pPr>
              <w:jc w:val="right"/>
              <w:ind w:right="722"/>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59"/>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7"/>
        </w:trPr>
        <w:tc>
          <w:tcPr>
            <w:tcW w:w="5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43"/>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interest</w:t>
            </w:r>
          </w:p>
        </w:tc>
        <w:tc>
          <w:tcPr>
            <w:tcW w:w="9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7"/>
              </w:rPr>
              <w:t>8,739</w:t>
            </w:r>
          </w:p>
        </w:tc>
        <w:tc>
          <w:tcPr>
            <w:tcW w:w="10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2,569</w:t>
            </w:r>
          </w:p>
        </w:tc>
      </w:tr>
      <w:tr>
        <w:trPr>
          <w:trHeight w:val="27"/>
        </w:trPr>
        <w:tc>
          <w:tcPr>
            <w:tcW w:w="5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30" w:right="239" w:bottom="1440" w:gutter="0" w:footer="0" w:header="0"/>
          <w:type w:val="continuous"/>
        </w:sectPr>
      </w:pPr>
    </w:p>
    <w:bookmarkStart w:id="21" w:name="page22"/>
    <w:bookmarkEnd w:id="2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Supplementary Condensed Consolidating Financial Information of Parent Guarantor and Subsidiary Issuers</w:t>
      </w:r>
    </w:p>
    <w:p>
      <w:pPr>
        <w:spacing w:after="0" w:line="2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GLPI guarantees the Notes issued by its subsidiaries, GLP Capital, L.P. and GLP Financing II, Inc. Each of the subsidiary issuers is 100% owned by GLPI. The guarantees of GLPI are full and unconditional. GLPI is not subject to any material or significant restrictions on its ability to obtain funds from its subsidiaries by dividend or loan or to transfer assets from such subsidiaries, except as provided by applicable law. None of GLPI's subsidiaries guarantee the Notes.</w:t>
      </w:r>
    </w:p>
    <w:p>
      <w:pPr>
        <w:spacing w:after="0" w:line="187" w:lineRule="exact"/>
        <w:rPr>
          <w:sz w:val="20"/>
          <w:szCs w:val="20"/>
          <w:color w:val="auto"/>
        </w:rPr>
      </w:pPr>
    </w:p>
    <w:p>
      <w:pPr>
        <w:jc w:val="both"/>
        <w:ind w:right="260" w:firstLine="648"/>
        <w:spacing w:after="0" w:line="286" w:lineRule="auto"/>
        <w:rPr>
          <w:sz w:val="20"/>
          <w:szCs w:val="20"/>
          <w:color w:val="auto"/>
        </w:rPr>
      </w:pPr>
      <w:r>
        <w:rPr>
          <w:rFonts w:ascii="Arial" w:cs="Arial" w:eastAsia="Arial" w:hAnsi="Arial"/>
          <w:sz w:val="17"/>
          <w:szCs w:val="17"/>
          <w:color w:val="auto"/>
        </w:rPr>
        <w:t>Summarized balance sheets as of March 31, 2017 and December 31, 2016, statements of income for the three months ended March 31, 2017 and 2016 and statements of cash flows for the three months ended March 31, 2017 and 2016 for GLPI as the parent guarantor, for GLP Capital, L.P. and GLP Financing II, Inc. as the subsidiary issuers and the other subsidiary non-issuers is presented below.</w:t>
      </w: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130" w:right="31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At March 31, 2017</w:t>
            </w:r>
          </w:p>
        </w:tc>
        <w:tc>
          <w:tcPr>
            <w:tcW w:w="200" w:type="dxa"/>
            <w:vAlign w:val="bottom"/>
          </w:tcPr>
          <w:p>
            <w:pPr>
              <w:spacing w:after="0"/>
              <w:rPr>
                <w:sz w:val="14"/>
                <w:szCs w:val="14"/>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Parent</w:t>
            </w:r>
          </w:p>
        </w:tc>
        <w:tc>
          <w:tcPr>
            <w:tcW w:w="200" w:type="dxa"/>
            <w:vAlign w:val="bottom"/>
          </w:tcPr>
          <w:p>
            <w:pPr>
              <w:spacing w:after="0"/>
              <w:rPr>
                <w:sz w:val="14"/>
                <w:szCs w:val="14"/>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Subsidiary</w:t>
            </w:r>
          </w:p>
        </w:tc>
        <w:tc>
          <w:tcPr>
            <w:tcW w:w="12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Subsidiary</w:t>
            </w:r>
          </w:p>
        </w:tc>
        <w:tc>
          <w:tcPr>
            <w:tcW w:w="200" w:type="dxa"/>
            <w:vAlign w:val="bottom"/>
          </w:tcPr>
          <w:p>
            <w:pPr>
              <w:spacing w:after="0"/>
              <w:rPr>
                <w:sz w:val="12"/>
                <w:szCs w:val="12"/>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820" w:type="dxa"/>
            <w:vAlign w:val="bottom"/>
            <w:gridSpan w:val="2"/>
          </w:tcPr>
          <w:p>
            <w:pPr>
              <w:ind w:left="40"/>
              <w:spacing w:after="0"/>
              <w:rPr>
                <w:sz w:val="20"/>
                <w:szCs w:val="20"/>
                <w:color w:val="auto"/>
              </w:rPr>
            </w:pPr>
            <w:r>
              <w:rPr>
                <w:rFonts w:ascii="Arial" w:cs="Arial" w:eastAsia="Arial" w:hAnsi="Arial"/>
                <w:sz w:val="14"/>
                <w:szCs w:val="14"/>
                <w:b w:val="1"/>
                <w:bCs w:val="1"/>
                <w:color w:val="auto"/>
              </w:rPr>
              <w:t>Condensed Consolidating Balance Sheet</w:t>
            </w:r>
          </w:p>
        </w:tc>
        <w:tc>
          <w:tcPr>
            <w:tcW w:w="20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Issuers</w:t>
            </w: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Non-Issuers</w:t>
            </w:r>
          </w:p>
        </w:tc>
        <w:tc>
          <w:tcPr>
            <w:tcW w:w="2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(in thousands)</w:t>
            </w:r>
          </w:p>
        </w:tc>
        <w:tc>
          <w:tcPr>
            <w:tcW w:w="2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Real estate investments, net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1,840,843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1,873,347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3,714,190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Land rights, net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588,447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588,447</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Property and equipment, used in operations, net</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22,084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94,363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116,447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Investment in direct financing lease, net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2,693,099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2,693,099</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1,403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21,958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23,361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8,122</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75,521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75,521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9,577</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Loan receivable</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13,000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loan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193,595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Intercompany transactions and investment in subsidiaries</w:t>
            </w:r>
          </w:p>
        </w:tc>
        <w:tc>
          <w:tcPr>
            <w:tcW w:w="2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2,407,336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5,169,785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2,918,982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(10,496,103)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tax assets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4,678</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45,997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21,960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67,957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2,407,336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7,278,230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8,318,531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(10,689,698)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7,314,399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6,023</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Accrued interest</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75,671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75,671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salaries and wages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3,385</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Gaming, property, and other taxes</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22,323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19,257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41,580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2,938</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Long-term debt, net of unamortized debt issuance costs</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4,573,194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4,573,194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loan payable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193,595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Deferred rental revenue</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177,160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5,137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182,297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tax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19,351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1,405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20,756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4,870,895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229,763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(193,595)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4,907,063</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 (deficit)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820" w:type="dxa"/>
            <w:vAlign w:val="bottom"/>
            <w:gridSpan w:val="2"/>
          </w:tcPr>
          <w:p>
            <w:pPr>
              <w:ind w:left="180"/>
              <w:spacing w:after="0"/>
              <w:rPr>
                <w:sz w:val="20"/>
                <w:szCs w:val="20"/>
                <w:color w:val="auto"/>
              </w:rPr>
            </w:pPr>
            <w:r>
              <w:rPr>
                <w:rFonts w:ascii="Arial" w:cs="Arial" w:eastAsia="Arial" w:hAnsi="Arial"/>
                <w:sz w:val="18"/>
                <w:szCs w:val="18"/>
                <w:color w:val="auto"/>
                <w:w w:val="92"/>
              </w:rPr>
              <w:t>Preferred stock ($.01 par value, 50,000,000 shares authorized,</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gridSpan w:val="2"/>
          </w:tcPr>
          <w:p>
            <w:pPr>
              <w:ind w:left="340"/>
              <w:spacing w:after="0"/>
              <w:rPr>
                <w:sz w:val="20"/>
                <w:szCs w:val="20"/>
                <w:color w:val="auto"/>
              </w:rPr>
            </w:pPr>
            <w:r>
              <w:rPr>
                <w:rFonts w:ascii="Arial" w:cs="Arial" w:eastAsia="Arial" w:hAnsi="Arial"/>
                <w:sz w:val="18"/>
                <w:szCs w:val="18"/>
                <w:color w:val="auto"/>
              </w:rPr>
              <w:t>no shares issued or outstanding at March 31, 2017)</w:t>
            </w:r>
          </w:p>
        </w:tc>
        <w:tc>
          <w:tcPr>
            <w:tcW w:w="20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Common stock ($.01 par value, 500,000,000 shares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8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w w:val="95"/>
              </w:rPr>
              <w:t>authorized, 208,137,358 shares issued at March 31, 2017)</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2,081</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3,769,502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3,769,502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9,333,655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(13,103,157)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3,769,502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Retained accumulated (deficit) earnings</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(1,364,247)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(1,364,248)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(1,246,968)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2,611,216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(1,364,247)</w:t>
            </w:r>
          </w:p>
        </w:tc>
        <w:tc>
          <w:tcPr>
            <w:tcW w:w="0" w:type="dxa"/>
            <w:vAlign w:val="bottom"/>
          </w:tcPr>
          <w:p>
            <w:pPr>
              <w:spacing w:after="0"/>
              <w:rPr>
                <w:sz w:val="1"/>
                <w:szCs w:val="1"/>
                <w:color w:val="auto"/>
              </w:rPr>
            </w:pPr>
          </w:p>
        </w:tc>
      </w:tr>
      <w:tr>
        <w:trPr>
          <w:trHeight w:val="237"/>
        </w:trPr>
        <w:tc>
          <w:tcPr>
            <w:tcW w:w="4820" w:type="dxa"/>
            <w:vAlign w:val="bottom"/>
            <w:gridSpan w:val="2"/>
          </w:tcPr>
          <w:p>
            <w:pPr>
              <w:ind w:left="380"/>
              <w:spacing w:after="0"/>
              <w:rPr>
                <w:sz w:val="20"/>
                <w:szCs w:val="20"/>
                <w:color w:val="auto"/>
              </w:rPr>
            </w:pPr>
            <w:r>
              <w:rPr>
                <w:rFonts w:ascii="Arial" w:cs="Arial" w:eastAsia="Arial" w:hAnsi="Arial"/>
                <w:sz w:val="18"/>
                <w:szCs w:val="18"/>
                <w:color w:val="auto"/>
              </w:rPr>
              <w:t>Total shareholders’ equity (deficit)</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2,407,336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2,407,335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8,088,768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(10,496,103)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2,407,336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shareholders’ equity (deficit)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2,407,336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7,278,230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8,318,531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(10,689,698)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7,314,399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30"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Three months ended March 31, 2017</w:t>
            </w:r>
          </w:p>
        </w:tc>
        <w:tc>
          <w:tcPr>
            <w:tcW w:w="220" w:type="dxa"/>
            <w:vAlign w:val="bottom"/>
          </w:tcPr>
          <w:p>
            <w:pPr>
              <w:spacing w:after="0"/>
              <w:rPr>
                <w:sz w:val="14"/>
                <w:szCs w:val="14"/>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8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gridSpan w:val="2"/>
          </w:tcPr>
          <w:p>
            <w:pPr>
              <w:ind w:left="40"/>
              <w:spacing w:after="0"/>
              <w:rPr>
                <w:sz w:val="20"/>
                <w:szCs w:val="20"/>
                <w:color w:val="auto"/>
              </w:rPr>
            </w:pPr>
            <w:r>
              <w:rPr>
                <w:rFonts w:ascii="Arial" w:cs="Arial" w:eastAsia="Arial" w:hAnsi="Arial"/>
                <w:sz w:val="14"/>
                <w:szCs w:val="14"/>
                <w:b w:val="1"/>
                <w:bCs w:val="1"/>
                <w:color w:val="auto"/>
              </w:rPr>
              <w:t>Condensed Consolidating Statement of Income</w:t>
            </w:r>
          </w:p>
        </w:tc>
        <w:tc>
          <w:tcPr>
            <w:tcW w:w="220" w:type="dxa"/>
            <w:vAlign w:val="bottom"/>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Guarantor</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Issuers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Non-Issuers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Rental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97,752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67,409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165,161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from direct financing lease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17,824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17,824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Real estate taxes paid by tenants</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11,156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10,564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21,720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8"/>
              </w:rPr>
              <w:t>Total rental revenue and income from direct financing lease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108,908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95,797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204,705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Gaming, food, beverage and other</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39,260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39,260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108,908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135,057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243,965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Less promotional allowances</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108,908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133,805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242,713</w:t>
            </w:r>
          </w:p>
        </w:tc>
        <w:tc>
          <w:tcPr>
            <w:tcW w:w="0" w:type="dxa"/>
            <w:vAlign w:val="bottom"/>
          </w:tcPr>
          <w:p>
            <w:pPr>
              <w:spacing w:after="0"/>
              <w:rPr>
                <w:sz w:val="1"/>
                <w:szCs w:val="1"/>
                <w:color w:val="auto"/>
              </w:rPr>
            </w:pPr>
          </w:p>
        </w:tc>
      </w:tr>
      <w:tr>
        <w:trPr>
          <w:trHeight w:val="22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Gaming, food, beverage and other</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21,076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21,076</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Real estate taxes</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11,183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10,960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22,143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10,336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21,231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23,248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5,009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28,257</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45,326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47,381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92,707</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63,582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86,424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150,006</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income (expenses)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(53,949)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dividends and interest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115,773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(116,896)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other income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61,824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1,587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(116,896)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(53,485)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125,406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88,011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(116,896)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96,521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2,160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2,530</w:t>
            </w:r>
          </w:p>
        </w:tc>
        <w:tc>
          <w:tcPr>
            <w:tcW w:w="0" w:type="dxa"/>
            <w:vAlign w:val="bottom"/>
          </w:tcPr>
          <w:p>
            <w:pPr>
              <w:spacing w:after="0"/>
              <w:rPr>
                <w:sz w:val="1"/>
                <w:szCs w:val="1"/>
                <w:color w:val="auto"/>
              </w:rPr>
            </w:pPr>
          </w:p>
        </w:tc>
      </w:tr>
      <w:tr>
        <w:trPr>
          <w:trHeight w:val="257"/>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125,036</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85,851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(116,896)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93,991</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ind w:left="70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Three months ended March 31, 2017</w:t>
            </w:r>
          </w:p>
        </w:tc>
        <w:tc>
          <w:tcPr>
            <w:tcW w:w="180" w:type="dxa"/>
            <w:vAlign w:val="bottom"/>
          </w:tcPr>
          <w:p>
            <w:pPr>
              <w:spacing w:after="0"/>
              <w:rPr>
                <w:sz w:val="14"/>
                <w:szCs w:val="14"/>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Parent</w:t>
            </w:r>
          </w:p>
        </w:tc>
        <w:tc>
          <w:tcPr>
            <w:tcW w:w="200" w:type="dxa"/>
            <w:vAlign w:val="bottom"/>
          </w:tcPr>
          <w:p>
            <w:pPr>
              <w:spacing w:after="0"/>
              <w:rPr>
                <w:sz w:val="14"/>
                <w:szCs w:val="14"/>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4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Condensed Consolidating Statement of Cash Flows</w:t>
            </w:r>
          </w:p>
        </w:tc>
        <w:tc>
          <w:tcPr>
            <w:tcW w:w="1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Guarantor</w:t>
            </w: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Issuers</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Non-Issuers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125,036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85,851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(116,896)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93,991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3"/>
              </w:rPr>
              <w:t>Adjustments to reconcile net income (loss) to net cash provided by</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(used in) operating activities:</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23,248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7,320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30,568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Amortization of debt issuance costs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3,257</w:t>
            </w: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Losses on dispositions of property</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4,483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4,483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Straight-line rent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16,245</w:t>
            </w: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(Increase) decrease,</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43"/>
        </w:trPr>
        <w:tc>
          <w:tcPr>
            <w:tcW w:w="5160" w:type="dxa"/>
            <w:vAlign w:val="bottom"/>
            <w:gridSpan w:val="2"/>
          </w:tcPr>
          <w:p>
            <w:pPr>
              <w:ind w:left="600"/>
              <w:spacing w:after="0"/>
              <w:rPr>
                <w:sz w:val="20"/>
                <w:szCs w:val="20"/>
                <w:color w:val="auto"/>
              </w:rPr>
            </w:pPr>
            <w:r>
              <w:rPr>
                <w:rFonts w:ascii="Arial" w:cs="Arial" w:eastAsia="Arial" w:hAnsi="Arial"/>
                <w:sz w:val="18"/>
                <w:szCs w:val="18"/>
                <w:color w:val="auto"/>
              </w:rPr>
              <w:t>Intercompany</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2,195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Increase (decrease),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60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Accrued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43"/>
        </w:trPr>
        <w:tc>
          <w:tcPr>
            <w:tcW w:w="5160" w:type="dxa"/>
            <w:vAlign w:val="bottom"/>
            <w:gridSpan w:val="2"/>
          </w:tcPr>
          <w:p>
            <w:pPr>
              <w:ind w:left="600"/>
              <w:spacing w:after="0"/>
              <w:rPr>
                <w:sz w:val="20"/>
                <w:szCs w:val="20"/>
                <w:color w:val="auto"/>
              </w:rPr>
            </w:pPr>
            <w:r>
              <w:rPr>
                <w:rFonts w:ascii="Arial" w:cs="Arial" w:eastAsia="Arial" w:hAnsi="Arial"/>
                <w:sz w:val="18"/>
                <w:szCs w:val="18"/>
                <w:color w:val="auto"/>
              </w:rPr>
              <w:t>Accrued interest</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41,928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41,928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Accrued salaries and wages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(7,234)</w:t>
            </w:r>
          </w:p>
        </w:tc>
        <w:tc>
          <w:tcPr>
            <w:tcW w:w="0" w:type="dxa"/>
            <w:vAlign w:val="bottom"/>
          </w:tcPr>
          <w:p>
            <w:pPr>
              <w:spacing w:after="0"/>
              <w:rPr>
                <w:sz w:val="1"/>
                <w:szCs w:val="1"/>
                <w:color w:val="auto"/>
              </w:rPr>
            </w:pPr>
          </w:p>
        </w:tc>
      </w:tr>
      <w:tr>
        <w:trPr>
          <w:trHeight w:val="243"/>
        </w:trPr>
        <w:tc>
          <w:tcPr>
            <w:tcW w:w="5160" w:type="dxa"/>
            <w:vAlign w:val="bottom"/>
            <w:gridSpan w:val="2"/>
          </w:tcPr>
          <w:p>
            <w:pPr>
              <w:ind w:left="600"/>
              <w:spacing w:after="0"/>
              <w:rPr>
                <w:sz w:val="20"/>
                <w:szCs w:val="20"/>
                <w:color w:val="auto"/>
              </w:rPr>
            </w:pPr>
            <w:r>
              <w:rPr>
                <w:rFonts w:ascii="Arial" w:cs="Arial" w:eastAsia="Arial" w:hAnsi="Arial"/>
                <w:sz w:val="18"/>
                <w:szCs w:val="18"/>
                <w:color w:val="auto"/>
              </w:rPr>
              <w:t>Gaming, property and other taxes</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2,938</w:t>
            </w:r>
          </w:p>
        </w:tc>
        <w:tc>
          <w:tcPr>
            <w:tcW w:w="0" w:type="dxa"/>
            <w:vAlign w:val="bottom"/>
          </w:tcPr>
          <w:p>
            <w:pPr>
              <w:spacing w:after="0"/>
              <w:rPr>
                <w:sz w:val="1"/>
                <w:szCs w:val="1"/>
                <w:color w:val="auto"/>
              </w:rPr>
            </w:pPr>
          </w:p>
        </w:tc>
      </w:tr>
      <w:tr>
        <w:trPr>
          <w:trHeight w:val="243"/>
        </w:trPr>
        <w:tc>
          <w:tcPr>
            <w:tcW w:w="5160" w:type="dxa"/>
            <w:vAlign w:val="bottom"/>
            <w:gridSpan w:val="2"/>
          </w:tcPr>
          <w:p>
            <w:pPr>
              <w:ind w:left="60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1,462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204,647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96,938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(116,896)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184,689</w:t>
            </w:r>
          </w:p>
        </w:tc>
        <w:tc>
          <w:tcPr>
            <w:tcW w:w="0" w:type="dxa"/>
            <w:vAlign w:val="bottom"/>
          </w:tcPr>
          <w:p>
            <w:pPr>
              <w:spacing w:after="0"/>
              <w:rPr>
                <w:sz w:val="1"/>
                <w:szCs w:val="1"/>
                <w:color w:val="auto"/>
              </w:rPr>
            </w:pPr>
          </w:p>
        </w:tc>
      </w:tr>
      <w:tr>
        <w:trPr>
          <w:trHeight w:val="223"/>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Capital project expenditures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Capital maintenance expenditures</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Principal payments on loan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13,200</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Deposit for pending acquisition of real estate assets</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(8,230)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7"/>
              </w:rPr>
              <w:t>Collection of principal payments on investment in direct financing</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lease</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17,613</w:t>
            </w: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(8,238)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30,331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22,093</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Dividends paid</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(129,301)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(129,301)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Proceeds from exercise of options, net of taxes paid related to</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shares withheld for tax purposes on restricted stock award</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vestings</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4,456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4,456</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Costs related to continuous equity offering</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Repayments of 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(95,027)</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Intercompany financing</w:t>
            </w:r>
          </w:p>
        </w:tc>
        <w:tc>
          <w:tcPr>
            <w:tcW w:w="1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124,950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(111,753)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(130,093)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116,896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(206,780)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(130,093)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116,896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(219,977)</w:t>
            </w: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decrease in cash and cash equivalents</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(10,371)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(13,195)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11,774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24,782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36,556</w:t>
            </w:r>
          </w:p>
        </w:tc>
        <w:tc>
          <w:tcPr>
            <w:tcW w:w="0" w:type="dxa"/>
            <w:vAlign w:val="bottom"/>
          </w:tcPr>
          <w:p>
            <w:pPr>
              <w:spacing w:after="0"/>
              <w:rPr>
                <w:sz w:val="1"/>
                <w:szCs w:val="1"/>
                <w:color w:val="auto"/>
              </w:rPr>
            </w:pPr>
          </w:p>
        </w:tc>
      </w:tr>
      <w:tr>
        <w:trPr>
          <w:trHeight w:val="25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1,403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21,958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23,361</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43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Parent</w:t>
            </w:r>
          </w:p>
        </w:tc>
        <w:tc>
          <w:tcPr>
            <w:tcW w:w="180" w:type="dxa"/>
            <w:vAlign w:val="bottom"/>
          </w:tcPr>
          <w:p>
            <w:pPr>
              <w:spacing w:after="0"/>
              <w:rPr>
                <w:sz w:val="14"/>
                <w:szCs w:val="14"/>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At December 31, 2016 Condensed Consolidating Balance Sheet</w:t>
            </w: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8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9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Issuers</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Non-Issuers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8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Real estate investments, net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1,863,568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1,875,523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3,739,091</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Land rights, net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590,758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590,758</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Property and equipment, used in operations, net</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22,598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96,829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119,427</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Investment in direct financing lease, net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2,710,711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2,710,711</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11,774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24,782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36,556</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7,477</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75,521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75,521</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9,577</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Loan receivable</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26,200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26,200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loan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193,595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Intercompany transactions and investment in subsidiaries</w:t>
            </w:r>
          </w:p>
        </w:tc>
        <w:tc>
          <w:tcPr>
            <w:tcW w:w="2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2,433,869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5,211,835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2,947,915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7"/>
              </w:rPr>
              <w:t>(10,593,619)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tax assets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3,922</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37,335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12,755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50,090</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2,433,869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7,343,811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8,378,122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(10,786,472)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7,369,330</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6,590</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Accrued interest</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33,743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33,743</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salaries and wages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10,619</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Gaming, property, and other taxes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21,364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11,220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32,584</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Long-term debt, net of unamortized debt issuance costs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4,664,965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4,664,965</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loan payable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193,595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Deferred rental revenue</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163,204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2,848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166,052</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tax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17,890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1,674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19,564</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4,909,942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218,372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(192,853)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4,935,461</w:t>
            </w:r>
          </w:p>
        </w:tc>
        <w:tc>
          <w:tcPr>
            <w:tcW w:w="0" w:type="dxa"/>
            <w:vAlign w:val="bottom"/>
          </w:tcPr>
          <w:p>
            <w:pPr>
              <w:spacing w:after="0"/>
              <w:rPr>
                <w:sz w:val="1"/>
                <w:szCs w:val="1"/>
                <w:color w:val="auto"/>
              </w:rPr>
            </w:pPr>
          </w:p>
        </w:tc>
      </w:tr>
      <w:tr>
        <w:trPr>
          <w:trHeight w:val="277"/>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(deficit) equity</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920" w:type="dxa"/>
            <w:vAlign w:val="bottom"/>
            <w:gridSpan w:val="2"/>
          </w:tcPr>
          <w:p>
            <w:pPr>
              <w:ind w:left="180"/>
              <w:spacing w:after="0"/>
              <w:rPr>
                <w:sz w:val="20"/>
                <w:szCs w:val="20"/>
                <w:color w:val="auto"/>
              </w:rPr>
            </w:pPr>
            <w:r>
              <w:rPr>
                <w:rFonts w:ascii="Arial" w:cs="Arial" w:eastAsia="Arial" w:hAnsi="Arial"/>
                <w:sz w:val="18"/>
                <w:szCs w:val="18"/>
                <w:color w:val="auto"/>
                <w:w w:val="94"/>
              </w:rPr>
              <w:t>Preferred stock ($.01 par value, 50,000,000 shares authorized,</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gridSpan w:val="2"/>
          </w:tcPr>
          <w:p>
            <w:pPr>
              <w:ind w:left="340"/>
              <w:spacing w:after="0"/>
              <w:rPr>
                <w:sz w:val="20"/>
                <w:szCs w:val="20"/>
                <w:color w:val="auto"/>
              </w:rPr>
            </w:pPr>
            <w:r>
              <w:rPr>
                <w:rFonts w:ascii="Arial" w:cs="Arial" w:eastAsia="Arial" w:hAnsi="Arial"/>
                <w:sz w:val="18"/>
                <w:szCs w:val="18"/>
                <w:color w:val="auto"/>
              </w:rPr>
              <w:t>no shares issued or outstanding at December 31, 2016)</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2"/>
              </w:rPr>
              <w:t>Common stock ($.01 par value, 500,000,000 shares authorized,</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207,676,827 shares issued at December 31, 2016)</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2,077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2,077</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3,760,730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3,760,730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9,338,083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7"/>
              </w:rPr>
              <w:t>(13,098,814)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3,760,729</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Retained accumulated (deficit) earnings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(1,328,938)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(1,328,938)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(1,180,410)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2,509,349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(1,328,937)</w:t>
            </w:r>
          </w:p>
        </w:tc>
        <w:tc>
          <w:tcPr>
            <w:tcW w:w="0" w:type="dxa"/>
            <w:vAlign w:val="bottom"/>
          </w:tcPr>
          <w:p>
            <w:pPr>
              <w:spacing w:after="0"/>
              <w:rPr>
                <w:sz w:val="1"/>
                <w:szCs w:val="1"/>
                <w:color w:val="auto"/>
              </w:rPr>
            </w:pPr>
          </w:p>
        </w:tc>
      </w:tr>
      <w:tr>
        <w:trPr>
          <w:trHeight w:val="237"/>
        </w:trPr>
        <w:tc>
          <w:tcPr>
            <w:tcW w:w="4920" w:type="dxa"/>
            <w:vAlign w:val="bottom"/>
            <w:gridSpan w:val="2"/>
          </w:tcPr>
          <w:p>
            <w:pPr>
              <w:ind w:left="380"/>
              <w:spacing w:after="0"/>
              <w:rPr>
                <w:sz w:val="20"/>
                <w:szCs w:val="20"/>
                <w:color w:val="auto"/>
              </w:rPr>
            </w:pPr>
            <w:r>
              <w:rPr>
                <w:rFonts w:ascii="Arial" w:cs="Arial" w:eastAsia="Arial" w:hAnsi="Arial"/>
                <w:sz w:val="18"/>
                <w:szCs w:val="18"/>
                <w:color w:val="auto"/>
              </w:rPr>
              <w:t>Total shareholders’ (deficit) equity</w:t>
            </w: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2,433,869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2,433,869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8,159,750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(10,593,619)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2,433,869</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shareholders’ (deficit) equity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2,433,869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7,343,811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8,378,122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(10,786,472)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7,369,330</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30"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Three months ended March 31, 2016</w:t>
            </w:r>
          </w:p>
        </w:tc>
        <w:tc>
          <w:tcPr>
            <w:tcW w:w="120" w:type="dxa"/>
            <w:vAlign w:val="bottom"/>
          </w:tcPr>
          <w:p>
            <w:pPr>
              <w:spacing w:after="0"/>
              <w:rPr>
                <w:sz w:val="12"/>
                <w:szCs w:val="12"/>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500" w:type="dxa"/>
            <w:vAlign w:val="bottom"/>
            <w:gridSpan w:val="2"/>
          </w:tcPr>
          <w:p>
            <w:pPr>
              <w:ind w:left="40"/>
              <w:spacing w:after="0"/>
              <w:rPr>
                <w:sz w:val="20"/>
                <w:szCs w:val="20"/>
                <w:color w:val="auto"/>
              </w:rPr>
            </w:pPr>
            <w:r>
              <w:rPr>
                <w:rFonts w:ascii="Arial" w:cs="Arial" w:eastAsia="Arial" w:hAnsi="Arial"/>
                <w:sz w:val="14"/>
                <w:szCs w:val="14"/>
                <w:b w:val="1"/>
                <w:bCs w:val="1"/>
                <w:color w:val="auto"/>
              </w:rPr>
              <w:t>Condensed Consolidating Statement of Income</w:t>
            </w:r>
          </w:p>
        </w:tc>
        <w:tc>
          <w:tcPr>
            <w:tcW w:w="12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Issuers</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Issuers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3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Rental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96,672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3,543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100,215</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from direct financing lease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Real estate taxes paid by tenants</w:t>
            </w:r>
          </w:p>
        </w:tc>
        <w:tc>
          <w:tcPr>
            <w:tcW w:w="120" w:type="dxa"/>
            <w:vAlign w:val="bottom"/>
          </w:tcPr>
          <w:p>
            <w:pPr>
              <w:spacing w:after="0"/>
              <w:rPr>
                <w:sz w:val="21"/>
                <w:szCs w:val="21"/>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11,315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11,827</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rental revenue and income from direct financing lease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107,987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112,042</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Gaming, food, beverage and other</w:t>
            </w:r>
          </w:p>
        </w:tc>
        <w:tc>
          <w:tcPr>
            <w:tcW w:w="120" w:type="dxa"/>
            <w:vAlign w:val="bottom"/>
          </w:tcPr>
          <w:p>
            <w:pPr>
              <w:spacing w:after="0"/>
              <w:rPr>
                <w:sz w:val="21"/>
                <w:szCs w:val="21"/>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38,159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38,159</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107,987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42,214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150,201</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Less promotional allowances</w:t>
            </w:r>
          </w:p>
        </w:tc>
        <w:tc>
          <w:tcPr>
            <w:tcW w:w="120" w:type="dxa"/>
            <w:vAlign w:val="bottom"/>
          </w:tcPr>
          <w:p>
            <w:pPr>
              <w:spacing w:after="0"/>
              <w:rPr>
                <w:sz w:val="21"/>
                <w:szCs w:val="21"/>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107,987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40,833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148,820</w:t>
            </w:r>
          </w:p>
        </w:tc>
        <w:tc>
          <w:tcPr>
            <w:tcW w:w="0" w:type="dxa"/>
            <w:vAlign w:val="bottom"/>
          </w:tcPr>
          <w:p>
            <w:pPr>
              <w:spacing w:after="0"/>
              <w:rPr>
                <w:sz w:val="1"/>
                <w:szCs w:val="1"/>
                <w:color w:val="auto"/>
              </w:rPr>
            </w:pPr>
          </w:p>
        </w:tc>
      </w:tr>
      <w:tr>
        <w:trPr>
          <w:trHeight w:val="237"/>
        </w:trPr>
        <w:tc>
          <w:tcPr>
            <w:tcW w:w="550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Gaming, food, beverage and other</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20,987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20,987</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Real estate taxes</w:t>
            </w:r>
          </w:p>
        </w:tc>
        <w:tc>
          <w:tcPr>
            <w:tcW w:w="120" w:type="dxa"/>
            <w:vAlign w:val="bottom"/>
          </w:tcPr>
          <w:p>
            <w:pPr>
              <w:spacing w:after="0"/>
              <w:rPr>
                <w:sz w:val="21"/>
                <w:szCs w:val="21"/>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11,320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12,207</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20,906</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21"/>
                <w:szCs w:val="21"/>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23,451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3,632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27,083</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49,999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31,184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81,183</w:t>
            </w:r>
          </w:p>
        </w:tc>
        <w:tc>
          <w:tcPr>
            <w:tcW w:w="0" w:type="dxa"/>
            <w:vAlign w:val="bottom"/>
          </w:tcPr>
          <w:p>
            <w:pPr>
              <w:spacing w:after="0"/>
              <w:rPr>
                <w:sz w:val="1"/>
                <w:szCs w:val="1"/>
                <w:color w:val="auto"/>
              </w:rPr>
            </w:pPr>
          </w:p>
        </w:tc>
      </w:tr>
      <w:tr>
        <w:trPr>
          <w:trHeight w:val="237"/>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Income from operations</w:t>
            </w: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57,988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9,649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67,637</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income (expenses)</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(33,401)</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21"/>
                <w:szCs w:val="21"/>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dividends and interest</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9,744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5,399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(15,143)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Total other income (expenses)</w:t>
            </w: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(23,657)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5,916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(15,143)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(32,884)</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5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120" w:type="dxa"/>
            <w:vAlign w:val="bottom"/>
          </w:tcPr>
          <w:p>
            <w:pPr>
              <w:spacing w:after="0"/>
              <w:rPr>
                <w:sz w:val="21"/>
                <w:szCs w:val="21"/>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34,331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15,565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(15,143)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34,753</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57"/>
        </w:trPr>
        <w:tc>
          <w:tcPr>
            <w:tcW w:w="550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33,945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13,947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(15,143)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32,749</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Three months ended March 31, 2016</w:t>
            </w:r>
          </w:p>
        </w:tc>
        <w:tc>
          <w:tcPr>
            <w:tcW w:w="120" w:type="dxa"/>
            <w:vAlign w:val="bottom"/>
          </w:tcPr>
          <w:p>
            <w:pPr>
              <w:spacing w:after="0"/>
              <w:rPr>
                <w:sz w:val="14"/>
                <w:szCs w:val="14"/>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Parent</w:t>
            </w:r>
          </w:p>
        </w:tc>
        <w:tc>
          <w:tcPr>
            <w:tcW w:w="160" w:type="dxa"/>
            <w:vAlign w:val="bottom"/>
          </w:tcPr>
          <w:p>
            <w:pPr>
              <w:spacing w:after="0"/>
              <w:rPr>
                <w:sz w:val="14"/>
                <w:szCs w:val="14"/>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Subsidiary</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4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500" w:type="dxa"/>
            <w:vAlign w:val="bottom"/>
            <w:gridSpan w:val="2"/>
          </w:tcPr>
          <w:p>
            <w:pPr>
              <w:ind w:left="40"/>
              <w:spacing w:after="0"/>
              <w:rPr>
                <w:sz w:val="20"/>
                <w:szCs w:val="20"/>
                <w:color w:val="auto"/>
              </w:rPr>
            </w:pPr>
            <w:r>
              <w:rPr>
                <w:rFonts w:ascii="Arial" w:cs="Arial" w:eastAsia="Arial" w:hAnsi="Arial"/>
                <w:sz w:val="14"/>
                <w:szCs w:val="14"/>
                <w:b w:val="1"/>
                <w:bCs w:val="1"/>
                <w:color w:val="auto"/>
              </w:rPr>
              <w:t>Condensed Consolidating Statement of Cash Flows</w:t>
            </w: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Issuers</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Non-Issuers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3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33,945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13,947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(15,143)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32,749</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(loss) to net cash provided by</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5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(used in) operating activities:</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38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23,451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3,632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27,083</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Amortization of debt issuance costs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5,582</w:t>
            </w:r>
          </w:p>
        </w:tc>
        <w:tc>
          <w:tcPr>
            <w:tcW w:w="0" w:type="dxa"/>
            <w:vAlign w:val="bottom"/>
          </w:tcPr>
          <w:p>
            <w:pPr>
              <w:spacing w:after="0"/>
              <w:rPr>
                <w:sz w:val="1"/>
                <w:szCs w:val="1"/>
                <w:color w:val="auto"/>
              </w:rPr>
            </w:pPr>
          </w:p>
        </w:tc>
      </w:tr>
      <w:tr>
        <w:trPr>
          <w:trHeight w:val="243"/>
        </w:trPr>
        <w:tc>
          <w:tcPr>
            <w:tcW w:w="5500" w:type="dxa"/>
            <w:vAlign w:val="bottom"/>
            <w:gridSpan w:val="2"/>
          </w:tcPr>
          <w:p>
            <w:pPr>
              <w:ind w:left="380"/>
              <w:spacing w:after="0"/>
              <w:rPr>
                <w:sz w:val="20"/>
                <w:szCs w:val="20"/>
                <w:color w:val="auto"/>
              </w:rPr>
            </w:pPr>
            <w:r>
              <w:rPr>
                <w:rFonts w:ascii="Arial" w:cs="Arial" w:eastAsia="Arial" w:hAnsi="Arial"/>
                <w:sz w:val="18"/>
                <w:szCs w:val="18"/>
                <w:color w:val="auto"/>
              </w:rPr>
              <w:t>Gains on dispositions of property</w:t>
            </w:r>
          </w:p>
        </w:tc>
        <w:tc>
          <w:tcPr>
            <w:tcW w:w="12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5500" w:type="dxa"/>
            <w:vAlign w:val="bottom"/>
            <w:gridSpan w:val="2"/>
          </w:tcPr>
          <w:p>
            <w:pPr>
              <w:ind w:left="38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4,572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4,572</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Straight-line rent adjustments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13,956</w:t>
            </w:r>
          </w:p>
        </w:tc>
        <w:tc>
          <w:tcPr>
            <w:tcW w:w="0" w:type="dxa"/>
            <w:vAlign w:val="bottom"/>
          </w:tcPr>
          <w:p>
            <w:pPr>
              <w:spacing w:after="0"/>
              <w:rPr>
                <w:sz w:val="1"/>
                <w:szCs w:val="1"/>
                <w:color w:val="auto"/>
              </w:rPr>
            </w:pPr>
          </w:p>
        </w:tc>
      </w:tr>
      <w:tr>
        <w:trPr>
          <w:trHeight w:val="243"/>
        </w:trPr>
        <w:tc>
          <w:tcPr>
            <w:tcW w:w="5500" w:type="dxa"/>
            <w:vAlign w:val="bottom"/>
            <w:gridSpan w:val="2"/>
          </w:tcPr>
          <w:p>
            <w:pPr>
              <w:ind w:left="380"/>
              <w:spacing w:after="0"/>
              <w:rPr>
                <w:sz w:val="20"/>
                <w:szCs w:val="20"/>
                <w:color w:val="auto"/>
              </w:rPr>
            </w:pPr>
            <w:r>
              <w:rPr>
                <w:rFonts w:ascii="Arial" w:cs="Arial" w:eastAsia="Arial" w:hAnsi="Arial"/>
                <w:sz w:val="18"/>
                <w:szCs w:val="18"/>
                <w:color w:val="auto"/>
              </w:rPr>
              <w:t>(Increase) decrease,</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3,848</w:t>
            </w:r>
          </w:p>
        </w:tc>
        <w:tc>
          <w:tcPr>
            <w:tcW w:w="0" w:type="dxa"/>
            <w:vAlign w:val="bottom"/>
          </w:tcPr>
          <w:p>
            <w:pPr>
              <w:spacing w:after="0"/>
              <w:rPr>
                <w:sz w:val="1"/>
                <w:szCs w:val="1"/>
                <w:color w:val="auto"/>
              </w:rPr>
            </w:pPr>
          </w:p>
        </w:tc>
      </w:tr>
      <w:tr>
        <w:trPr>
          <w:trHeight w:val="243"/>
        </w:trPr>
        <w:tc>
          <w:tcPr>
            <w:tcW w:w="5500" w:type="dxa"/>
            <w:vAlign w:val="bottom"/>
            <w:gridSpan w:val="2"/>
          </w:tcPr>
          <w:p>
            <w:pPr>
              <w:ind w:left="620"/>
              <w:spacing w:after="0"/>
              <w:rPr>
                <w:sz w:val="20"/>
                <w:szCs w:val="20"/>
                <w:color w:val="auto"/>
              </w:rPr>
            </w:pPr>
            <w:r>
              <w:rPr>
                <w:rFonts w:ascii="Arial" w:cs="Arial" w:eastAsia="Arial" w:hAnsi="Arial"/>
                <w:sz w:val="18"/>
                <w:szCs w:val="18"/>
                <w:color w:val="auto"/>
              </w:rPr>
              <w:t>Intercompany</w:t>
            </w:r>
          </w:p>
        </w:tc>
        <w:tc>
          <w:tcPr>
            <w:tcW w:w="12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(Decrease) increase,</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60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Accrued expenses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43"/>
        </w:trPr>
        <w:tc>
          <w:tcPr>
            <w:tcW w:w="5500" w:type="dxa"/>
            <w:vAlign w:val="bottom"/>
            <w:gridSpan w:val="2"/>
          </w:tcPr>
          <w:p>
            <w:pPr>
              <w:ind w:left="600"/>
              <w:spacing w:after="0"/>
              <w:rPr>
                <w:sz w:val="20"/>
                <w:szCs w:val="20"/>
                <w:color w:val="auto"/>
              </w:rPr>
            </w:pPr>
            <w:r>
              <w:rPr>
                <w:rFonts w:ascii="Arial" w:cs="Arial" w:eastAsia="Arial" w:hAnsi="Arial"/>
                <w:sz w:val="18"/>
                <w:szCs w:val="18"/>
                <w:color w:val="auto"/>
              </w:rPr>
              <w:t>Accrued interest</w:t>
            </w:r>
          </w:p>
        </w:tc>
        <w:tc>
          <w:tcPr>
            <w:tcW w:w="12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25,225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25,225</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Accrued salaries and wages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(8,623)</w:t>
            </w:r>
          </w:p>
        </w:tc>
        <w:tc>
          <w:tcPr>
            <w:tcW w:w="0" w:type="dxa"/>
            <w:vAlign w:val="bottom"/>
          </w:tcPr>
          <w:p>
            <w:pPr>
              <w:spacing w:after="0"/>
              <w:rPr>
                <w:sz w:val="1"/>
                <w:szCs w:val="1"/>
                <w:color w:val="auto"/>
              </w:rPr>
            </w:pPr>
          </w:p>
        </w:tc>
      </w:tr>
      <w:tr>
        <w:trPr>
          <w:trHeight w:val="243"/>
        </w:trPr>
        <w:tc>
          <w:tcPr>
            <w:tcW w:w="5500" w:type="dxa"/>
            <w:vAlign w:val="bottom"/>
            <w:gridSpan w:val="2"/>
          </w:tcPr>
          <w:p>
            <w:pPr>
              <w:ind w:left="600"/>
              <w:spacing w:after="0"/>
              <w:rPr>
                <w:sz w:val="20"/>
                <w:szCs w:val="20"/>
                <w:color w:val="auto"/>
              </w:rPr>
            </w:pPr>
            <w:r>
              <w:rPr>
                <w:rFonts w:ascii="Arial" w:cs="Arial" w:eastAsia="Arial" w:hAnsi="Arial"/>
                <w:sz w:val="18"/>
                <w:szCs w:val="18"/>
                <w:color w:val="auto"/>
              </w:rPr>
              <w:t>Gaming, property and other taxes</w:t>
            </w:r>
          </w:p>
        </w:tc>
        <w:tc>
          <w:tcPr>
            <w:tcW w:w="12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00" w:type="dxa"/>
            <w:vAlign w:val="bottom"/>
            <w:gridSpan w:val="2"/>
          </w:tcPr>
          <w:p>
            <w:pPr>
              <w:ind w:left="60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100,355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18,646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(15,143)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103,858</w:t>
            </w:r>
          </w:p>
        </w:tc>
        <w:tc>
          <w:tcPr>
            <w:tcW w:w="0" w:type="dxa"/>
            <w:vAlign w:val="bottom"/>
          </w:tcPr>
          <w:p>
            <w:pPr>
              <w:spacing w:after="0"/>
              <w:rPr>
                <w:sz w:val="1"/>
                <w:szCs w:val="1"/>
                <w:color w:val="auto"/>
              </w:rPr>
            </w:pPr>
          </w:p>
        </w:tc>
      </w:tr>
      <w:tr>
        <w:trPr>
          <w:trHeight w:val="237"/>
        </w:trPr>
        <w:tc>
          <w:tcPr>
            <w:tcW w:w="5500" w:type="dxa"/>
            <w:vAlign w:val="bottom"/>
            <w:gridSpan w:val="2"/>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Capital project expenditures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20"/>
              <w:spacing w:after="0"/>
              <w:rPr>
                <w:sz w:val="20"/>
                <w:szCs w:val="20"/>
                <w:color w:val="auto"/>
              </w:rPr>
            </w:pPr>
            <w:r>
              <w:rPr>
                <w:rFonts w:ascii="Arial" w:cs="Arial" w:eastAsia="Arial" w:hAnsi="Arial"/>
                <w:sz w:val="18"/>
                <w:szCs w:val="18"/>
                <w:color w:val="auto"/>
              </w:rPr>
              <w:t>Capital maintenance expenditures</w:t>
            </w:r>
          </w:p>
        </w:tc>
        <w:tc>
          <w:tcPr>
            <w:tcW w:w="12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Proceeds from sale of property and equipment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20"/>
              <w:spacing w:after="0"/>
              <w:rPr>
                <w:sz w:val="20"/>
                <w:szCs w:val="20"/>
                <w:color w:val="auto"/>
              </w:rPr>
            </w:pPr>
            <w:r>
              <w:rPr>
                <w:rFonts w:ascii="Arial" w:cs="Arial" w:eastAsia="Arial" w:hAnsi="Arial"/>
                <w:sz w:val="18"/>
                <w:szCs w:val="18"/>
                <w:color w:val="auto"/>
              </w:rPr>
              <w:t>Principal payments on loan receivable</w:t>
            </w:r>
          </w:p>
        </w:tc>
        <w:tc>
          <w:tcPr>
            <w:tcW w:w="12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1,537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1,537</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23"/>
        </w:trPr>
        <w:tc>
          <w:tcPr>
            <w:tcW w:w="550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Dividends paid</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(65,670)</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20"/>
              <w:spacing w:after="0"/>
              <w:rPr>
                <w:sz w:val="20"/>
                <w:szCs w:val="20"/>
                <w:color w:val="auto"/>
              </w:rPr>
            </w:pPr>
            <w:r>
              <w:rPr>
                <w:rFonts w:ascii="Arial" w:cs="Arial" w:eastAsia="Arial" w:hAnsi="Arial"/>
                <w:sz w:val="18"/>
                <w:szCs w:val="18"/>
                <w:color w:val="auto"/>
              </w:rPr>
              <w:t>Proceeds from exercise of options</w:t>
            </w:r>
          </w:p>
        </w:tc>
        <w:tc>
          <w:tcPr>
            <w:tcW w:w="1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23,089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23,089</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Financing costs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20"/>
              <w:spacing w:after="0"/>
              <w:rPr>
                <w:sz w:val="20"/>
                <w:szCs w:val="20"/>
                <w:color w:val="auto"/>
              </w:rPr>
            </w:pPr>
            <w:r>
              <w:rPr>
                <w:rFonts w:ascii="Arial" w:cs="Arial" w:eastAsia="Arial" w:hAnsi="Arial"/>
                <w:sz w:val="18"/>
                <w:szCs w:val="18"/>
                <w:color w:val="auto"/>
              </w:rPr>
              <w:t>Payments of long-term debt</w:t>
            </w:r>
          </w:p>
        </w:tc>
        <w:tc>
          <w:tcPr>
            <w:tcW w:w="12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(42,025)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(42,025)</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Intercompany financing</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42,581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(42,581)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(15,143)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15,143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(85,315)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(15,143)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15,143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(85,315)</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increase in cash and cash equivalents</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14,876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19,686</w:t>
            </w:r>
          </w:p>
        </w:tc>
        <w:tc>
          <w:tcPr>
            <w:tcW w:w="0" w:type="dxa"/>
            <w:vAlign w:val="bottom"/>
          </w:tcPr>
          <w:p>
            <w:pPr>
              <w:spacing w:after="0"/>
              <w:rPr>
                <w:sz w:val="1"/>
                <w:szCs w:val="1"/>
                <w:color w:val="auto"/>
              </w:rPr>
            </w:pPr>
          </w:p>
        </w:tc>
      </w:tr>
      <w:tr>
        <w:trPr>
          <w:trHeight w:val="237"/>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8,716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33,159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41,875</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23,592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37,969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61,561</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ind w:right="671"/>
              <w:spacing w:after="0"/>
              <w:rPr>
                <w:sz w:val="20"/>
                <w:szCs w:val="20"/>
                <w:color w:val="auto"/>
              </w:rPr>
            </w:pPr>
            <w:r>
              <w:rPr>
                <w:rFonts w:ascii="Arial" w:cs="Arial" w:eastAsia="Arial" w:hAnsi="Arial"/>
                <w:sz w:val="18"/>
                <w:szCs w:val="18"/>
                <w:color w:val="auto"/>
                <w:w w:val="79"/>
              </w:rPr>
              <w:t>27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2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On May 1, 2017, the Company acquired the real property assets of Bally's Casino Tunica and Resorts CasinoTunica for an aggregate purchase price of $82.6 million. These assets were immediately leased to Penn under the Penn Master Lease, under the same terms and conditions as the other properties subject to the Penn Master Lease.</w:t>
      </w:r>
    </w:p>
    <w:p>
      <w:pPr>
        <w:spacing w:after="0" w:line="18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On April 25, 2017, the Company declared its second quarter dividend of $0.62 per common share, payable on June 30, 2017 to shareholders of record on June 16, 2017.</w:t>
      </w: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00"/>
          </w:cols>
          <w:pgMar w:left="240" w:top="130" w:right="35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w:t>
      </w:r>
    </w:p>
    <w:p>
      <w:pPr>
        <w:spacing w:after="0" w:line="14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GLPI is a self-administered and self-managed Pennsylvania REIT. GLPI was incorporated in Pennsylvania on February 13, 2013, as a wholly-owned subsidiary of Penn. On November 1, 2013, Penn contributed to GLPI,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which are referred to as the "TRS Properties," and then spun-off GLPI to holders of Penn's common and preferred stock in a tax-free distribution. The Company elected on its U.S. federal income tax return for its taxable year beginning on January 1, 2014 to be treated as a REIT and the Company, together with an indirect wholly-owned subsidiary of the Company, GLP Holdings, Inc., jointly elected to treat each of GLP Holdings, Inc., Louisiana Casino Cruises, Inc. and Penn Cecil Maryland, Inc. as a "taxable REIT subsidiary" effective on the first day of the first taxable year of GLPI as a REIT. As a result of the Spin-Off, GLPI owns substantially all of Penn's former real property assets and leases back most of those assets to Penn for use by its subsidiaries, under the Penn Master Lease, and GLPI also owns and operates the TRS Properties through its indirect wholly-owned subsidiary, GLP Holdings, Inc. The assets and liabilities of GLPI were recorded at their respective historical carrying values at the time of the Spin-Off. In April 2016, the Company acquired substantially all of the real estate assets of Pinnacle for approximately $4.8 billion. GLPI leases these assets back to Pinnacle, under a triple-net lease with an initial term of 10 years with no purchase option, followed by five 5-year renewal options (exercisable by Pinnacle) on the same terms and conditions.</w:t>
      </w:r>
    </w:p>
    <w:p>
      <w:pPr>
        <w:spacing w:after="0" w:line="10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GLPI’s primary business consists of acquiring, financing, and owning real estate property to be leased to gaming operators in triple-net lease arrangements. As of March 31, 2017, GLPI’s portfolio consisted of 36 gaming and related facilities, including the TRS Properties, the real property associated with 18 gaming and related facilities operated by Penn, the real property associated with 15 gaming and related facilities operated by Pinnacle and the real property associated with the Casino Queen in East St. Louis, Illinois. These facilities are geographically diversified across 14 states and were 100% occupied at March 31, 2017.</w:t>
      </w:r>
    </w:p>
    <w:p>
      <w:pPr>
        <w:spacing w:after="0" w:line="188"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We expect to grow our portfolio by pursuing opportunities to acquire additional gaming facilities to lease to gaming operators under prudent terms. For example, on March 27, 2017 the Company entered into an agreement to purchase the real property assets of Bally's Casino Tunica and Resorts Casino Tunica for $82.6 million. Penn purchased the operating assets of the Tunica properties directly from the seller, operates both properties and leases the real property assets from the Company under the Penn Master Lease. The initial annual rent of $9.0 million for the Tunica properties will be subject to rent escalators and adjustments consistent with the other properties under the Penn Master Lease. The transaction closed on May 1, 2017.</w:t>
      </w:r>
    </w:p>
    <w:p>
      <w:pPr>
        <w:spacing w:after="0" w:line="15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Additionally, we believe we have the ability to leverage the expertise our management team has developed over the years to secure additional avenues for growth beyond the gaming industry. Accordingly, we anticipate we will be able to effect strategic acquisitions unrelated to the gaming industry as well as other acquisitions that may prove complementary to GLPI’s gaming facilities.</w:t>
      </w:r>
    </w:p>
    <w:p>
      <w:pPr>
        <w:spacing w:after="0" w:line="181"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As of March 31, 2017, the majority of our earnings are the result of the rental revenues we receive from our triple-net Master Leases with Penn and Pinnacle. Additionally, we have rental revenue from the Casino Queen property which is leased back to a third party operator on a triple-net basis and the Meadows property which is leased to Pinnacle under a triple-net lease separate from the Pinnacle Master Lease. In addition to rent, the tenants are required to pay the following executory costs: (1) all facility maintenance, (2) all insurance required in connection with the leased properties and the business conducted on the leased properties, (3) taxes levied on or with respect to the leased properties (other than taxes on the income of the lessor) and (4) all utilities and other services necessary or appropriate for the leased properties and the business conducted on the leased properties.</w:t>
      </w:r>
    </w:p>
    <w:p>
      <w:pPr>
        <w:spacing w:after="0" w:line="178"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Additionally, in accordance with ASC 605, we record revenue for the real estate taxes paid by our tenants on the leased properties with an offsetting expense in general and administrative expense within the condensed consolidated statement of income, as we believe we are the primary obligor. Similarly, we record revenue for the ground lease rent paid by our tenants with an offsetting expense in general and administrative expense within the condensed consolidated statement of income as we have concluded that as the lessee we are the primary obligor under the ground leases. We sublease these ground leases back to our tenants, who are responsible for payment directly to the landlord.</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30" w:right="25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60" w:firstLine="693"/>
        <w:spacing w:after="0" w:line="264" w:lineRule="auto"/>
        <w:rPr>
          <w:sz w:val="20"/>
          <w:szCs w:val="20"/>
          <w:color w:val="auto"/>
        </w:rPr>
      </w:pPr>
      <w:r>
        <w:rPr>
          <w:rFonts w:ascii="Arial" w:cs="Arial" w:eastAsia="Arial" w:hAnsi="Arial"/>
          <w:sz w:val="18"/>
          <w:szCs w:val="18"/>
          <w:color w:val="auto"/>
        </w:rPr>
        <w:t>Gaming revenue for our TRS Properties is derived primarily from gaming on slot machines and to a lesser extent, table game and poker revenue, which is highly dependent upon the volume and spending levels of customers at our TRS Properties. Other revenues at our TRS Properties are derived from our dining, retail, and certain other ancillary activities.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Consistent with how our Chief Operating Decision Maker reviews and assesses our financial performance, we have two reportable segments, GLP Capital and the TRS Properties. The GLP Capital reportable segment consists of the leased real property and represents the majority of our business. The TRS Properties reportable segment consists of Hollywood Casino Perryville and Hollywood Casino Baton Rouge.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Highlights</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We reported net revenues and income from operations of $242.7 million and $150.0 million, respectively, for the three months ended March 31, 2017, compared to $148.8 million and $67.6 million, respectively, for the corresponding period in the prior year. The major factors affecting our results for the three months ended March 31, 2017, as compared to the three months ended March 31, 2016, were:</w:t>
      </w:r>
    </w:p>
    <w:p>
      <w:pPr>
        <w:spacing w:after="0" w:line="181" w:lineRule="exact"/>
        <w:rPr>
          <w:sz w:val="20"/>
          <w:szCs w:val="20"/>
          <w:color w:val="auto"/>
        </w:rPr>
      </w:pPr>
    </w:p>
    <w:p>
      <w:pPr>
        <w:ind w:left="660" w:hanging="328"/>
        <w:spacing w:after="0" w:line="271"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During April 2016, we acquired substantially all of Pinnacle's real estate assets. These assets are leased back to Pinnacle under a Master Lease which is bifurcated between an operating lease and a direct financing lease, resulting in the recognition of rental income for the land assets leased to Pinnacle and income from a direct financing lease for the building assets leased to Pinnacle. Additionally, during September 2016, we acquired the real estate assets of the Meadows and leased these assets to Pinnacle under a single property triple-net lease. Rental revenue and income from the direct financing lease were $204.7 million for the three months ended March 31, 2017 and $112.0 million for the three months ended March 31, 2016. Rental revenue and income from the direct financing lease increased by $92.7 million for the three months ended March 31, 2017, as compared to the corresponding period in the prior year, primarily due to the Pinnacle transaction which increased rental income, income from the direct financing lease and the revenue recorded for real estate taxes paid by our tenants.</w:t>
      </w:r>
    </w:p>
    <w:p>
      <w:pPr>
        <w:spacing w:after="0" w:line="178" w:lineRule="exact"/>
        <w:rPr>
          <w:rFonts w:ascii="Arial" w:cs="Arial" w:eastAsia="Arial" w:hAnsi="Arial"/>
          <w:sz w:val="17"/>
          <w:szCs w:val="17"/>
          <w:color w:val="auto"/>
        </w:rPr>
      </w:pPr>
    </w:p>
    <w:p>
      <w:pPr>
        <w:ind w:left="660" w:right="40" w:hanging="328"/>
        <w:spacing w:after="0" w:line="286"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Net revenues for our TRS Properties increased by $1.2 million for the three months ended March 31, 2017, as compared to the corresponding period in the prior year, primarily due to increased gaming revenues at Hollywood Casino Baton Rouge, partially offset by decreased food and beverage revenues at Hollywood Casino Perryville due to outsourcing the operation of its food outlets during the first quarter of 2017.</w:t>
      </w:r>
    </w:p>
    <w:p>
      <w:pPr>
        <w:spacing w:after="0" w:line="165" w:lineRule="exact"/>
        <w:rPr>
          <w:rFonts w:ascii="Arial" w:cs="Arial" w:eastAsia="Arial" w:hAnsi="Arial"/>
          <w:sz w:val="17"/>
          <w:szCs w:val="17"/>
          <w:color w:val="auto"/>
        </w:rPr>
      </w:pPr>
    </w:p>
    <w:p>
      <w:pPr>
        <w:ind w:left="660" w:right="24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Total operating expenses increased by $11.5 million for the three months ended March 31, 2017, as compared to the corresponding period in the prior year, driven by an increase in real estate tax expense, primarily as a result of the addition of the Pinnacle and Meadows properties to our real estate portfolio. This real estate tax expense is offset in our revenues as described above.</w:t>
      </w:r>
    </w:p>
    <w:p>
      <w:pPr>
        <w:spacing w:after="0" w:line="181"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expenses, net increased by $20.6 million for the three months ended March 31, 2017, as compared to the corresponding period in the prior year, driven by increases in interest expense related to the Company's April 2016 borrowings.</w:t>
      </w:r>
    </w:p>
    <w:p>
      <w:pPr>
        <w:spacing w:after="0" w:line="170"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income increased by $61.2 million for the three months ended March 31, 2017, as compared to the corresponding period in the prior year, primarily due to the variances explained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30" w:right="25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Developments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are recent developments that have had or are likely to have an impact on us by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GLP Capital</w:t>
      </w:r>
    </w:p>
    <w:p>
      <w:pPr>
        <w:spacing w:after="0" w:line="225" w:lineRule="exact"/>
        <w:rPr>
          <w:sz w:val="20"/>
          <w:szCs w:val="20"/>
          <w:color w:val="auto"/>
        </w:rPr>
      </w:pPr>
    </w:p>
    <w:p>
      <w:pPr>
        <w:ind w:left="660" w:right="20" w:hanging="328"/>
        <w:spacing w:after="0" w:line="302" w:lineRule="auto"/>
        <w:tabs>
          <w:tab w:leader="none" w:pos="660" w:val="left"/>
        </w:tabs>
        <w:numPr>
          <w:ilvl w:val="0"/>
          <w:numId w:val="15"/>
        </w:numPr>
        <w:rPr>
          <w:rFonts w:ascii="Arial" w:cs="Arial" w:eastAsia="Arial" w:hAnsi="Arial"/>
          <w:sz w:val="16"/>
          <w:szCs w:val="16"/>
          <w:i w:val="1"/>
          <w:iCs w:val="1"/>
          <w:color w:val="auto"/>
        </w:rPr>
      </w:pPr>
      <w:r>
        <w:rPr>
          <w:rFonts w:ascii="Arial" w:cs="Arial" w:eastAsia="Arial" w:hAnsi="Arial"/>
          <w:sz w:val="16"/>
          <w:szCs w:val="16"/>
          <w:color w:val="auto"/>
        </w:rPr>
        <w:t>On March 27, 2017 the Company entered into an agreement to purchase the real property assets of Bally's Casino Tunica and Resorts Casino Tunica for $82.6 million. Penn purchased the operating assets of the Tunica properties directly from the seller, operates both properties and leases the real property assets from the Company under the Penn Master Lease. The initial annual rent of $9.0 million for the Tunica properties will be subject to rent escalators and adjustments consistent with the other properties under the Penn Master Lease. The transaction closed on May 1, 2017.</w:t>
      </w:r>
    </w:p>
    <w:p>
      <w:pPr>
        <w:spacing w:after="0" w:line="154" w:lineRule="exact"/>
        <w:rPr>
          <w:rFonts w:ascii="Arial" w:cs="Arial" w:eastAsia="Arial" w:hAnsi="Arial"/>
          <w:sz w:val="16"/>
          <w:szCs w:val="16"/>
          <w:i w:val="1"/>
          <w:iCs w:val="1"/>
          <w:color w:val="auto"/>
        </w:rPr>
      </w:pPr>
    </w:p>
    <w:p>
      <w:pPr>
        <w:ind w:left="660" w:hanging="328"/>
        <w:spacing w:after="0" w:line="30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On September 9, 2016, the Company purchased the real property assets of the Meadows from CCR. Concurrent with the Company's purchase of the Meadows' real estate assets, Pinnacle purchased the entities holding the Meadows gaming and racing licenses and operating assets directly from CCR. GLPI leases the Meadows real property assets to Pinnacle under a triple-net lease separate from the Pinnacle Master Lease with an initial term of 10 years with no purchase option and the option to renew for three successive five-year terms and one four-year term, at Pinnacle's option.</w:t>
      </w:r>
    </w:p>
    <w:p>
      <w:pPr>
        <w:spacing w:after="0" w:line="154" w:lineRule="exact"/>
        <w:rPr>
          <w:rFonts w:ascii="Arial" w:cs="Arial" w:eastAsia="Arial" w:hAnsi="Arial"/>
          <w:sz w:val="16"/>
          <w:szCs w:val="16"/>
          <w:color w:val="auto"/>
        </w:rPr>
      </w:pPr>
    </w:p>
    <w:p>
      <w:pPr>
        <w:jc w:val="both"/>
        <w:ind w:left="660" w:right="300" w:hanging="328"/>
        <w:spacing w:after="0" w:line="31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On April 28, 2016, the Company acquired substantially all of the real estate assets of Pinnacle, for approximately $4.8 billion. GLPI leases these assets back to Pinnacle, under a triple-net lease with an initial term of 10 years with no purchase option, followed by five 5-year renewal options (exercisable by Pinnacle) on the same terms and conditions. The Pinnacle Master Lease added 14 properties to our real estate portfolio.</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TRS Properties</w:t>
      </w:r>
    </w:p>
    <w:p>
      <w:pPr>
        <w:spacing w:after="0" w:line="225" w:lineRule="exact"/>
        <w:rPr>
          <w:sz w:val="20"/>
          <w:szCs w:val="20"/>
          <w:color w:val="auto"/>
        </w:rPr>
      </w:pPr>
    </w:p>
    <w:p>
      <w:pPr>
        <w:jc w:val="both"/>
        <w:ind w:left="660" w:right="300" w:hanging="328"/>
        <w:spacing w:after="0" w:line="312" w:lineRule="auto"/>
        <w:tabs>
          <w:tab w:leader="none" w:pos="660" w:val="left"/>
        </w:tabs>
        <w:numPr>
          <w:ilvl w:val="0"/>
          <w:numId w:val="16"/>
        </w:numPr>
        <w:rPr>
          <w:rFonts w:ascii="Arial" w:cs="Arial" w:eastAsia="Arial" w:hAnsi="Arial"/>
          <w:sz w:val="16"/>
          <w:szCs w:val="16"/>
          <w:i w:val="1"/>
          <w:iCs w:val="1"/>
          <w:color w:val="auto"/>
        </w:rPr>
      </w:pPr>
      <w:r>
        <w:rPr>
          <w:rFonts w:ascii="Arial" w:cs="Arial" w:eastAsia="Arial" w:hAnsi="Arial"/>
          <w:sz w:val="16"/>
          <w:szCs w:val="16"/>
          <w:color w:val="auto"/>
        </w:rPr>
        <w:t>During the first quarter of 2017, Hollywood Casino Perryville outsourced the operation of its food and beverage outlets to a third party provider. Employees of these outlets are now employees of the third party; therefore both Hollywood Casino Perryville's revenues and expenses related to food and beverage decreased during the three months ended March 31, 2017 as compared to the corresponding period in the prior year.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make certain judgments and use certain estimates and assumptions when applying accounting principles in the preparation of our consolidated financial statements. The nature of the estimates and assumptions are material due to the levels of subjectivity and judgment necessary to account for highly uncertain factors or the susceptibility of such factors to change. We have identified the accounting for income taxes, real estate investments, leases and goodwill and other intangible assets as critical accounting estimates, as they are the most important to our financial statement presentation and require difficult, subjective and complex judgments.</w:t>
      </w:r>
    </w:p>
    <w:p>
      <w:pPr>
        <w:spacing w:after="0" w:line="18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believe the current assumptions and other considerations used to estimate amounts reflected in our condensed consolidated financial statements are appropriate. However, if actual experience differs from the assumptions and other considerations used in estimating amounts reflected in our consolidated financial statements, the resulting changes could have a material adverse effect on our consolidated results of operations and, in certain situations, could have a material adverse effect on our consolidated financial condition.</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For further information on our critical accounting estimates, see Item 7. "Management’s Discussion and Analysis of Financial Condition and Results of Operations" and the Notes to our audited consolidated financial statements included in our Annual Report on Form 10-K. There has been no material change to these estimates for the three months ended March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130" w:right="29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the most important factors and trends that contribute or will contribute to our operating performance:</w:t>
      </w:r>
    </w:p>
    <w:p>
      <w:pPr>
        <w:spacing w:after="0" w:line="225" w:lineRule="exact"/>
        <w:rPr>
          <w:sz w:val="20"/>
          <w:szCs w:val="20"/>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fact that a wholly-owned subsidiary of Penn and a wholly-owned subsidiary of Pinnacle lease substantially all of our properties, pursuant to their respective Master Leases, and account for a significant portion of our revenue.</w:t>
      </w:r>
    </w:p>
    <w:p>
      <w:pPr>
        <w:spacing w:after="0" w:line="170" w:lineRule="exact"/>
        <w:rPr>
          <w:rFonts w:ascii="Arial" w:cs="Arial" w:eastAsia="Arial" w:hAnsi="Arial"/>
          <w:sz w:val="18"/>
          <w:szCs w:val="18"/>
          <w:color w:val="auto"/>
        </w:rPr>
      </w:pPr>
    </w:p>
    <w:p>
      <w:pPr>
        <w:jc w:val="both"/>
        <w:ind w:left="660" w:right="4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fact that the rules and regulations of U.S. federal income taxation are constantly under review by legislators, the IRS and the U.S. Department of the Treasury. Changes to the tax laws or interpretations thereof, with or without retroactive application, could materially and adversely affect GLPI's investors or GLPI.</w:t>
      </w:r>
    </w:p>
    <w:p>
      <w:pPr>
        <w:spacing w:after="0" w:line="181"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risks related to economic conditions and the effect of such conditions on consumer spending for leisure and gaming activities, which may negatively impact our gaming tenants and operators.</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consolidated results of operations for the three months ended March 31, 2017 and 2016 are summarized below:</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53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2016</w:t>
            </w:r>
          </w:p>
        </w:tc>
      </w:tr>
      <w:tr>
        <w:trPr>
          <w:trHeight w:val="187"/>
        </w:trPr>
        <w:tc>
          <w:tcPr>
            <w:tcW w:w="5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6"/>
                <w:szCs w:val="16"/>
                <w:color w:val="auto"/>
              </w:rPr>
            </w:pPr>
          </w:p>
        </w:tc>
      </w:tr>
      <w:tr>
        <w:trPr>
          <w:trHeight w:val="252"/>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Rental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165,161</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100,215</w:t>
            </w:r>
          </w:p>
        </w:tc>
      </w:tr>
      <w:tr>
        <w:trPr>
          <w:trHeight w:val="27"/>
        </w:trPr>
        <w:tc>
          <w:tcPr>
            <w:tcW w:w="5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direct financing lease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17,824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Real estate taxes paid by tenants</w:t>
            </w: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21,720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11,827</w:t>
            </w:r>
          </w:p>
        </w:tc>
      </w:tr>
      <w:tr>
        <w:trPr>
          <w:trHeight w:val="27"/>
        </w:trPr>
        <w:tc>
          <w:tcPr>
            <w:tcW w:w="5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rental revenue and income from direct financing lease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204,705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112,042</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Gaming, food, beverage and other</w:t>
            </w: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39,260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38,159</w:t>
            </w:r>
          </w:p>
        </w:tc>
      </w:tr>
      <w:tr>
        <w:trPr>
          <w:trHeight w:val="27"/>
        </w:trPr>
        <w:tc>
          <w:tcPr>
            <w:tcW w:w="5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243,965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150,201</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Less promotional allowances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(1,381)</w:t>
            </w:r>
          </w:p>
        </w:tc>
      </w:tr>
      <w:tr>
        <w:trPr>
          <w:trHeight w:val="27"/>
        </w:trPr>
        <w:tc>
          <w:tcPr>
            <w:tcW w:w="5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242,713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148,820</w:t>
            </w:r>
          </w:p>
        </w:tc>
      </w:tr>
      <w:tr>
        <w:trPr>
          <w:trHeight w:val="223"/>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r>
      <w:tr>
        <w:trPr>
          <w:trHeight w:val="27"/>
        </w:trPr>
        <w:tc>
          <w:tcPr>
            <w:tcW w:w="5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Gaming, food, beverage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21,076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20,987</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Real estate taxes</w:t>
            </w: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22,143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12,207</w:t>
            </w:r>
          </w:p>
        </w:tc>
      </w:tr>
      <w:tr>
        <w:trPr>
          <w:trHeight w:val="27"/>
        </w:trPr>
        <w:tc>
          <w:tcPr>
            <w:tcW w:w="5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21,231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20,906</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28,257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27,083</w:t>
            </w:r>
          </w:p>
        </w:tc>
      </w:tr>
      <w:tr>
        <w:trPr>
          <w:trHeight w:val="27"/>
        </w:trPr>
        <w:tc>
          <w:tcPr>
            <w:tcW w:w="5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92,707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81,183</w:t>
            </w: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150,006</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67,637</w:t>
            </w:r>
          </w:p>
        </w:tc>
      </w:tr>
      <w:tr>
        <w:trPr>
          <w:trHeight w:val="20"/>
        </w:trPr>
        <w:tc>
          <w:tcPr>
            <w:tcW w:w="5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Certain information regarding our results of operations by segment for the three months ended March 31, 2017 and 2016 is summarized below:</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Three Months Ended March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51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Net Revenues</w:t>
            </w:r>
          </w:p>
        </w:tc>
        <w:tc>
          <w:tcPr>
            <w:tcW w:w="10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Income from Operations</w:t>
            </w:r>
          </w:p>
        </w:tc>
      </w:tr>
      <w:tr>
        <w:trPr>
          <w:trHeight w:val="196"/>
        </w:trPr>
        <w:tc>
          <w:tcPr>
            <w:tcW w:w="5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GLP Capital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204,705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112,042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142,034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60,770</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TRS Properties</w:t>
            </w:r>
          </w:p>
        </w:tc>
        <w:tc>
          <w:tcPr>
            <w:tcW w:w="360" w:type="dxa"/>
            <w:vAlign w:val="bottom"/>
          </w:tcPr>
          <w:p>
            <w:pPr>
              <w:spacing w:after="0"/>
              <w:rPr>
                <w:sz w:val="21"/>
                <w:szCs w:val="21"/>
                <w:color w:val="auto"/>
              </w:rPr>
            </w:pP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38,008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9"/>
              <w:spacing w:after="0"/>
              <w:rPr>
                <w:sz w:val="20"/>
                <w:szCs w:val="20"/>
                <w:color w:val="auto"/>
              </w:rPr>
            </w:pPr>
            <w:r>
              <w:rPr>
                <w:rFonts w:ascii="Arial" w:cs="Arial" w:eastAsia="Arial" w:hAnsi="Arial"/>
                <w:sz w:val="18"/>
                <w:szCs w:val="18"/>
                <w:color w:val="auto"/>
              </w:rPr>
              <w:t>36,778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7,972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6,867</w:t>
            </w: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242,713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148,820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150,006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67,637</w:t>
            </w:r>
          </w:p>
        </w:tc>
      </w:tr>
      <w:tr>
        <w:trPr>
          <w:trHeight w:val="20"/>
        </w:trPr>
        <w:tc>
          <w:tcPr>
            <w:tcW w:w="5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Adjusted EBITDA, FFO and AFFO</w:t>
      </w:r>
    </w:p>
    <w:p>
      <w:pPr>
        <w:spacing w:after="0" w:line="22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Funds From Operations ("FFO"), Adjusted Funds From Operations ("AFFO") and Adjusted EBITDA are non-GAAP financial measures used by the Company as performance measures for benchmarking against the Company’s peers and as internal measures of business operating performance which is used as a bonus metric. The Company believes FFO, AFFO and Adjusted EBITDA provide a meaningful perspective of the underlying operating performance of the Company’s current business. This is especially true since these measures exclude real estate depreciation and we believe that real estate values</w:t>
      </w:r>
    </w:p>
    <w:p>
      <w:pPr>
        <w:sectPr>
          <w:pgSz w:w="11900" w:h="16838" w:orient="portrait"/>
          <w:cols w:equalWidth="0" w:num="1">
            <w:col w:w="11420"/>
          </w:cols>
          <w:pgMar w:left="240" w:top="130"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30" w:right="239" w:bottom="1440" w:gutter="0" w:footer="0" w:header="0"/>
          <w:type w:val="continuous"/>
        </w:sectPr>
      </w:pPr>
    </w:p>
    <w:bookmarkStart w:id="33" w:name="page34"/>
    <w:bookmarkEnd w:id="3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fluctuate based on market conditions rather than depreciating in value ratably on a straight-line basis over time. In addition, in order for the Company to qualify as a REIT, it must distribute 90% of its REIT taxable income annually. The Company adjusts AFFO accordingly to provide our investors an estimate of the taxable income available for this distribution requirement.</w:t>
      </w:r>
    </w:p>
    <w:p>
      <w:pPr>
        <w:spacing w:after="0" w:line="18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FFO is a non-GAAP financial measure that is considered a supplemental measure for the real estate industry and a supplement to GAAP measures. The National Association of Real Estate Investment Trusts defines FFO as net income (computed in accordance with GAAP), excluding (gains) or losses from sales of property and real estate depreciation. We define AFFO as FFO excluding stock based compensation expense, debt issuance costs amortization, other depreciation, amortization of land rights, straight-line rent adjustments and direct financing lease adjustments, reduced by maintenance capital expenditures. Finally, we define Adjusted EBITDA as net income excluding interest, taxes on income, depreciation, (gains) or losses from sales of property, stock based compensation expense, straight-line rent adjustments, direct financing lease adjustments and the amortization of land rights.</w:t>
      </w:r>
    </w:p>
    <w:p>
      <w:pPr>
        <w:spacing w:after="0" w:line="16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FFO, AFFO and Adjusted EBITDA are not recognized terms under GAAP. Because certain companies do not calculate FFO, AFFO and Adjusted EBITDA in the same way and certain other companies may not perform such calculation, those measures as used by other companies may not be consistent with the way the Company calculates such measures and should not be considered as alternative measures of operating profit or net income. The Company’s presentation of these measures does not replace the presentation of the Company’s financial results in accordance with GAAP.</w:t>
      </w:r>
    </w:p>
    <w:p>
      <w:pPr>
        <w:spacing w:after="0" w:line="15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reconciliation of the Company’s net income per GAAP to FFO, AFFO, and Adjusted EBITDA for the three months ended March 31, 2017 and 2016 is as follows:</w:t>
      </w:r>
    </w:p>
    <w:p>
      <w:pPr>
        <w:spacing w:after="0" w:line="324" w:lineRule="exact"/>
        <w:rPr>
          <w:sz w:val="20"/>
          <w:szCs w:val="20"/>
          <w:color w:val="auto"/>
        </w:rPr>
      </w:pPr>
    </w:p>
    <w:p>
      <w:pPr>
        <w:ind w:left="64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6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5"/>
                <w:szCs w:val="15"/>
                <w:color w:val="auto"/>
              </w:rPr>
            </w:pPr>
          </w:p>
        </w:tc>
      </w:tr>
      <w:tr>
        <w:trPr>
          <w:trHeight w:val="252"/>
        </w:trPr>
        <w:tc>
          <w:tcPr>
            <w:tcW w:w="5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47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ind w:right="471"/>
              <w:spacing w:after="0"/>
              <w:rPr>
                <w:sz w:val="20"/>
                <w:szCs w:val="20"/>
                <w:color w:val="auto"/>
              </w:rPr>
            </w:pPr>
            <w:r>
              <w:rPr>
                <w:rFonts w:ascii="Arial" w:cs="Arial" w:eastAsia="Arial" w:hAnsi="Arial"/>
                <w:sz w:val="14"/>
                <w:szCs w:val="14"/>
                <w:b w:val="1"/>
                <w:bCs w:val="1"/>
                <w:color w:val="auto"/>
              </w:rPr>
              <w:t>2016</w:t>
            </w:r>
          </w:p>
        </w:tc>
      </w:tr>
      <w:tr>
        <w:trPr>
          <w:trHeight w:val="270"/>
        </w:trPr>
        <w:tc>
          <w:tcPr>
            <w:tcW w:w="5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23"/>
                <w:szCs w:val="23"/>
                <w:color w:val="auto"/>
              </w:rPr>
            </w:pPr>
          </w:p>
        </w:tc>
      </w:tr>
      <w:tr>
        <w:trPr>
          <w:trHeight w:val="255"/>
        </w:trPr>
        <w:tc>
          <w:tcPr>
            <w:tcW w:w="566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b w:val="1"/>
                <w:bCs w:val="1"/>
                <w:color w:val="auto"/>
              </w:rPr>
              <w:t>93,991</w:t>
            </w:r>
          </w:p>
        </w:tc>
        <w:tc>
          <w:tcPr>
            <w:tcW w:w="10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32,749</w:t>
            </w:r>
          </w:p>
        </w:tc>
      </w:tr>
      <w:tr>
        <w:trPr>
          <w:trHeight w:val="27"/>
        </w:trPr>
        <w:tc>
          <w:tcPr>
            <w:tcW w:w="5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or (gains) from dispositions of property</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Real estate depreciation</w:t>
            </w:r>
          </w:p>
        </w:tc>
        <w:tc>
          <w:tcPr>
            <w:tcW w:w="3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24,903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23,691</w:t>
            </w:r>
          </w:p>
        </w:tc>
      </w:tr>
      <w:tr>
        <w:trPr>
          <w:trHeight w:val="27"/>
        </w:trPr>
        <w:tc>
          <w:tcPr>
            <w:tcW w:w="5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Funds from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118,999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56,425</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Straight-line rent adjustments</w:t>
            </w:r>
          </w:p>
        </w:tc>
        <w:tc>
          <w:tcPr>
            <w:tcW w:w="3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16,245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13,956</w:t>
            </w:r>
          </w:p>
        </w:tc>
      </w:tr>
      <w:tr>
        <w:trPr>
          <w:trHeight w:val="27"/>
        </w:trPr>
        <w:tc>
          <w:tcPr>
            <w:tcW w:w="5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 financing lease adjustments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17,613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Other depreciation</w:t>
            </w:r>
          </w:p>
        </w:tc>
        <w:tc>
          <w:tcPr>
            <w:tcW w:w="3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3,354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3,392</w:t>
            </w:r>
          </w:p>
        </w:tc>
      </w:tr>
      <w:tr>
        <w:trPr>
          <w:trHeight w:val="27"/>
        </w:trPr>
        <w:tc>
          <w:tcPr>
            <w:tcW w:w="5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land rights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2,311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Amortization of debt issuance costs</w:t>
            </w:r>
          </w:p>
        </w:tc>
        <w:tc>
          <w:tcPr>
            <w:tcW w:w="3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3,257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5,582</w:t>
            </w:r>
          </w:p>
        </w:tc>
      </w:tr>
      <w:tr>
        <w:trPr>
          <w:trHeight w:val="27"/>
        </w:trPr>
        <w:tc>
          <w:tcPr>
            <w:tcW w:w="5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4,483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4,572</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Maintenance CAPEX</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(362)</w:t>
            </w:r>
          </w:p>
        </w:tc>
      </w:tr>
      <w:tr>
        <w:trPr>
          <w:trHeight w:val="27"/>
        </w:trPr>
        <w:tc>
          <w:tcPr>
            <w:tcW w:w="5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funds from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165,780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83,565</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Interest, net</w:t>
            </w:r>
          </w:p>
        </w:tc>
        <w:tc>
          <w:tcPr>
            <w:tcW w:w="3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53,485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32,884</w:t>
            </w:r>
          </w:p>
        </w:tc>
      </w:tr>
      <w:tr>
        <w:trPr>
          <w:trHeight w:val="27"/>
        </w:trPr>
        <w:tc>
          <w:tcPr>
            <w:tcW w:w="5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2,530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2,004</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Maintenance CAPEX</w:t>
            </w:r>
          </w:p>
        </w:tc>
        <w:tc>
          <w:tcPr>
            <w:tcW w:w="3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362</w:t>
            </w:r>
          </w:p>
        </w:tc>
      </w:tr>
      <w:tr>
        <w:trPr>
          <w:trHeight w:val="27"/>
        </w:trPr>
        <w:tc>
          <w:tcPr>
            <w:tcW w:w="5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debt issuance costs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(5,582)</w:t>
            </w:r>
          </w:p>
        </w:tc>
      </w:tr>
      <w:tr>
        <w:trPr>
          <w:trHeight w:val="257"/>
        </w:trPr>
        <w:tc>
          <w:tcPr>
            <w:tcW w:w="56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219,020</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113,233</w:t>
            </w:r>
          </w:p>
        </w:tc>
      </w:tr>
      <w:tr>
        <w:trPr>
          <w:trHeight w:val="20"/>
        </w:trPr>
        <w:tc>
          <w:tcPr>
            <w:tcW w:w="5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80"/>
          </w:cols>
          <w:pgMar w:left="240" w:top="13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80"/>
          </w:cols>
          <w:pgMar w:left="240" w:top="130" w:right="379" w:bottom="1440" w:gutter="0" w:footer="0" w:header="0"/>
          <w:type w:val="continuous"/>
        </w:sectPr>
      </w:pPr>
    </w:p>
    <w:bookmarkStart w:id="34" w:name="page35"/>
    <w:bookmarkEnd w:id="3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reconciliation of each segment’s net income per GAAP to FFO, AFFO, and Adjusted EBITDA for the three months ended March 31, 2017 and 2016 is as follows: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GLP Capital</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TRS Properties</w:t>
            </w:r>
          </w:p>
        </w:tc>
        <w:tc>
          <w:tcPr>
            <w:tcW w:w="880" w:type="dxa"/>
            <w:vAlign w:val="bottom"/>
            <w:tcBorders>
              <w:bottom w:val="single" w:sz="8" w:color="auto"/>
            </w:tcBorders>
          </w:tcPr>
          <w:p>
            <w:pPr>
              <w:spacing w:after="0"/>
              <w:rPr>
                <w:sz w:val="16"/>
                <w:szCs w:val="16"/>
                <w:color w:val="auto"/>
              </w:rPr>
            </w:pPr>
          </w:p>
        </w:tc>
      </w:tr>
      <w:tr>
        <w:trPr>
          <w:trHeight w:val="264"/>
        </w:trPr>
        <w:tc>
          <w:tcPr>
            <w:tcW w:w="5620" w:type="dxa"/>
            <w:vAlign w:val="bottom"/>
            <w:gridSpan w:val="2"/>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320" w:type="dxa"/>
            <w:vAlign w:val="bottom"/>
          </w:tcPr>
          <w:p>
            <w:pPr>
              <w:spacing w:after="0"/>
              <w:rPr>
                <w:sz w:val="22"/>
                <w:szCs w:val="22"/>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451"/>
              <w:spacing w:after="0"/>
              <w:rPr>
                <w:sz w:val="20"/>
                <w:szCs w:val="20"/>
                <w:color w:val="auto"/>
              </w:rPr>
            </w:pPr>
            <w:r>
              <w:rPr>
                <w:rFonts w:ascii="Arial" w:cs="Arial" w:eastAsia="Arial" w:hAnsi="Arial"/>
                <w:sz w:val="14"/>
                <w:szCs w:val="14"/>
                <w:b w:val="1"/>
                <w:bCs w:val="1"/>
                <w:color w:val="auto"/>
              </w:rPr>
              <w:t>2016</w:t>
            </w:r>
          </w:p>
        </w:tc>
      </w:tr>
      <w:tr>
        <w:trPr>
          <w:trHeight w:val="244"/>
        </w:trPr>
        <w:tc>
          <w:tcPr>
            <w:tcW w:w="55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r>
      <w:tr>
        <w:trPr>
          <w:trHeight w:val="296"/>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90,779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30,101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3,212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2,648</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Losses or (gains) from dispositions of property</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Real estate depreciation</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24,903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23,691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Funds from operations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115,682</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53,792</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3,317</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2,633</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Straight-line rent adjustments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16,245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13,956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Direct financing lease adjustments</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17,613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depreciation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2,833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2,871</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Amortization of land rights</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2,311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Debt issuance costs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5,582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Stock based compensation</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4,483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4,572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Maintenance CAPEX</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w:t>
            </w: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Adjusted funds from operations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160,112</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78,423</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5,668</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5,142</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Interest, net </w:t>
            </w:r>
            <w:r>
              <w:rPr>
                <w:rFonts w:ascii="Arial" w:cs="Arial" w:eastAsia="Arial" w:hAnsi="Arial"/>
                <w:sz w:val="25"/>
                <w:szCs w:val="25"/>
                <w:color w:val="auto"/>
                <w:vertAlign w:val="superscript"/>
              </w:rPr>
              <w:t>(1)</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50,885</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30,283</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2,600</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2,601</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2,160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1,618</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Maintenance CAPEX</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Debt issuance costs amortization</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(3,257)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(5,582)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208,110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103,510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10,910</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9,723</w:t>
            </w: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17322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80" w:right="220" w:hanging="648"/>
        <w:spacing w:after="0" w:line="216" w:lineRule="auto"/>
        <w:tabs>
          <w:tab w:leader="none" w:pos="98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Interest expense, net for the GLP Capital segment is net of intercompany interest eliminations of $2.6 million for both the three months ended March 31, 2017 and 2016.</w:t>
      </w:r>
    </w:p>
    <w:p>
      <w:pPr>
        <w:spacing w:after="0" w:line="203"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color w:val="auto"/>
        </w:rPr>
        <w:t>Net income for our GLP Capital segment was $90.8 million for the three months ended March 31, 2017 and $30.1 million for the three months ended March 31, 2016. FFO, AFFO, and Adjusted EBITDA for our GLP Capital segment were $115.7 million, $160.1 million and $208.1 million, respectively, for the three months ended March 31, 2017. FFO, AFFO, and Adjusted EBITDA for our GLP Capital segment were $53.8 million, $78.4 million and $103.5 million, respectively, for the three months ended March 31, 2016. The significant increase in net income for our GLP Capital segment for the three months ended March 31, 2017, as compared to the three months ended March 31, 2016, was primarily driven by a $92.7 million increase in net revenues, partially offset by a $11.4 million increase in operating expenses and a $20.6 million increase in interest, net. The increase in net revenues in our GLP Capital segment was primarily due to the portion of the rent received under the Pinnacle Master Lease recognized as rental income and as income from the direct financing lease, rent received under the Meadows Lease, as well as the impact of the Penn rent escalator and an increase in real estate taxes paid by tenants, also resulting from the addition of the Pinnacle properties to our real estate portfolio. The increase in interest, net was driven by higher interest expense related to the Company's additional borrowings incurred to finance the Pinnacle acquisition. The changes described above also led to higher FFO for the three months ended March 31, 2017, as compared to the three months ended March 31, 2016. The increase in AFFO for our GLP Capital segment was primarily driven by the changes described above, as well as, the inclusion of adjustments for our direct financing lease and the amortization of land rights related to the ground leases acquired with Pinnacle, and increased straight-line rent adjustments related to our new Meadows lease, partially offset by lower debt issuance costs amortization, all of which are added back for purposes of calculating AFFO. Direct financing lease adjustments represent the portion of cash rent we receive from tenants that is applied against our lease receivable and thus not recorded as revenue and the amortization of land rights represents the non-cash amortization of the value assigned to the Company's acquired ground leases. These adjustments are added back to arrive at AFFO because they represent, in the case of the direct financing lease adjustments, cash we have received and recorded in taxable income and in the case of the amortization of land rights, non-cash charges which are non-deductible for tax purposes. Therefore, these adjustments help our investors better understand the components of our taxable income which must be distributed to our shareholders. The increase in Adjusted EBITDA for our GLP Capital segment was primarily driven by the increases in AFFO described above, as well as, a higher add back for interest.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30"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Net income and FFO increased by $0.6 million and $0.7 million, respectively, for our TRS Properties segment for the three months ended March 31, 2017, as compared to the three months ended March 31, 2016. AFFO increased by $0.5 million and Adjusted EBITDA increased by $1.2 million for the three months ended March 31, 2017, as compared to the three months ended March 31, 2016 for our TRS Properties segment. Net income, FFO and AFFO for our TRS Properties segment increased for the three months ended March 31, 2017, as compared to the three months ended March 31, 2016, primarily due to increased revenues Hollywood Casino Baton Rouge. Adjusted EBITDA for our TRS Properties segment increased for the three months ended March 31, 2017, as compared to the three months ended March 31, 2016, primarily due to the reason described above, in addition to higher income taxes during the three months ended March 31, 2017.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Revenues for the three months ended March 31, 2017 and 2016 were as follows (in thousands):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308"/>
              <w:spacing w:after="0"/>
              <w:rPr>
                <w:sz w:val="20"/>
                <w:szCs w:val="20"/>
                <w:color w:val="auto"/>
              </w:rPr>
            </w:pPr>
            <w:r>
              <w:rPr>
                <w:rFonts w:ascii="Arial" w:cs="Arial" w:eastAsia="Arial" w:hAnsi="Arial"/>
                <w:sz w:val="14"/>
                <w:szCs w:val="14"/>
                <w:b w:val="1"/>
                <w:bCs w:val="1"/>
                <w:color w:val="auto"/>
              </w:rPr>
              <w:t>Percentage</w:t>
            </w:r>
          </w:p>
        </w:tc>
      </w:tr>
      <w:tr>
        <w:trPr>
          <w:trHeight w:val="276"/>
        </w:trPr>
        <w:tc>
          <w:tcPr>
            <w:tcW w:w="5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Variance</w:t>
            </w:r>
          </w:p>
        </w:tc>
        <w:tc>
          <w:tcPr>
            <w:tcW w:w="100" w:type="dxa"/>
            <w:vAlign w:val="bottom"/>
            <w:tcBorders>
              <w:bottom w:val="single" w:sz="8" w:color="CCEEFF"/>
            </w:tcBorders>
          </w:tcPr>
          <w:p>
            <w:pPr>
              <w:spacing w:after="0"/>
              <w:rPr>
                <w:sz w:val="24"/>
                <w:szCs w:val="24"/>
                <w:color w:val="auto"/>
              </w:rPr>
            </w:pPr>
          </w:p>
        </w:tc>
        <w:tc>
          <w:tcPr>
            <w:tcW w:w="14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Variance</w:t>
            </w: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rental revenue and income from direct financing lease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204,705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112,042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92,663</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82.7%</w:t>
            </w: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Gaming, food, beverage and other</w:t>
            </w: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39,260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38,159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1,101</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44"/>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243,965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150,201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93,764</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62.4%</w:t>
            </w: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Less promotional allowances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129</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9.3%</w:t>
            </w:r>
          </w:p>
        </w:tc>
      </w:tr>
      <w:tr>
        <w:trPr>
          <w:trHeight w:val="27"/>
        </w:trPr>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57"/>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242,713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148,820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93,893</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63.1%</w:t>
            </w:r>
          </w:p>
        </w:tc>
      </w:tr>
      <w:tr>
        <w:trPr>
          <w:trHeight w:val="20"/>
        </w:trPr>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rental revenue and income from direct financing lease</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For the three months ended March 31, 2017 and 2016, rental revenue and income from the direct financing lease were $204.7 million and $112.0 million, respectively, for our GLP Capital segment, which included $21.7 million and $11.8 million, respectively, of revenue for the real estate taxes paid by our tenants on the leased properties. During April 2016, we acquired the real estate assets of Pinnacle and immediately leased these assets back to Pinnacle under a long-term triple-net master lease. Under ASC 840, the Pinnacle lease is bifurcated between an operating and direct financing lease, resulting in the recognition of rental revenue for the land portion of the lease and interest income from the direct financing lease, relating to the leased building assets. Additionally, during September 2016, we acquired the real estate assets of the Meadows and leased these assets to Pinnacle under a single property triple-net lease.</w:t>
      </w:r>
    </w:p>
    <w:p>
      <w:pPr>
        <w:spacing w:after="0" w:line="189"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In accordance with ASC 605, the Company is required to present the real estate taxes paid by its tenants on the leased properties as revenue with an offsetting expense on its condensed consolidated statement of income, as the Company believes it is the primary obligor. Similarly, the Company records revenue for the ground lease rent paid by its tenants with an offsetting expense in general and administrative expense within the condensed consolidated statement of income as the Company has concluded that as the lessee it is the primary obligor under the ground leases. The Company subleases these ground leases back to its tenants, who are responsible for payment directly to the landlord.</w:t>
      </w:r>
    </w:p>
    <w:p>
      <w:pPr>
        <w:spacing w:after="0" w:line="173"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Rental revenue and income from the direct financing lease increased $92.7 million or 82.7% for the three months ended March 31, 2017, as compared to the three months ended March 31, 2016, primarily due to the portion of the rent received under the Pinnacle Master Lease recognized as rental income and as income from the direct financing lease, rent received under the Meadows Lease, as well as the impact of the Penn rent escalator and an increase in real estate taxes, resulting from the addition of the Pinnacle properties to our real estate portfolio. Specifically, Pinnacle contributed $59.8 million of rental revenue, $17.8 million of interest income from the direct financing lease and $9.6 million of real estate tax income to net revenues for the three months ended March 31, 2017. The Penn rent escalator contributed an increase of $1.1 million of rental revenue for three months ended March 31, 2017, as compared to the three months ended March 31, 2016, while the Meadows Lease contributed $4.1 million to net revenues for the three months ended March 31,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 food, beverage and other revenue</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Gaming, food, beverage and other revenue for our TRS Properties segment increased by $1.1 million, or 2.9%, for the three months ended March 31, 2017, as compared to the three months ended March 31, 2016, primarily due to an increase in revenues of $1.6 million at Hollywood Casino Baton Rouge, resulting from increased patronage, partially offset by a $0.5 million decrease in food and beverage revenue at Hollywood Casino Perryville due to outsourcing the operation of its food and beverage outlets during the first quarter of 2017.</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30"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expenses for the three months ended March 31, 2017 and 2016 were as follows (in thousands):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ind w:right="368"/>
              <w:spacing w:after="0"/>
              <w:rPr>
                <w:sz w:val="20"/>
                <w:szCs w:val="20"/>
                <w:color w:val="auto"/>
              </w:rPr>
            </w:pPr>
            <w:r>
              <w:rPr>
                <w:rFonts w:ascii="Arial" w:cs="Arial" w:eastAsia="Arial" w:hAnsi="Arial"/>
                <w:sz w:val="14"/>
                <w:szCs w:val="14"/>
                <w:b w:val="1"/>
                <w:bCs w:val="1"/>
                <w:color w:val="auto"/>
              </w:rPr>
              <w:t>Percentage</w:t>
            </w:r>
          </w:p>
        </w:tc>
      </w:tr>
      <w:tr>
        <w:trPr>
          <w:trHeight w:val="276"/>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Variance</w:t>
            </w:r>
          </w:p>
        </w:tc>
        <w:tc>
          <w:tcPr>
            <w:tcW w:w="10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Variance</w:t>
            </w:r>
          </w:p>
        </w:tc>
      </w:tr>
      <w:tr>
        <w:trPr>
          <w:trHeight w:val="250"/>
        </w:trPr>
        <w:tc>
          <w:tcPr>
            <w:tcW w:w="5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Gaming, food, beverage and other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21,076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20,987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89</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43"/>
        </w:trPr>
        <w:tc>
          <w:tcPr>
            <w:tcW w:w="5100" w:type="dxa"/>
            <w:vAlign w:val="bottom"/>
            <w:gridSpan w:val="2"/>
          </w:tcPr>
          <w:p>
            <w:pPr>
              <w:ind w:left="40"/>
              <w:spacing w:after="0"/>
              <w:rPr>
                <w:sz w:val="20"/>
                <w:szCs w:val="20"/>
                <w:color w:val="auto"/>
              </w:rPr>
            </w:pPr>
            <w:r>
              <w:rPr>
                <w:rFonts w:ascii="Arial" w:cs="Arial" w:eastAsia="Arial" w:hAnsi="Arial"/>
                <w:sz w:val="18"/>
                <w:szCs w:val="18"/>
                <w:color w:val="auto"/>
              </w:rPr>
              <w:t>Real estate taxes</w:t>
            </w: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22,143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12,207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9,936</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81.4%</w:t>
            </w:r>
          </w:p>
        </w:tc>
      </w:tr>
      <w:tr>
        <w:trPr>
          <w:trHeight w:val="27"/>
        </w:trPr>
        <w:tc>
          <w:tcPr>
            <w:tcW w:w="5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21,231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20,906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325</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5100" w:type="dxa"/>
            <w:vAlign w:val="bottom"/>
            <w:gridSpan w:val="2"/>
          </w:tcPr>
          <w:p>
            <w:pPr>
              <w:ind w:left="4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28,257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27,083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1,174</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5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57"/>
        </w:trPr>
        <w:tc>
          <w:tcPr>
            <w:tcW w:w="5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92,707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81,183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11,524</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0"/>
        </w:trPr>
        <w:tc>
          <w:tcPr>
            <w:tcW w:w="5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taxes</w:t>
      </w:r>
    </w:p>
    <w:p>
      <w:pPr>
        <w:spacing w:after="0" w:line="229" w:lineRule="exact"/>
        <w:rPr>
          <w:sz w:val="20"/>
          <w:szCs w:val="20"/>
          <w:color w:val="auto"/>
        </w:rPr>
      </w:pPr>
    </w:p>
    <w:p>
      <w:pPr>
        <w:jc w:val="both"/>
        <w:ind w:right="340" w:firstLine="648"/>
        <w:spacing w:after="0" w:line="312" w:lineRule="auto"/>
        <w:rPr>
          <w:sz w:val="20"/>
          <w:szCs w:val="20"/>
          <w:color w:val="auto"/>
        </w:rPr>
      </w:pPr>
      <w:r>
        <w:rPr>
          <w:rFonts w:ascii="Arial" w:cs="Arial" w:eastAsia="Arial" w:hAnsi="Arial"/>
          <w:sz w:val="16"/>
          <w:szCs w:val="16"/>
          <w:color w:val="auto"/>
        </w:rPr>
        <w:t>Real estate tax expense increased by $9.9 million, or 81.4%, for the three months ended March 31, 2017, as compared to the three months ended March 31, 2016, primarily due to the inclusion of the real estate tax expense attributable to the acquired Pinnacle and Meadows properties. Although this amount is paid by our tenants, we are required to present this amount in both revenues and expenses for financial reporting purposes under ASC 605.</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w:t>
      </w:r>
    </w:p>
    <w:p>
      <w:pPr>
        <w:spacing w:after="0" w:line="229"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Depreciation expense increased by $1.2 million, or 4.3%, for the three months ended March 31, 2017, as compared to the three months ended March 31, 2016, primarily due to depreciation related to the acquired Meadows' real estate assets. The building assets acquired from Pinnacle qualified for direct financing lease treatment and as such are not recorded as fixed assets on our balance sheet and have no depreciation associated with them.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(expenses) for the three months ended March 31, 2017 and 2016 were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jc w:val="right"/>
              <w:ind w:right="408"/>
              <w:spacing w:after="0"/>
              <w:rPr>
                <w:sz w:val="20"/>
                <w:szCs w:val="20"/>
                <w:color w:val="auto"/>
              </w:rPr>
            </w:pPr>
            <w:r>
              <w:rPr>
                <w:rFonts w:ascii="Arial" w:cs="Arial" w:eastAsia="Arial" w:hAnsi="Arial"/>
                <w:sz w:val="14"/>
                <w:szCs w:val="14"/>
                <w:b w:val="1"/>
                <w:bCs w:val="1"/>
                <w:color w:val="auto"/>
              </w:rPr>
              <w:t>Percentage</w:t>
            </w:r>
          </w:p>
        </w:tc>
      </w:tr>
      <w:tr>
        <w:trPr>
          <w:trHeight w:val="276"/>
        </w:trPr>
        <w:tc>
          <w:tcPr>
            <w:tcW w:w="4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Variance</w:t>
            </w:r>
          </w:p>
        </w:tc>
        <w:tc>
          <w:tcPr>
            <w:tcW w:w="10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Variance</w:t>
            </w: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(20,548)</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(61.5)%</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(10.3)%</w:t>
            </w:r>
          </w:p>
        </w:tc>
      </w:tr>
      <w:tr>
        <w:trPr>
          <w:trHeight w:val="27"/>
        </w:trPr>
        <w:tc>
          <w:tcPr>
            <w:tcW w:w="4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r>
      <w:tr>
        <w:trPr>
          <w:trHeight w:val="257"/>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other expenses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(53,485)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(32,884)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(20,601)</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(62.6)%</w:t>
            </w: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Interest expense increased by $20.5 million or 61.5% for the three months ended March 31, 2017, as compared to the three months ended March 31, 2016, primarily due to interest expense related to the issuance of $400 million of senior unsecured notes due 2021 and $975 million of senior unsecured notes due 2026 and borrowings of $825 million under the term loan A-1 facility during April 2016. The additional borrowings were utilized to finance the Pinnacle acquisition.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w:t>
      </w:r>
    </w:p>
    <w:p>
      <w:pPr>
        <w:spacing w:after="0" w:line="229"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During the three months ended March 31, 2017 and 2016, income tax expense was approximately $2.5 million and $2.0 million, respectively. Our effective tax rate (income taxes as a percentage of income before income taxes) was 2.6% for the three months ended March 31, 2017, as compared to 5.8% for the three months ended March 31, 2016. The decline in our effective tax rate is primarily due to the additional REIT income earned in the three months ended March 31, 2017, which is not subject to income tax.</w:t>
      </w:r>
    </w:p>
    <w:p>
      <w:pPr>
        <w:sectPr>
          <w:pgSz w:w="11900" w:h="16838" w:orient="portrait"/>
          <w:cols w:equalWidth="0" w:num="1">
            <w:col w:w="11400"/>
          </w:cols>
          <w:pgMar w:left="240" w:top="13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00"/>
          </w:cols>
          <w:pgMar w:left="240" w:top="130" w:right="259" w:bottom="1440" w:gutter="0" w:footer="0" w:header="0"/>
          <w:type w:val="continuous"/>
        </w:sectPr>
      </w:pPr>
    </w:p>
    <w:bookmarkStart w:id="37" w:name="page38"/>
    <w:bookmarkEnd w:id="3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primary sources of liquidity and capital resources are cash flow from operations, borrowings from banks, and proceeds from the issuance of debt and equity securities.</w:t>
      </w:r>
    </w:p>
    <w:p>
      <w:pPr>
        <w:spacing w:after="0" w:line="170"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Net cash provided by operating activities was $184.7 million and $103.9 million, respectively, during the three months ended March 31, 2017 and 2016. The increase in net cash provided by operating activities of $80.8 million for the three months ended March 31, 2017 compared to the corresponding period in the prior year was primarily comprised of an increase in cash receipts from customers/tenants of $84.1 million (excluding $17.6 million of cash received from Pinnacle and classified as an investing activity) and a decrease in cash paid to employees of $5.6 million, partially offset by increases in cash paid for operating expenses of $2.9 million and cash paid for interest of $6.2 million. The increase in cash receipts collected from our customers and tenants for the three months ended March 31, 2017 compared to the corresponding period in the prior year was primarily due to the rent received under the Pinnacle Master Lease and the Meadows Lease, as well as the impact of the Penn rent escalator, while the increase in cash paid for interest was related to the Company's April 2016 borrowings.</w:t>
      </w:r>
    </w:p>
    <w:p>
      <w:pPr>
        <w:spacing w:after="0" w:line="19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Investing activities provided cash of $22.1 million and $1.1 million, respectively, during the three months ended March 31, 2017 and 2016. Net cash provided by investing activities during the three months ended March 31, 2017 consisted of a net payment of $13.2 million from Casino Queen to retire their five-year term loan and borrow an additional $13.0 million under a new 5.5 year unsecured term loan at 15%, as well as rental payments received from tenants and applied against the lease receivable on our balance sheet of $17.6 million, partially offset by an $8.2 million cash deposit related to the then pending acquisition of the Tunica real estate assets and capital expenditures of $0.5 million. Net cash provided by investing activities during the three months ended March 31, 2016 included principal payments of $1.5 million made by Casino Queen on their five-year term loan and proceeds from the sale of property and equipment of $0.2 million, partially offset by capital expenditures of $0.6 million.</w:t>
      </w:r>
    </w:p>
    <w:p>
      <w:pPr>
        <w:spacing w:after="0" w:line="178"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Financing activities used cash of $220.0 million and $85.3 million, respectively, during the three months ended March 31, 2017 and 2016. Net cash used by financing activities during the three months ended March 31, 2017 included dividend payments of $129.3 million and repayments of long-term debt of $95.0 million, partially offset by proceeds from stock option exercises, net of taxes paid related to shares withheld for tax purposes on restricted stock award vestings of $4.5 million. Net cash used in financing activities during the three months ended March 31, 2016 included dividend payments of $65.7 million and repayments of long-term debt and financing costs of $42.7 million, partially offset by proceeds from stock options exercises of $23.1 million.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Capital expenditures are accounted for as either capital project or capital maintenance (replacement) expenditures. Capital project expenditures are for fixed asset additions that expand an existing facility or create a new facility. The cost of properties developed by the Company include costs of construction, property taxes, interest and other miscellaneous costs incurred during the development period until the project is substantially complete and available for occupancy. Capital maintenance expenditures are expenditures to replace existing fixed assets with a useful life greater than one year that are obsolete, worn out or no longer cost effective to repair.</w:t>
      </w:r>
    </w:p>
    <w:p>
      <w:pPr>
        <w:spacing w:after="0" w:line="188"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During the three months ended March 31, 2017 and 2016, the TRS Properties spent approximately $0.5 million and $0.4 million, respectively, for capital maintenance expenditures. The majority of the capital maintenance expenditures were for slot machines and slot machine equipment. Under the triple-net lease structure, our tenants are responsible for capital maintenance expenditures at our leased properties.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Credit Facility</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Company has a $1,825 million Credit Facility, consisting of a $700 million revolving credit facility, a $300 million Term Loan A facility, and an $825 million Term Loan A-1 facility. At March 31, 2017, the Credit Facility had a gross outstanding balance of $1,195 million, consisting of the $1,125 million Term Loan A and A-1 facilities and $70 million of borrowings under the revolving credit facility. Additionally, at March 31, 2017, the Company was contingently obligated under letters of credit issued pursuant to the senior unsecured credit facility with face amounts aggregating approximately $0.9 million, resulting in $629.1 million of available borrowing capacity under the revolving credit facility as of March 31, 2017. The revolving credit facility and the Term Loan A facility mature on October 28, 2018 and the Term Loan A-1 facility matures on April 28, 2021.</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30" w:right="25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Credit Facility contains customary covenants that, among other things, restrict, subject to certain exceptions, the ability of GLPI and its subsidiaries to grant liens on their assets, incur indebtedness, sell assets, make investments, engage in acquisitions, mergers or consolidations or pay certain dividends and other restricted payments. The Credit Facility contains the following financial covenants, which are measured quarterly on a trailing four-quarter basis: a maximum total debt to total asset value ratio, a maximum senior secured debt to total asset value ratio, a maximum ratio of certain recourse debt to unencumbered asset value and a minimum fixed charge coverage ratio. In addition, GLPI is required to maintain a minimum tangible net worth and its status as a REIT on and after the effective date of its election to be treated as a REIT, which the Company elected on its 2014 U.S. federal income tax return. GLPI is permitted to pay dividends to its shareholders as may be required in order to maintain REIT status, subject to the absence of payment or bankruptcy defaults. GLPI is also permitted to make other dividends and distributions subject to pro forma compliance with the financial covenants and the absence of defaults. The Credit Facility also contains certain customary affirmative covenants and events of default, including the occurrence of a change of control and termination of the Penn Master Lease (subject to certain replacement rights). The occurrence and continuance of an event of default under the Credit Facility will enable the lenders under the Credit Facility to accelerate the loans and terminate the commitments thereunder. At March 31, 2017, the Company was in compliance with all required financial covenants under the Credit Facility.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Notes</w:t>
      </w:r>
    </w:p>
    <w:p>
      <w:pPr>
        <w:spacing w:after="0" w:line="229" w:lineRule="exact"/>
        <w:rPr>
          <w:sz w:val="20"/>
          <w:szCs w:val="20"/>
          <w:color w:val="auto"/>
        </w:rPr>
      </w:pPr>
    </w:p>
    <w:p>
      <w:pPr>
        <w:ind w:right="380" w:firstLine="648"/>
        <w:spacing w:after="0" w:line="312" w:lineRule="auto"/>
        <w:rPr>
          <w:sz w:val="20"/>
          <w:szCs w:val="20"/>
          <w:color w:val="auto"/>
        </w:rPr>
      </w:pPr>
      <w:r>
        <w:rPr>
          <w:rFonts w:ascii="Arial" w:cs="Arial" w:eastAsia="Arial" w:hAnsi="Arial"/>
          <w:sz w:val="16"/>
          <w:szCs w:val="16"/>
          <w:color w:val="auto"/>
        </w:rPr>
        <w:t>The Notes contain covenants limiting the Company’s ability to: incur additional debt and use its assets to secure debt; merge or consolidate with another company; and make certain amendments to the Penn Master Lease. The Notes also require the Company to maintain a specified ratio of unencumbered assets to unsecured debt. These covenants are subject to a number of important and significant limitations, qualifications and exceptions.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March 31, 2017, the Company was in compliance with all required financial covenants under the Notes.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Lease</w:t>
      </w:r>
    </w:p>
    <w:p>
      <w:pPr>
        <w:spacing w:after="0" w:line="229"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The Company assumed the capital lease obligation related to certain assets at its Aurora, Illinois property. GLPI recorded the asset and liability associated with the capital lease on its balance sheet. The original term of the capital lease was 30 years and it will terminate in 2026.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780" w:firstLine="648"/>
        <w:spacing w:after="0" w:line="308" w:lineRule="auto"/>
        <w:rPr>
          <w:sz w:val="20"/>
          <w:szCs w:val="20"/>
          <w:color w:val="auto"/>
        </w:rPr>
      </w:pPr>
      <w:r>
        <w:rPr>
          <w:rFonts w:ascii="Arial" w:cs="Arial" w:eastAsia="Arial" w:hAnsi="Arial"/>
          <w:sz w:val="17"/>
          <w:szCs w:val="17"/>
          <w:color w:val="auto"/>
        </w:rPr>
        <w:t>We face market risk exposure in the form of interest rate risk. These market risks arise from our debt obligations. We have no international operations. Our exposure to foreign currency fluctuations is not significant to our financial condition or results of operations.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GLPI’s primary market risk exposure is interest rate risk with respect to its indebtedness of $4,621.3 million at March 31, 2017. Furthermore,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$3,425.0 million of our obligations at March 31, 2017, are the senior unsecured notes that have fixed interest rates with maturity dates ranging from one-half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nine years. An increase in interest rates could make the financing of any acquisition by GLPI more costly, as well as increase the costs of its variable rate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debt obligations. Rising interest rates could also limit GLPI’s ability to refinance its debt when it matures or cause GLPI to pay higher interest rates upon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refinancing and increase interest expense on refinanced indebtedness. GLPI may manage, or hedge, interest rate risks related to its borrowings by means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interest rate swap agreements. GLPI also expects to manage its exposure to interest rate risk by maintaining a mix of fixed and variable rates for its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indebtedness. However, the provisions of the Code applicable to REITs substantially limit GLPI’s ability to hedge its assets and liabilities.</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table below provides information at March 31, 2017 about our financial instruments that are sensitive to changes in interest rates. For debt obligations, the table presents notional amounts maturing in each fiscal year and the related weighted-average interest rates by maturity dates. Notional amounts are used to calculate the contractual payments to be exchanged by maturity date and the weighted-average interest rates are based on implied forward LIBOR rates at March 31, 2017.</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30" w:right="2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2780" w:type="dxa"/>
        <w:tblCellMar>
          <w:top w:w="0" w:type="dxa"/>
          <w:left w:w="0" w:type="dxa"/>
          <w:bottom w:w="0" w:type="dxa"/>
          <w:right w:w="0" w:type="dxa"/>
        </w:tblCellMar>
      </w:tblPr>
      <w:tr>
        <w:trPr>
          <w:trHeight w:val="161"/>
        </w:trPr>
        <w:tc>
          <w:tcPr>
            <w:tcW w:w="760" w:type="dxa"/>
            <w:vAlign w:val="bottom"/>
          </w:tcPr>
          <w:p>
            <w:pPr>
              <w:jc w:val="right"/>
              <w:ind w:right="128"/>
              <w:spacing w:after="0"/>
              <w:rPr>
                <w:sz w:val="20"/>
                <w:szCs w:val="20"/>
                <w:color w:val="auto"/>
              </w:rPr>
            </w:pPr>
            <w:r>
              <w:rPr>
                <w:rFonts w:ascii="Arial" w:cs="Arial" w:eastAsia="Arial" w:hAnsi="Arial"/>
                <w:sz w:val="14"/>
                <w:szCs w:val="14"/>
                <w:b w:val="1"/>
                <w:bCs w:val="1"/>
                <w:color w:val="auto"/>
                <w:w w:val="91"/>
              </w:rPr>
              <w:t>04/01/17-</w:t>
            </w:r>
          </w:p>
        </w:tc>
        <w:tc>
          <w:tcPr>
            <w:tcW w:w="980" w:type="dxa"/>
            <w:vAlign w:val="bottom"/>
          </w:tcPr>
          <w:p>
            <w:pPr>
              <w:jc w:val="right"/>
              <w:ind w:right="128"/>
              <w:spacing w:after="0"/>
              <w:rPr>
                <w:sz w:val="20"/>
                <w:szCs w:val="20"/>
                <w:color w:val="auto"/>
              </w:rPr>
            </w:pPr>
            <w:r>
              <w:rPr>
                <w:rFonts w:ascii="Arial" w:cs="Arial" w:eastAsia="Arial" w:hAnsi="Arial"/>
                <w:sz w:val="14"/>
                <w:szCs w:val="14"/>
                <w:b w:val="1"/>
                <w:bCs w:val="1"/>
                <w:color w:val="auto"/>
              </w:rPr>
              <w:t>01/01/18-</w:t>
            </w:r>
          </w:p>
        </w:tc>
        <w:tc>
          <w:tcPr>
            <w:tcW w:w="1000" w:type="dxa"/>
            <w:vAlign w:val="bottom"/>
          </w:tcPr>
          <w:p>
            <w:pPr>
              <w:jc w:val="right"/>
              <w:ind w:right="168"/>
              <w:spacing w:after="0"/>
              <w:rPr>
                <w:sz w:val="20"/>
                <w:szCs w:val="20"/>
                <w:color w:val="auto"/>
              </w:rPr>
            </w:pPr>
            <w:r>
              <w:rPr>
                <w:rFonts w:ascii="Arial" w:cs="Arial" w:eastAsia="Arial" w:hAnsi="Arial"/>
                <w:sz w:val="14"/>
                <w:szCs w:val="14"/>
                <w:b w:val="1"/>
                <w:bCs w:val="1"/>
                <w:color w:val="auto"/>
              </w:rPr>
              <w:t>01/01/19-</w:t>
            </w:r>
          </w:p>
        </w:tc>
        <w:tc>
          <w:tcPr>
            <w:tcW w:w="1020" w:type="dxa"/>
            <w:vAlign w:val="bottom"/>
          </w:tcPr>
          <w:p>
            <w:pPr>
              <w:jc w:val="right"/>
              <w:ind w:right="148"/>
              <w:spacing w:after="0"/>
              <w:rPr>
                <w:sz w:val="20"/>
                <w:szCs w:val="20"/>
                <w:color w:val="auto"/>
              </w:rPr>
            </w:pPr>
            <w:r>
              <w:rPr>
                <w:rFonts w:ascii="Arial" w:cs="Arial" w:eastAsia="Arial" w:hAnsi="Arial"/>
                <w:sz w:val="14"/>
                <w:szCs w:val="14"/>
                <w:b w:val="1"/>
                <w:bCs w:val="1"/>
                <w:color w:val="auto"/>
              </w:rPr>
              <w:t>01/01/20-</w:t>
            </w:r>
          </w:p>
        </w:tc>
        <w:tc>
          <w:tcPr>
            <w:tcW w:w="1000" w:type="dxa"/>
            <w:vAlign w:val="bottom"/>
          </w:tcPr>
          <w:p>
            <w:pPr>
              <w:jc w:val="right"/>
              <w:ind w:right="128"/>
              <w:spacing w:after="0"/>
              <w:rPr>
                <w:sz w:val="20"/>
                <w:szCs w:val="20"/>
                <w:color w:val="auto"/>
              </w:rPr>
            </w:pPr>
            <w:r>
              <w:rPr>
                <w:rFonts w:ascii="Arial" w:cs="Arial" w:eastAsia="Arial" w:hAnsi="Arial"/>
                <w:sz w:val="14"/>
                <w:szCs w:val="14"/>
                <w:b w:val="1"/>
                <w:bCs w:val="1"/>
                <w:color w:val="auto"/>
              </w:rPr>
              <w:t>01/01/21-</w:t>
            </w:r>
          </w:p>
        </w:tc>
        <w:tc>
          <w:tcPr>
            <w:tcW w:w="11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Thereafter</w:t>
            </w:r>
          </w:p>
        </w:tc>
        <w:tc>
          <w:tcPr>
            <w:tcW w:w="8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1100" w:type="dxa"/>
            <w:vAlign w:val="bottom"/>
          </w:tcPr>
          <w:p>
            <w:pPr>
              <w:jc w:val="center"/>
              <w:ind w:left="228"/>
              <w:spacing w:after="0"/>
              <w:rPr>
                <w:sz w:val="20"/>
                <w:szCs w:val="20"/>
                <w:color w:val="auto"/>
              </w:rPr>
            </w:pPr>
            <w:r>
              <w:rPr>
                <w:rFonts w:ascii="Arial" w:cs="Arial" w:eastAsia="Arial" w:hAnsi="Arial"/>
                <w:sz w:val="14"/>
                <w:szCs w:val="14"/>
                <w:b w:val="1"/>
                <w:bCs w:val="1"/>
                <w:color w:val="auto"/>
                <w:w w:val="96"/>
              </w:rPr>
              <w:t>Fair Value at</w:t>
            </w:r>
          </w:p>
        </w:tc>
        <w:tc>
          <w:tcPr>
            <w:tcW w:w="0" w:type="dxa"/>
            <w:vAlign w:val="bottom"/>
          </w:tcPr>
          <w:p>
            <w:pPr>
              <w:spacing w:after="0"/>
              <w:rPr>
                <w:sz w:val="1"/>
                <w:szCs w:val="1"/>
                <w:color w:val="auto"/>
              </w:rPr>
            </w:pPr>
          </w:p>
        </w:tc>
      </w:tr>
      <w:tr>
        <w:trPr>
          <w:trHeight w:val="186"/>
        </w:trPr>
        <w:tc>
          <w:tcPr>
            <w:tcW w:w="760" w:type="dxa"/>
            <w:vAlign w:val="bottom"/>
          </w:tcPr>
          <w:p>
            <w:pPr>
              <w:jc w:val="right"/>
              <w:ind w:right="168"/>
              <w:spacing w:after="0"/>
              <w:rPr>
                <w:sz w:val="20"/>
                <w:szCs w:val="20"/>
                <w:color w:val="auto"/>
              </w:rPr>
            </w:pPr>
            <w:r>
              <w:rPr>
                <w:rFonts w:ascii="Arial" w:cs="Arial" w:eastAsia="Arial" w:hAnsi="Arial"/>
                <w:sz w:val="14"/>
                <w:szCs w:val="14"/>
                <w:b w:val="1"/>
                <w:bCs w:val="1"/>
                <w:color w:val="auto"/>
                <w:w w:val="91"/>
              </w:rPr>
              <w:t>12/31/17</w:t>
            </w:r>
          </w:p>
        </w:tc>
        <w:tc>
          <w:tcPr>
            <w:tcW w:w="980" w:type="dxa"/>
            <w:vAlign w:val="bottom"/>
          </w:tcPr>
          <w:p>
            <w:pPr>
              <w:jc w:val="right"/>
              <w:ind w:right="168"/>
              <w:spacing w:after="0"/>
              <w:rPr>
                <w:sz w:val="20"/>
                <w:szCs w:val="20"/>
                <w:color w:val="auto"/>
              </w:rPr>
            </w:pPr>
            <w:r>
              <w:rPr>
                <w:rFonts w:ascii="Arial" w:cs="Arial" w:eastAsia="Arial" w:hAnsi="Arial"/>
                <w:sz w:val="14"/>
                <w:szCs w:val="14"/>
                <w:b w:val="1"/>
                <w:bCs w:val="1"/>
                <w:color w:val="auto"/>
              </w:rPr>
              <w:t>12/31/18</w:t>
            </w:r>
          </w:p>
        </w:tc>
        <w:tc>
          <w:tcPr>
            <w:tcW w:w="1000" w:type="dxa"/>
            <w:vAlign w:val="bottom"/>
          </w:tcPr>
          <w:p>
            <w:pPr>
              <w:jc w:val="right"/>
              <w:ind w:right="188"/>
              <w:spacing w:after="0"/>
              <w:rPr>
                <w:sz w:val="20"/>
                <w:szCs w:val="20"/>
                <w:color w:val="auto"/>
              </w:rPr>
            </w:pPr>
            <w:r>
              <w:rPr>
                <w:rFonts w:ascii="Arial" w:cs="Arial" w:eastAsia="Arial" w:hAnsi="Arial"/>
                <w:sz w:val="14"/>
                <w:szCs w:val="14"/>
                <w:b w:val="1"/>
                <w:bCs w:val="1"/>
                <w:color w:val="auto"/>
              </w:rPr>
              <w:t>12/31/19</w:t>
            </w:r>
          </w:p>
        </w:tc>
        <w:tc>
          <w:tcPr>
            <w:tcW w:w="1020" w:type="dxa"/>
            <w:vAlign w:val="bottom"/>
          </w:tcPr>
          <w:p>
            <w:pPr>
              <w:jc w:val="right"/>
              <w:ind w:right="188"/>
              <w:spacing w:after="0"/>
              <w:rPr>
                <w:sz w:val="20"/>
                <w:szCs w:val="20"/>
                <w:color w:val="auto"/>
              </w:rPr>
            </w:pPr>
            <w:r>
              <w:rPr>
                <w:rFonts w:ascii="Arial" w:cs="Arial" w:eastAsia="Arial" w:hAnsi="Arial"/>
                <w:sz w:val="14"/>
                <w:szCs w:val="14"/>
                <w:b w:val="1"/>
                <w:bCs w:val="1"/>
                <w:color w:val="auto"/>
              </w:rPr>
              <w:t>12/31/20</w:t>
            </w:r>
          </w:p>
        </w:tc>
        <w:tc>
          <w:tcPr>
            <w:tcW w:w="1000" w:type="dxa"/>
            <w:vAlign w:val="bottom"/>
          </w:tcPr>
          <w:p>
            <w:pPr>
              <w:jc w:val="right"/>
              <w:ind w:right="148"/>
              <w:spacing w:after="0"/>
              <w:rPr>
                <w:sz w:val="20"/>
                <w:szCs w:val="20"/>
                <w:color w:val="auto"/>
              </w:rPr>
            </w:pPr>
            <w:r>
              <w:rPr>
                <w:rFonts w:ascii="Arial" w:cs="Arial" w:eastAsia="Arial" w:hAnsi="Arial"/>
                <w:sz w:val="14"/>
                <w:szCs w:val="14"/>
                <w:b w:val="1"/>
                <w:bCs w:val="1"/>
                <w:color w:val="auto"/>
              </w:rPr>
              <w:t>12/31/21</w:t>
            </w:r>
          </w:p>
        </w:tc>
        <w:tc>
          <w:tcPr>
            <w:tcW w:w="11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3/31/2017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1660525</wp:posOffset>
            </wp:positionH>
            <wp:positionV relativeFrom="paragraph">
              <wp:posOffset>7620</wp:posOffset>
            </wp:positionV>
            <wp:extent cx="52228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22875" cy="8890"/>
                    </a:xfrm>
                    <a:prstGeom prst="rect">
                      <a:avLst/>
                    </a:prstGeom>
                    <a:noFill/>
                  </pic:spPr>
                </pic:pic>
              </a:graphicData>
            </a:graphic>
          </wp:anchor>
        </w:drawing>
      </w:r>
    </w:p>
    <w:p>
      <w:pPr>
        <w:spacing w:after="0" w:line="10" w:lineRule="exact"/>
        <w:rPr>
          <w:sz w:val="20"/>
          <w:szCs w:val="20"/>
          <w:color w:val="auto"/>
        </w:rPr>
      </w:pPr>
    </w:p>
    <w:p>
      <w:pPr>
        <w:ind w:left="6300"/>
        <w:spacing w:after="0"/>
        <w:rPr>
          <w:sz w:val="20"/>
          <w:szCs w:val="20"/>
          <w:color w:val="auto"/>
        </w:rPr>
      </w:pPr>
      <w:r>
        <w:rPr>
          <w:rFonts w:ascii="Arial" w:cs="Arial" w:eastAsia="Arial" w:hAnsi="Arial"/>
          <w:sz w:val="14"/>
          <w:szCs w:val="14"/>
          <w:b w:val="1"/>
          <w:bCs w:val="1"/>
          <w:color w:val="auto"/>
        </w:rPr>
        <w:t>(in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08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Long-term debt:</w:t>
            </w:r>
          </w:p>
        </w:tc>
        <w:tc>
          <w:tcPr>
            <w:tcW w:w="9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64"/>
        </w:trPr>
        <w:tc>
          <w:tcPr>
            <w:tcW w:w="40" w:type="dxa"/>
            <w:vAlign w:val="bottom"/>
            <w:tcBorders>
              <w:top w:val="single" w:sz="8" w:color="CCEEFF"/>
            </w:tcBorders>
          </w:tcPr>
          <w:p>
            <w:pPr>
              <w:spacing w:after="0"/>
              <w:rPr>
                <w:sz w:val="22"/>
                <w:szCs w:val="22"/>
                <w:color w:val="auto"/>
              </w:rPr>
            </w:pPr>
          </w:p>
        </w:tc>
        <w:tc>
          <w:tcPr>
            <w:tcW w:w="102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rPr>
              <w:t>Fixed rate</w:t>
            </w:r>
          </w:p>
        </w:tc>
        <w:tc>
          <w:tcPr>
            <w:tcW w:w="1020" w:type="dxa"/>
            <w:vAlign w:val="bottom"/>
            <w:tcBorders>
              <w:top w:val="single" w:sz="8" w:color="CCEEFF"/>
            </w:tcBorders>
          </w:tcPr>
          <w:p>
            <w:pPr>
              <w:spacing w:after="0"/>
              <w:rPr>
                <w:sz w:val="22"/>
                <w:szCs w:val="22"/>
                <w:color w:val="auto"/>
              </w:rPr>
            </w:pPr>
          </w:p>
        </w:tc>
        <w:tc>
          <w:tcPr>
            <w:tcW w:w="900" w:type="dxa"/>
            <w:vAlign w:val="bottom"/>
            <w:tcBorders>
              <w:top w:val="single" w:sz="8" w:color="CCEEFF"/>
            </w:tcBorders>
          </w:tcPr>
          <w:p>
            <w:pPr>
              <w:jc w:val="right"/>
              <w:ind w:right="18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CCEEFF"/>
            </w:tcBorders>
          </w:tcPr>
          <w:p>
            <w:pPr>
              <w:ind w:left="260"/>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CCEEFF"/>
            </w:tcBorders>
          </w:tcPr>
          <w:p>
            <w:pPr>
              <w:jc w:val="right"/>
              <w:ind w:right="48"/>
              <w:spacing w:after="0"/>
              <w:rPr>
                <w:sz w:val="20"/>
                <w:szCs w:val="20"/>
                <w:color w:val="auto"/>
              </w:rPr>
            </w:pPr>
            <w:r>
              <w:rPr>
                <w:rFonts w:ascii="Arial" w:cs="Arial" w:eastAsia="Arial" w:hAnsi="Arial"/>
                <w:sz w:val="14"/>
                <w:szCs w:val="14"/>
                <w:color w:val="auto"/>
              </w:rPr>
              <w:t>550,000</w:t>
            </w:r>
          </w:p>
        </w:tc>
        <w:tc>
          <w:tcPr>
            <w:tcW w:w="440" w:type="dxa"/>
            <w:vAlign w:val="bottom"/>
            <w:tcBorders>
              <w:top w:val="single" w:sz="8" w:color="CCEEFF"/>
            </w:tcBorders>
          </w:tcPr>
          <w:p>
            <w:pPr>
              <w:jc w:val="right"/>
              <w:ind w:right="168"/>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CCEEFF"/>
            </w:tcBorders>
          </w:tcPr>
          <w:p>
            <w:pPr>
              <w:ind w:left="260"/>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CCEEFF"/>
            </w:tcBorders>
          </w:tcPr>
          <w:p>
            <w:pPr>
              <w:jc w:val="right"/>
              <w:ind w:right="68"/>
              <w:spacing w:after="0"/>
              <w:rPr>
                <w:sz w:val="20"/>
                <w:szCs w:val="20"/>
                <w:color w:val="auto"/>
              </w:rPr>
            </w:pPr>
            <w:r>
              <w:rPr>
                <w:rFonts w:ascii="Arial" w:cs="Arial" w:eastAsia="Arial" w:hAnsi="Arial"/>
                <w:sz w:val="14"/>
                <w:szCs w:val="14"/>
                <w:color w:val="auto"/>
              </w:rPr>
              <w:t>1,000,000</w:t>
            </w:r>
          </w:p>
        </w:tc>
        <w:tc>
          <w:tcPr>
            <w:tcW w:w="26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CCEEFF"/>
            </w:tcBorders>
          </w:tcPr>
          <w:p>
            <w:pPr>
              <w:jc w:val="right"/>
              <w:ind w:right="48"/>
              <w:spacing w:after="0"/>
              <w:rPr>
                <w:sz w:val="20"/>
                <w:szCs w:val="20"/>
                <w:color w:val="auto"/>
              </w:rPr>
            </w:pPr>
            <w:r>
              <w:rPr>
                <w:rFonts w:ascii="Arial" w:cs="Arial" w:eastAsia="Arial" w:hAnsi="Arial"/>
                <w:sz w:val="14"/>
                <w:szCs w:val="14"/>
                <w:color w:val="auto"/>
              </w:rPr>
              <w:t>400,000</w:t>
            </w:r>
          </w:p>
        </w:tc>
        <w:tc>
          <w:tcPr>
            <w:tcW w:w="300" w:type="dxa"/>
            <w:vAlign w:val="bottom"/>
            <w:tcBorders>
              <w:top w:val="single" w:sz="8" w:color="CCEEFF"/>
            </w:tcBorders>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CCEEFF"/>
            </w:tcBorders>
          </w:tcPr>
          <w:p>
            <w:pPr>
              <w:jc w:val="right"/>
              <w:ind w:right="48"/>
              <w:spacing w:after="0"/>
              <w:rPr>
                <w:sz w:val="20"/>
                <w:szCs w:val="20"/>
                <w:color w:val="auto"/>
              </w:rPr>
            </w:pPr>
            <w:r>
              <w:rPr>
                <w:rFonts w:ascii="Arial" w:cs="Arial" w:eastAsia="Arial" w:hAnsi="Arial"/>
                <w:sz w:val="14"/>
                <w:szCs w:val="14"/>
                <w:color w:val="auto"/>
              </w:rPr>
              <w:t>1,475,000</w:t>
            </w:r>
          </w:p>
        </w:tc>
        <w:tc>
          <w:tcPr>
            <w:tcW w:w="300" w:type="dxa"/>
            <w:vAlign w:val="bottom"/>
            <w:tcBorders>
              <w:top w:val="single" w:sz="8" w:color="CCEEFF"/>
            </w:tcBorders>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CCEEFF"/>
            </w:tcBorders>
          </w:tcPr>
          <w:p>
            <w:pPr>
              <w:jc w:val="right"/>
              <w:ind w:right="48"/>
              <w:spacing w:after="0"/>
              <w:rPr>
                <w:sz w:val="20"/>
                <w:szCs w:val="20"/>
                <w:color w:val="auto"/>
              </w:rPr>
            </w:pPr>
            <w:r>
              <w:rPr>
                <w:rFonts w:ascii="Arial" w:cs="Arial" w:eastAsia="Arial" w:hAnsi="Arial"/>
                <w:sz w:val="14"/>
                <w:szCs w:val="14"/>
                <w:color w:val="auto"/>
              </w:rPr>
              <w:t>3,425,000</w:t>
            </w:r>
          </w:p>
        </w:tc>
        <w:tc>
          <w:tcPr>
            <w:tcW w:w="340" w:type="dxa"/>
            <w:vAlign w:val="bottom"/>
            <w:tcBorders>
              <w:top w:val="single" w:sz="8" w:color="CCEEFF"/>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CCEEFF"/>
            </w:tcBorders>
          </w:tcPr>
          <w:p>
            <w:pPr>
              <w:jc w:val="right"/>
              <w:ind w:right="28"/>
              <w:spacing w:after="0"/>
              <w:rPr>
                <w:sz w:val="20"/>
                <w:szCs w:val="20"/>
                <w:color w:val="auto"/>
              </w:rPr>
            </w:pPr>
            <w:r>
              <w:rPr>
                <w:rFonts w:ascii="Arial" w:cs="Arial" w:eastAsia="Arial" w:hAnsi="Arial"/>
                <w:sz w:val="14"/>
                <w:szCs w:val="14"/>
                <w:color w:val="auto"/>
              </w:rPr>
              <w:t>3,556,000</w:t>
            </w:r>
          </w:p>
        </w:tc>
      </w:tr>
      <w:tr>
        <w:trPr>
          <w:trHeight w:val="276"/>
        </w:trPr>
        <w:tc>
          <w:tcPr>
            <w:tcW w:w="40" w:type="dxa"/>
            <w:vAlign w:val="bottom"/>
            <w:shd w:val="clear" w:color="auto" w:fill="CCEEFF"/>
          </w:tcPr>
          <w:p>
            <w:pPr>
              <w:spacing w:after="0"/>
              <w:rPr>
                <w:sz w:val="24"/>
                <w:szCs w:val="24"/>
                <w:color w:val="auto"/>
              </w:rPr>
            </w:pPr>
          </w:p>
        </w:tc>
        <w:tc>
          <w:tcPr>
            <w:tcW w:w="20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Average interest rate</w:t>
            </w:r>
          </w:p>
        </w:tc>
        <w:tc>
          <w:tcPr>
            <w:tcW w:w="9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4.38%</w:t>
            </w:r>
          </w:p>
        </w:tc>
        <w:tc>
          <w:tcPr>
            <w:tcW w:w="4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4.88%</w:t>
            </w:r>
          </w:p>
        </w:tc>
        <w:tc>
          <w:tcPr>
            <w:tcW w:w="26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4.38%</w:t>
            </w:r>
          </w:p>
        </w:tc>
        <w:tc>
          <w:tcPr>
            <w:tcW w:w="3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5.38%</w:t>
            </w:r>
          </w:p>
        </w:tc>
        <w:tc>
          <w:tcPr>
            <w:tcW w:w="3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0"/>
        </w:trPr>
        <w:tc>
          <w:tcPr>
            <w:tcW w:w="40" w:type="dxa"/>
            <w:vAlign w:val="bottom"/>
            <w:shd w:val="clear" w:color="auto" w:fill="CCEEFF"/>
          </w:tcPr>
          <w:p>
            <w:pPr>
              <w:spacing w:after="0"/>
              <w:rPr>
                <w:sz w:val="23"/>
                <w:szCs w:val="23"/>
                <w:color w:val="auto"/>
              </w:rPr>
            </w:pPr>
          </w:p>
        </w:tc>
        <w:tc>
          <w:tcPr>
            <w:tcW w:w="20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Variable rate</w:t>
            </w:r>
          </w:p>
        </w:tc>
        <w:tc>
          <w:tcPr>
            <w:tcW w:w="9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370,000</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825,000</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1,195,000</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1,184,900</w:t>
            </w:r>
          </w:p>
        </w:tc>
      </w:tr>
      <w:tr>
        <w:trPr>
          <w:trHeight w:val="258"/>
        </w:trPr>
        <w:tc>
          <w:tcPr>
            <w:tcW w:w="40" w:type="dxa"/>
            <w:vAlign w:val="bottom"/>
          </w:tcPr>
          <w:p>
            <w:pPr>
              <w:spacing w:after="0"/>
              <w:rPr>
                <w:sz w:val="22"/>
                <w:szCs w:val="22"/>
                <w:color w:val="auto"/>
              </w:rPr>
            </w:pPr>
          </w:p>
        </w:tc>
        <w:tc>
          <w:tcPr>
            <w:tcW w:w="2040" w:type="dxa"/>
            <w:vAlign w:val="bottom"/>
            <w:gridSpan w:val="2"/>
          </w:tcPr>
          <w:p>
            <w:pPr>
              <w:ind w:left="140"/>
              <w:spacing w:after="0"/>
              <w:rPr>
                <w:sz w:val="20"/>
                <w:szCs w:val="20"/>
                <w:color w:val="auto"/>
              </w:rPr>
            </w:pPr>
            <w:r>
              <w:rPr>
                <w:rFonts w:ascii="Arial" w:cs="Arial" w:eastAsia="Arial" w:hAnsi="Arial"/>
                <w:sz w:val="14"/>
                <w:szCs w:val="14"/>
                <w:color w:val="auto"/>
              </w:rPr>
              <w:t xml:space="preserve">Average interest rate </w:t>
            </w:r>
            <w:r>
              <w:rPr>
                <w:rFonts w:ascii="Arial" w:cs="Arial" w:eastAsia="Arial" w:hAnsi="Arial"/>
                <w:sz w:val="8"/>
                <w:szCs w:val="8"/>
                <w:color w:val="auto"/>
              </w:rPr>
              <w:t>(1)</w:t>
            </w:r>
          </w:p>
        </w:tc>
        <w:tc>
          <w:tcPr>
            <w:tcW w:w="9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jc w:val="right"/>
              <w:ind w:right="188"/>
              <w:spacing w:after="0"/>
              <w:rPr>
                <w:sz w:val="20"/>
                <w:szCs w:val="20"/>
                <w:color w:val="auto"/>
              </w:rPr>
            </w:pPr>
            <w:r>
              <w:rPr>
                <w:rFonts w:ascii="Arial" w:cs="Arial" w:eastAsia="Arial" w:hAnsi="Arial"/>
                <w:sz w:val="14"/>
                <w:szCs w:val="14"/>
                <w:color w:val="auto"/>
              </w:rPr>
              <w:t>3.92%</w:t>
            </w: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jc w:val="right"/>
              <w:ind w:right="188"/>
              <w:spacing w:after="0"/>
              <w:rPr>
                <w:sz w:val="20"/>
                <w:szCs w:val="20"/>
                <w:color w:val="auto"/>
              </w:rPr>
            </w:pPr>
            <w:r>
              <w:rPr>
                <w:rFonts w:ascii="Arial" w:cs="Arial" w:eastAsia="Arial" w:hAnsi="Arial"/>
                <w:sz w:val="14"/>
                <w:szCs w:val="14"/>
                <w:color w:val="auto"/>
              </w:rPr>
              <w:t>4.57%</w:t>
            </w: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17322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560" w:hanging="552"/>
        <w:spacing w:after="0"/>
        <w:tabs>
          <w:tab w:leader="none" w:pos="560" w:val="left"/>
        </w:tabs>
        <w:numPr>
          <w:ilvl w:val="0"/>
          <w:numId w:val="19"/>
        </w:numPr>
        <w:rPr>
          <w:rFonts w:ascii="Arial" w:cs="Arial" w:eastAsia="Arial" w:hAnsi="Arial"/>
          <w:sz w:val="22"/>
          <w:szCs w:val="22"/>
          <w:color w:val="auto"/>
          <w:vertAlign w:val="superscript"/>
        </w:rPr>
      </w:pPr>
      <w:r>
        <w:rPr>
          <w:rFonts w:ascii="Arial" w:cs="Arial" w:eastAsia="Arial" w:hAnsi="Arial"/>
          <w:sz w:val="16"/>
          <w:szCs w:val="16"/>
          <w:color w:val="auto"/>
        </w:rPr>
        <w:t>Estimated rate, reflective of forward LIBOR plus the spread over LIBOR applicable to variable-rate borrowing.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Controls and Procedures</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Company’s management, under the supervision and with the participation of our principal executive officer and principal financial officer, has evaluated the effectiveness of the Company’s disclosure controls and procedures, as such term is defined under Rule 13a-15(e) promulgated under the Securities Exchange Act of 1934, as amended (the "Exchange Act"), as of March 31, 2017, which is the end of the period covered by this Quarterly Report on Form 10-Q. In designing and evaluating the disclosure controls and procedures, management recognized that any controls and procedures, no matter how well-designed and operated, can provide only reasonable assurance of achieving the desired control objectives, and management was required to apply its judgment in evaluating the cost-benefit relationship of possible controls and procedures. Based on this evaluation, our principal executive officer and principal financial officer concluded that the Company’s disclosure controls and procedures were effective as of March 31, 2017 to ensure that information required to be disclosed by the Company in reports we file or submit under the Exchange Act is (i) recorded, processed, summarized, evaluated and reported, as applicable, within the time periods specified in the United States Securities and Exchange Commission’s rules and forms and (ii) accumulated and communicated to the Company’s management, including the Company’s principal executive officer and principal financial officer, as appropriate to allow timely decisions regarding required disclosures.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There were no changes that occurred during the fiscal quarter covered by this Quarterly Report on Form 10-Q that have materially affected, or are reasonably likely to materially affect, our internal controls over financial reporting.</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30" w:right="25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Information in response to this Item is incorporated by reference to the information set forth in "Note 10: Commitments and Contingencies" in the Notes to the condensed consolidated financial statements in Part I of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Risk factors that affect our business and financial results are discussed in Part I, "Item 1A. Risk Factors," of our Annual Report on Form 10-K. There have been no material changes in our risk factors from those previously disclosed in our Annual Report. You should carefully consider the risks described in our Annual Report, which could materially affect our business, financial condition or future results. The risks described in our Annual Report are not the only risks we face. Additional risks and uncertainties not currently known to us or that we currently deem immaterial also may materially adversely affect our business, financial condition, and/or operating results. If any of the risks actually occur, our business, financial condition, and/or results of operations could be negatively affected.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did not repurchase any shares of common stock or sell any unregistered securities during the three months ended March 31, 2017.</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30" w:right="25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80" w:type="dxa"/>
            <w:vAlign w:val="bottom"/>
            <w:gridSpan w:val="2"/>
          </w:tcPr>
          <w:p>
            <w:pPr>
              <w:ind w:left="580"/>
              <w:spacing w:after="0"/>
              <w:rPr>
                <w:sz w:val="20"/>
                <w:szCs w:val="20"/>
                <w:color w:val="auto"/>
              </w:rPr>
            </w:pPr>
            <w:r>
              <w:rPr>
                <w:rFonts w:ascii="Arial" w:cs="Arial" w:eastAsia="Arial" w:hAnsi="Arial"/>
                <w:sz w:val="14"/>
                <w:szCs w:val="14"/>
                <w:b w:val="1"/>
                <w:bCs w:val="1"/>
                <w:color w:val="auto"/>
              </w:rPr>
              <w:t>Exhibit</w:t>
            </w:r>
          </w:p>
        </w:tc>
        <w:tc>
          <w:tcPr>
            <w:tcW w:w="9340" w:type="dxa"/>
            <w:vAlign w:val="bottom"/>
          </w:tcPr>
          <w:p>
            <w:pPr>
              <w:ind w:left="3980"/>
              <w:spacing w:after="0"/>
              <w:rPr>
                <w:sz w:val="20"/>
                <w:szCs w:val="20"/>
                <w:color w:val="auto"/>
              </w:rPr>
            </w:pPr>
            <w:r>
              <w:rPr>
                <w:rFonts w:ascii="Arial" w:cs="Arial" w:eastAsia="Arial" w:hAnsi="Arial"/>
                <w:sz w:val="14"/>
                <w:szCs w:val="14"/>
                <w:b w:val="1"/>
                <w:bCs w:val="1"/>
                <w:color w:val="auto"/>
              </w:rPr>
              <w:t>Description of Exhibit</w:t>
            </w:r>
          </w:p>
        </w:tc>
      </w:tr>
      <w:tr>
        <w:trPr>
          <w:trHeight w:val="498"/>
        </w:trPr>
        <w:tc>
          <w:tcPr>
            <w:tcW w:w="1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10.1*</w:t>
            </w:r>
          </w:p>
        </w:tc>
        <w:tc>
          <w:tcPr>
            <w:tcW w:w="460" w:type="dxa"/>
            <w:vAlign w:val="bottom"/>
          </w:tcPr>
          <w:p>
            <w:pPr>
              <w:spacing w:after="0"/>
              <w:rPr>
                <w:sz w:val="24"/>
                <w:szCs w:val="24"/>
                <w:color w:val="auto"/>
              </w:rPr>
            </w:pPr>
          </w:p>
        </w:tc>
        <w:tc>
          <w:tcPr>
            <w:tcW w:w="9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1"/>
              </w:rPr>
              <w:t>Third Amendment to the Master Lease, dated March 24, 2017, by and among Gold Merger Sub, LLC (as successor to Pinnacle</w:t>
            </w:r>
          </w:p>
        </w:tc>
      </w:tr>
      <w:tr>
        <w:trPr>
          <w:trHeight w:val="230"/>
        </w:trPr>
        <w:tc>
          <w:tcPr>
            <w:tcW w:w="1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Entertainment, Inc.) and Pinnacle MLS, LLC.</w:t>
            </w:r>
          </w:p>
        </w:tc>
      </w:tr>
      <w:tr>
        <w:trPr>
          <w:trHeight w:val="377"/>
        </w:trPr>
        <w:tc>
          <w:tcPr>
            <w:tcW w:w="1620" w:type="dxa"/>
            <w:vAlign w:val="bottom"/>
          </w:tcPr>
          <w:p>
            <w:pPr>
              <w:jc w:val="center"/>
              <w:spacing w:after="0"/>
              <w:rPr>
                <w:sz w:val="20"/>
                <w:szCs w:val="20"/>
                <w:color w:val="auto"/>
              </w:rPr>
            </w:pPr>
            <w:r>
              <w:rPr>
                <w:rFonts w:ascii="Arial" w:cs="Arial" w:eastAsia="Arial" w:hAnsi="Arial"/>
                <w:sz w:val="18"/>
                <w:szCs w:val="18"/>
                <w:color w:val="auto"/>
                <w:w w:val="99"/>
              </w:rPr>
              <w:t>10.2*</w:t>
            </w:r>
          </w:p>
        </w:tc>
        <w:tc>
          <w:tcPr>
            <w:tcW w:w="460" w:type="dxa"/>
            <w:vAlign w:val="bottom"/>
          </w:tcPr>
          <w:p>
            <w:pPr>
              <w:spacing w:after="0"/>
              <w:rPr>
                <w:sz w:val="24"/>
                <w:szCs w:val="24"/>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1"/>
              </w:rPr>
              <w:t>Fourth Amendment to the Master Lease Agreement, dated as of May 1, 2017, by and among GLP Capital L.P. and Penn Tenant</w:t>
            </w:r>
          </w:p>
        </w:tc>
      </w:tr>
      <w:tr>
        <w:trPr>
          <w:trHeight w:val="230"/>
        </w:trPr>
        <w:tc>
          <w:tcPr>
            <w:tcW w:w="1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LLC.</w:t>
            </w:r>
          </w:p>
        </w:tc>
      </w:tr>
      <w:tr>
        <w:trPr>
          <w:trHeight w:val="405"/>
        </w:trPr>
        <w:tc>
          <w:tcPr>
            <w:tcW w:w="1620" w:type="dxa"/>
            <w:vAlign w:val="bottom"/>
          </w:tcPr>
          <w:p>
            <w:pPr>
              <w:jc w:val="center"/>
              <w:spacing w:after="0"/>
              <w:rPr>
                <w:sz w:val="20"/>
                <w:szCs w:val="20"/>
                <w:color w:val="auto"/>
              </w:rPr>
            </w:pPr>
            <w:r>
              <w:rPr>
                <w:rFonts w:ascii="Arial" w:cs="Arial" w:eastAsia="Arial" w:hAnsi="Arial"/>
                <w:sz w:val="18"/>
                <w:szCs w:val="18"/>
                <w:color w:val="auto"/>
                <w:w w:val="99"/>
              </w:rPr>
              <w:t>31.1*</w:t>
            </w:r>
          </w:p>
        </w:tc>
        <w:tc>
          <w:tcPr>
            <w:tcW w:w="460" w:type="dxa"/>
            <w:vAlign w:val="bottom"/>
          </w:tcPr>
          <w:p>
            <w:pPr>
              <w:spacing w:after="0"/>
              <w:rPr>
                <w:sz w:val="24"/>
                <w:szCs w:val="24"/>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CEO Certification pursuant to rule 13a-14(a) or 15d-14(a) of the Securities Exchange Act of 1934.</w:t>
            </w:r>
          </w:p>
        </w:tc>
      </w:tr>
      <w:tr>
        <w:trPr>
          <w:trHeight w:val="540"/>
        </w:trPr>
        <w:tc>
          <w:tcPr>
            <w:tcW w:w="1620" w:type="dxa"/>
            <w:vAlign w:val="bottom"/>
          </w:tcPr>
          <w:p>
            <w:pPr>
              <w:jc w:val="center"/>
              <w:spacing w:after="0"/>
              <w:rPr>
                <w:sz w:val="20"/>
                <w:szCs w:val="20"/>
                <w:color w:val="auto"/>
              </w:rPr>
            </w:pPr>
            <w:r>
              <w:rPr>
                <w:rFonts w:ascii="Arial" w:cs="Arial" w:eastAsia="Arial" w:hAnsi="Arial"/>
                <w:sz w:val="18"/>
                <w:szCs w:val="18"/>
                <w:color w:val="auto"/>
                <w:w w:val="99"/>
              </w:rPr>
              <w:t>31.2*</w:t>
            </w:r>
          </w:p>
        </w:tc>
        <w:tc>
          <w:tcPr>
            <w:tcW w:w="460" w:type="dxa"/>
            <w:vAlign w:val="bottom"/>
          </w:tcPr>
          <w:p>
            <w:pPr>
              <w:spacing w:after="0"/>
              <w:rPr>
                <w:sz w:val="24"/>
                <w:szCs w:val="24"/>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CFO Certification pursuant to rule 13a-14(a) or 15d-14(a) of the Securities Exchange Act of 1934.</w:t>
            </w:r>
          </w:p>
        </w:tc>
      </w:tr>
      <w:tr>
        <w:trPr>
          <w:trHeight w:val="540"/>
        </w:trPr>
        <w:tc>
          <w:tcPr>
            <w:tcW w:w="1620" w:type="dxa"/>
            <w:vAlign w:val="bottom"/>
          </w:tcPr>
          <w:p>
            <w:pPr>
              <w:jc w:val="center"/>
              <w:spacing w:after="0"/>
              <w:rPr>
                <w:sz w:val="20"/>
                <w:szCs w:val="20"/>
                <w:color w:val="auto"/>
              </w:rPr>
            </w:pPr>
            <w:r>
              <w:rPr>
                <w:rFonts w:ascii="Arial" w:cs="Arial" w:eastAsia="Arial" w:hAnsi="Arial"/>
                <w:sz w:val="18"/>
                <w:szCs w:val="18"/>
                <w:color w:val="auto"/>
                <w:w w:val="99"/>
              </w:rPr>
              <w:t>32.1*</w:t>
            </w:r>
          </w:p>
        </w:tc>
        <w:tc>
          <w:tcPr>
            <w:tcW w:w="460" w:type="dxa"/>
            <w:vAlign w:val="bottom"/>
          </w:tcPr>
          <w:p>
            <w:pPr>
              <w:spacing w:after="0"/>
              <w:rPr>
                <w:sz w:val="24"/>
                <w:szCs w:val="24"/>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2"/>
              </w:rPr>
              <w:t>CEO Certification pursuant to 18 U.S.C. Section 1350, as adopted pursuant to Section 906 of the Sarbanes-Oxley Act of 2002.</w:t>
            </w:r>
          </w:p>
        </w:tc>
      </w:tr>
      <w:tr>
        <w:trPr>
          <w:trHeight w:val="540"/>
        </w:trPr>
        <w:tc>
          <w:tcPr>
            <w:tcW w:w="1620" w:type="dxa"/>
            <w:vAlign w:val="bottom"/>
          </w:tcPr>
          <w:p>
            <w:pPr>
              <w:jc w:val="center"/>
              <w:spacing w:after="0"/>
              <w:rPr>
                <w:sz w:val="20"/>
                <w:szCs w:val="20"/>
                <w:color w:val="auto"/>
              </w:rPr>
            </w:pPr>
            <w:r>
              <w:rPr>
                <w:rFonts w:ascii="Arial" w:cs="Arial" w:eastAsia="Arial" w:hAnsi="Arial"/>
                <w:sz w:val="18"/>
                <w:szCs w:val="18"/>
                <w:color w:val="auto"/>
                <w:w w:val="99"/>
              </w:rPr>
              <w:t>32.2*</w:t>
            </w:r>
          </w:p>
        </w:tc>
        <w:tc>
          <w:tcPr>
            <w:tcW w:w="460" w:type="dxa"/>
            <w:vAlign w:val="bottom"/>
          </w:tcPr>
          <w:p>
            <w:pPr>
              <w:spacing w:after="0"/>
              <w:rPr>
                <w:sz w:val="24"/>
                <w:szCs w:val="24"/>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2"/>
              </w:rPr>
              <w:t>CFO Certification pursuant to 18 U.S.C. Section 1350, as adopted pursuant to Section 906 of the Sarbanes-Oxley Act of 2002.</w:t>
            </w:r>
          </w:p>
        </w:tc>
      </w:tr>
      <w:tr>
        <w:trPr>
          <w:trHeight w:val="526"/>
        </w:trPr>
        <w:tc>
          <w:tcPr>
            <w:tcW w:w="1620" w:type="dxa"/>
            <w:vAlign w:val="bottom"/>
          </w:tcPr>
          <w:p>
            <w:pPr>
              <w:jc w:val="center"/>
              <w:spacing w:after="0"/>
              <w:rPr>
                <w:sz w:val="20"/>
                <w:szCs w:val="20"/>
                <w:color w:val="auto"/>
              </w:rPr>
            </w:pPr>
            <w:r>
              <w:rPr>
                <w:rFonts w:ascii="Arial" w:cs="Arial" w:eastAsia="Arial" w:hAnsi="Arial"/>
                <w:sz w:val="18"/>
                <w:szCs w:val="18"/>
                <w:color w:val="auto"/>
                <w:w w:val="97"/>
              </w:rPr>
              <w:t>101*</w:t>
            </w:r>
          </w:p>
        </w:tc>
        <w:tc>
          <w:tcPr>
            <w:tcW w:w="460" w:type="dxa"/>
            <w:vAlign w:val="bottom"/>
          </w:tcPr>
          <w:p>
            <w:pPr>
              <w:spacing w:after="0"/>
              <w:rPr>
                <w:sz w:val="24"/>
                <w:szCs w:val="24"/>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1"/>
              </w:rPr>
              <w:t>Interactive data files pursuant to Rule 405 of Regulation S-T: (i) the Condensed Consolidated Balance Sheets at March 31, 2017</w:t>
            </w:r>
          </w:p>
        </w:tc>
      </w:tr>
      <w:tr>
        <w:trPr>
          <w:trHeight w:val="216"/>
        </w:trPr>
        <w:tc>
          <w:tcPr>
            <w:tcW w:w="1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0"/>
              </w:rPr>
              <w:t>and December 31, 2016, (ii) the Condensed Consolidated Statements of Income for the three months ended March 31, 2017 and</w:t>
            </w:r>
          </w:p>
        </w:tc>
      </w:tr>
      <w:tr>
        <w:trPr>
          <w:trHeight w:val="216"/>
        </w:trPr>
        <w:tc>
          <w:tcPr>
            <w:tcW w:w="1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3"/>
              </w:rPr>
              <w:t>2016, (iii) the Condensed Consolidated Statement of Changes in Shareholders’ Equity for the three months ended March 31,</w:t>
            </w:r>
          </w:p>
        </w:tc>
      </w:tr>
      <w:tr>
        <w:trPr>
          <w:trHeight w:val="216"/>
        </w:trPr>
        <w:tc>
          <w:tcPr>
            <w:tcW w:w="1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1"/>
              </w:rPr>
              <w:t>2017, (iv) the Condensed Consolidated Statements of Cash Flows for three months ended March 31, 2017 and 2016 and (v) the</w:t>
            </w:r>
          </w:p>
        </w:tc>
      </w:tr>
      <w:tr>
        <w:trPr>
          <w:trHeight w:val="230"/>
        </w:trPr>
        <w:tc>
          <w:tcPr>
            <w:tcW w:w="1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notes to the Condensed Consolidated Financial Statements.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17322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8"/>
          <w:szCs w:val="18"/>
          <w:color w:val="auto"/>
        </w:rPr>
        <w:t>Filed or furnished, as applicable, herewith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30"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GAMING AND LEISURE PROPERTIES, INC.</w:t>
      </w:r>
    </w:p>
    <w:p>
      <w:pPr>
        <w:spacing w:after="0" w:line="333" w:lineRule="exact"/>
        <w:rPr>
          <w:sz w:val="20"/>
          <w:szCs w:val="20"/>
          <w:color w:val="auto"/>
        </w:rPr>
      </w:pPr>
    </w:p>
    <w:p>
      <w:pPr>
        <w:ind w:left="40"/>
        <w:spacing w:after="0"/>
        <w:tabs>
          <w:tab w:leader="none" w:pos="5620" w:val="left"/>
          <w:tab w:leader="none" w:pos="6300" w:val="left"/>
        </w:tabs>
        <w:rPr>
          <w:sz w:val="20"/>
          <w:szCs w:val="20"/>
          <w:color w:val="auto"/>
        </w:rPr>
      </w:pPr>
      <w:r>
        <w:rPr>
          <w:rFonts w:ascii="Arial" w:cs="Arial" w:eastAsia="Arial" w:hAnsi="Arial"/>
          <w:sz w:val="18"/>
          <w:szCs w:val="18"/>
          <w:color w:val="auto"/>
        </w:rPr>
        <w:t>May 3,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u w:val="single" w:color="auto"/>
          <w:color w:val="auto"/>
        </w:rPr>
        <w:t>/s/ William J. Clifford</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William J. Clifford</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9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40"/>
          </w:cols>
          <w:pgMar w:left="240" w:top="130" w:right="71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340" w:type="dxa"/>
            <w:vAlign w:val="bottom"/>
          </w:tcPr>
          <w:p>
            <w:pPr>
              <w:ind w:left="2940"/>
              <w:spacing w:after="0"/>
              <w:rPr>
                <w:sz w:val="20"/>
                <w:szCs w:val="20"/>
                <w:color w:val="auto"/>
              </w:rPr>
            </w:pPr>
            <w:r>
              <w:rPr>
                <w:rFonts w:ascii="Arial" w:cs="Arial" w:eastAsia="Arial" w:hAnsi="Arial"/>
                <w:sz w:val="18"/>
                <w:szCs w:val="18"/>
                <w:b w:val="1"/>
                <w:bCs w:val="1"/>
                <w:color w:val="auto"/>
              </w:rPr>
              <w:t>EXHIBIT INDEX</w:t>
            </w:r>
          </w:p>
        </w:tc>
      </w:tr>
      <w:tr>
        <w:trPr>
          <w:trHeight w:val="548"/>
        </w:trPr>
        <w:tc>
          <w:tcPr>
            <w:tcW w:w="2080" w:type="dxa"/>
            <w:vAlign w:val="bottom"/>
            <w:gridSpan w:val="2"/>
          </w:tcPr>
          <w:p>
            <w:pPr>
              <w:ind w:left="580"/>
              <w:spacing w:after="0"/>
              <w:rPr>
                <w:sz w:val="20"/>
                <w:szCs w:val="20"/>
                <w:color w:val="auto"/>
              </w:rPr>
            </w:pPr>
            <w:r>
              <w:rPr>
                <w:rFonts w:ascii="Arial" w:cs="Arial" w:eastAsia="Arial" w:hAnsi="Arial"/>
                <w:sz w:val="14"/>
                <w:szCs w:val="14"/>
                <w:b w:val="1"/>
                <w:bCs w:val="1"/>
                <w:color w:val="auto"/>
              </w:rPr>
              <w:t>Exhibit</w:t>
            </w:r>
          </w:p>
        </w:tc>
        <w:tc>
          <w:tcPr>
            <w:tcW w:w="9340" w:type="dxa"/>
            <w:vAlign w:val="bottom"/>
          </w:tcPr>
          <w:p>
            <w:pPr>
              <w:ind w:left="3980"/>
              <w:spacing w:after="0"/>
              <w:rPr>
                <w:sz w:val="20"/>
                <w:szCs w:val="20"/>
                <w:color w:val="auto"/>
              </w:rPr>
            </w:pPr>
            <w:r>
              <w:rPr>
                <w:rFonts w:ascii="Arial" w:cs="Arial" w:eastAsia="Arial" w:hAnsi="Arial"/>
                <w:sz w:val="14"/>
                <w:szCs w:val="14"/>
                <w:b w:val="1"/>
                <w:bCs w:val="1"/>
                <w:color w:val="auto"/>
              </w:rPr>
              <w:t>Description of Exhibit</w:t>
            </w:r>
          </w:p>
        </w:tc>
      </w:tr>
      <w:tr>
        <w:trPr>
          <w:trHeight w:val="498"/>
        </w:trPr>
        <w:tc>
          <w:tcPr>
            <w:tcW w:w="1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10.1*</w:t>
            </w:r>
          </w:p>
        </w:tc>
        <w:tc>
          <w:tcPr>
            <w:tcW w:w="460" w:type="dxa"/>
            <w:vAlign w:val="bottom"/>
          </w:tcPr>
          <w:p>
            <w:pPr>
              <w:spacing w:after="0"/>
              <w:rPr>
                <w:sz w:val="24"/>
                <w:szCs w:val="24"/>
                <w:color w:val="auto"/>
              </w:rPr>
            </w:pPr>
          </w:p>
        </w:tc>
        <w:tc>
          <w:tcPr>
            <w:tcW w:w="9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1"/>
              </w:rPr>
              <w:t>Third Amendment to the Master Lease, dated March 24, 2017, by and among Gold Merger Sub, LLC (as successor to Pinnacle</w:t>
            </w:r>
          </w:p>
        </w:tc>
      </w:tr>
      <w:tr>
        <w:trPr>
          <w:trHeight w:val="230"/>
        </w:trPr>
        <w:tc>
          <w:tcPr>
            <w:tcW w:w="1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Entertainment, Inc.) and Pinnacle MLS, LLC.</w:t>
            </w:r>
          </w:p>
        </w:tc>
      </w:tr>
      <w:tr>
        <w:trPr>
          <w:trHeight w:val="377"/>
        </w:trPr>
        <w:tc>
          <w:tcPr>
            <w:tcW w:w="1620" w:type="dxa"/>
            <w:vAlign w:val="bottom"/>
          </w:tcPr>
          <w:p>
            <w:pPr>
              <w:jc w:val="center"/>
              <w:spacing w:after="0"/>
              <w:rPr>
                <w:sz w:val="20"/>
                <w:szCs w:val="20"/>
                <w:color w:val="auto"/>
              </w:rPr>
            </w:pPr>
            <w:r>
              <w:rPr>
                <w:rFonts w:ascii="Arial" w:cs="Arial" w:eastAsia="Arial" w:hAnsi="Arial"/>
                <w:sz w:val="18"/>
                <w:szCs w:val="18"/>
                <w:color w:val="auto"/>
                <w:w w:val="99"/>
              </w:rPr>
              <w:t>10.2*</w:t>
            </w:r>
          </w:p>
        </w:tc>
        <w:tc>
          <w:tcPr>
            <w:tcW w:w="460" w:type="dxa"/>
            <w:vAlign w:val="bottom"/>
          </w:tcPr>
          <w:p>
            <w:pPr>
              <w:spacing w:after="0"/>
              <w:rPr>
                <w:sz w:val="24"/>
                <w:szCs w:val="24"/>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1"/>
              </w:rPr>
              <w:t>Fourth Amendment to the Master Lease Agreement, dated as of May 1, 2017, by and among GLP Capital L.P. and Penn Tenant</w:t>
            </w:r>
          </w:p>
        </w:tc>
      </w:tr>
      <w:tr>
        <w:trPr>
          <w:trHeight w:val="230"/>
        </w:trPr>
        <w:tc>
          <w:tcPr>
            <w:tcW w:w="1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LLC.</w:t>
            </w:r>
          </w:p>
        </w:tc>
      </w:tr>
      <w:tr>
        <w:trPr>
          <w:trHeight w:val="392"/>
        </w:trPr>
        <w:tc>
          <w:tcPr>
            <w:tcW w:w="1620" w:type="dxa"/>
            <w:vAlign w:val="bottom"/>
          </w:tcPr>
          <w:p>
            <w:pPr>
              <w:jc w:val="center"/>
              <w:spacing w:after="0"/>
              <w:rPr>
                <w:sz w:val="20"/>
                <w:szCs w:val="20"/>
                <w:color w:val="auto"/>
              </w:rPr>
            </w:pPr>
            <w:r>
              <w:rPr>
                <w:rFonts w:ascii="Arial" w:cs="Arial" w:eastAsia="Arial" w:hAnsi="Arial"/>
                <w:sz w:val="18"/>
                <w:szCs w:val="18"/>
                <w:color w:val="auto"/>
                <w:w w:val="99"/>
              </w:rPr>
              <w:t>31.1*</w:t>
            </w:r>
          </w:p>
        </w:tc>
        <w:tc>
          <w:tcPr>
            <w:tcW w:w="460" w:type="dxa"/>
            <w:vAlign w:val="bottom"/>
          </w:tcPr>
          <w:p>
            <w:pPr>
              <w:spacing w:after="0"/>
              <w:rPr>
                <w:sz w:val="24"/>
                <w:szCs w:val="24"/>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CEO Certification pursuant to rule 13a-14(a) or 15d-14(a) of the Securities Exchange Act of 1934.</w:t>
            </w:r>
          </w:p>
        </w:tc>
      </w:tr>
      <w:tr>
        <w:trPr>
          <w:trHeight w:val="540"/>
        </w:trPr>
        <w:tc>
          <w:tcPr>
            <w:tcW w:w="1620" w:type="dxa"/>
            <w:vAlign w:val="bottom"/>
          </w:tcPr>
          <w:p>
            <w:pPr>
              <w:jc w:val="center"/>
              <w:spacing w:after="0"/>
              <w:rPr>
                <w:sz w:val="20"/>
                <w:szCs w:val="20"/>
                <w:color w:val="auto"/>
              </w:rPr>
            </w:pPr>
            <w:r>
              <w:rPr>
                <w:rFonts w:ascii="Arial" w:cs="Arial" w:eastAsia="Arial" w:hAnsi="Arial"/>
                <w:sz w:val="18"/>
                <w:szCs w:val="18"/>
                <w:color w:val="auto"/>
                <w:w w:val="99"/>
              </w:rPr>
              <w:t>31.2*</w:t>
            </w:r>
          </w:p>
        </w:tc>
        <w:tc>
          <w:tcPr>
            <w:tcW w:w="460" w:type="dxa"/>
            <w:vAlign w:val="bottom"/>
          </w:tcPr>
          <w:p>
            <w:pPr>
              <w:spacing w:after="0"/>
              <w:rPr>
                <w:sz w:val="24"/>
                <w:szCs w:val="24"/>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CFO Certification pursuant to rule 13a-14(a) or 15d-14(a) of the Securities Exchange Act of 1934.</w:t>
            </w:r>
          </w:p>
        </w:tc>
      </w:tr>
      <w:tr>
        <w:trPr>
          <w:trHeight w:val="540"/>
        </w:trPr>
        <w:tc>
          <w:tcPr>
            <w:tcW w:w="1620" w:type="dxa"/>
            <w:vAlign w:val="bottom"/>
          </w:tcPr>
          <w:p>
            <w:pPr>
              <w:jc w:val="center"/>
              <w:spacing w:after="0"/>
              <w:rPr>
                <w:sz w:val="20"/>
                <w:szCs w:val="20"/>
                <w:color w:val="auto"/>
              </w:rPr>
            </w:pPr>
            <w:r>
              <w:rPr>
                <w:rFonts w:ascii="Arial" w:cs="Arial" w:eastAsia="Arial" w:hAnsi="Arial"/>
                <w:sz w:val="18"/>
                <w:szCs w:val="18"/>
                <w:color w:val="auto"/>
                <w:w w:val="99"/>
              </w:rPr>
              <w:t>32.1*</w:t>
            </w:r>
          </w:p>
        </w:tc>
        <w:tc>
          <w:tcPr>
            <w:tcW w:w="460" w:type="dxa"/>
            <w:vAlign w:val="bottom"/>
          </w:tcPr>
          <w:p>
            <w:pPr>
              <w:spacing w:after="0"/>
              <w:rPr>
                <w:sz w:val="24"/>
                <w:szCs w:val="24"/>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2"/>
              </w:rPr>
              <w:t>CEO Certification pursuant to 18 U.S.C. Section 1350, as adopted pursuant to Section 906 of the Sarbanes-Oxley Act of 2002.</w:t>
            </w:r>
          </w:p>
        </w:tc>
      </w:tr>
      <w:tr>
        <w:trPr>
          <w:trHeight w:val="540"/>
        </w:trPr>
        <w:tc>
          <w:tcPr>
            <w:tcW w:w="1620" w:type="dxa"/>
            <w:vAlign w:val="bottom"/>
          </w:tcPr>
          <w:p>
            <w:pPr>
              <w:jc w:val="center"/>
              <w:spacing w:after="0"/>
              <w:rPr>
                <w:sz w:val="20"/>
                <w:szCs w:val="20"/>
                <w:color w:val="auto"/>
              </w:rPr>
            </w:pPr>
            <w:r>
              <w:rPr>
                <w:rFonts w:ascii="Arial" w:cs="Arial" w:eastAsia="Arial" w:hAnsi="Arial"/>
                <w:sz w:val="18"/>
                <w:szCs w:val="18"/>
                <w:color w:val="auto"/>
                <w:w w:val="99"/>
              </w:rPr>
              <w:t>32.2*</w:t>
            </w:r>
          </w:p>
        </w:tc>
        <w:tc>
          <w:tcPr>
            <w:tcW w:w="460" w:type="dxa"/>
            <w:vAlign w:val="bottom"/>
          </w:tcPr>
          <w:p>
            <w:pPr>
              <w:spacing w:after="0"/>
              <w:rPr>
                <w:sz w:val="24"/>
                <w:szCs w:val="24"/>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2"/>
              </w:rPr>
              <w:t>CFO Certification pursuant to 18 U.S.C. Section 1350, as adopted pursuant to Section 906 of the Sarbanes-Oxley Act of 2002.</w:t>
            </w:r>
          </w:p>
        </w:tc>
      </w:tr>
      <w:tr>
        <w:trPr>
          <w:trHeight w:val="526"/>
        </w:trPr>
        <w:tc>
          <w:tcPr>
            <w:tcW w:w="1620" w:type="dxa"/>
            <w:vAlign w:val="bottom"/>
          </w:tcPr>
          <w:p>
            <w:pPr>
              <w:jc w:val="center"/>
              <w:spacing w:after="0"/>
              <w:rPr>
                <w:sz w:val="20"/>
                <w:szCs w:val="20"/>
                <w:color w:val="auto"/>
              </w:rPr>
            </w:pPr>
            <w:r>
              <w:rPr>
                <w:rFonts w:ascii="Arial" w:cs="Arial" w:eastAsia="Arial" w:hAnsi="Arial"/>
                <w:sz w:val="18"/>
                <w:szCs w:val="18"/>
                <w:color w:val="auto"/>
                <w:w w:val="97"/>
              </w:rPr>
              <w:t>101*</w:t>
            </w:r>
          </w:p>
        </w:tc>
        <w:tc>
          <w:tcPr>
            <w:tcW w:w="460" w:type="dxa"/>
            <w:vAlign w:val="bottom"/>
          </w:tcPr>
          <w:p>
            <w:pPr>
              <w:spacing w:after="0"/>
              <w:rPr>
                <w:sz w:val="24"/>
                <w:szCs w:val="24"/>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1"/>
              </w:rPr>
              <w:t>Interactive data files pursuant to Rule 405 of Regulation S-T: (i) the Condensed Consolidated Balance Sheets at March 31, 2017</w:t>
            </w:r>
          </w:p>
        </w:tc>
      </w:tr>
      <w:tr>
        <w:trPr>
          <w:trHeight w:val="216"/>
        </w:trPr>
        <w:tc>
          <w:tcPr>
            <w:tcW w:w="1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0"/>
              </w:rPr>
              <w:t>and December 31, 2016, (ii) the Condensed Consolidated Statements of Income for the three months ended March 31, 2017 and</w:t>
            </w:r>
          </w:p>
        </w:tc>
      </w:tr>
      <w:tr>
        <w:trPr>
          <w:trHeight w:val="216"/>
        </w:trPr>
        <w:tc>
          <w:tcPr>
            <w:tcW w:w="1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3"/>
              </w:rPr>
              <w:t>2016, (iii) the Condensed Consolidated Statement of Changes in Shareholders’ Equity for the three months ended March 31,</w:t>
            </w:r>
          </w:p>
        </w:tc>
      </w:tr>
      <w:tr>
        <w:trPr>
          <w:trHeight w:val="216"/>
        </w:trPr>
        <w:tc>
          <w:tcPr>
            <w:tcW w:w="1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1"/>
              </w:rPr>
              <w:t>2017, (iv) the Condensed Consolidated Statements of Cash Flows for three months ended March 31, 2017 and 2016 and (v) the</w:t>
            </w:r>
          </w:p>
        </w:tc>
      </w:tr>
      <w:tr>
        <w:trPr>
          <w:trHeight w:val="230"/>
        </w:trPr>
        <w:tc>
          <w:tcPr>
            <w:tcW w:w="1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notes to the Condensed Consolidated Financial Statements.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173228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8"/>
          <w:szCs w:val="18"/>
          <w:color w:val="auto"/>
        </w:rPr>
        <w:t>Filed or furnished, as applicable, herewith</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3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AMENDMENT TO MASTER LEASE</w:t>
      </w:r>
    </w:p>
    <w:p>
      <w:pPr>
        <w:spacing w:after="0" w:line="32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THIS THIRD AMENDMENT TO MASTER LEASE (this “</w:t>
      </w:r>
      <w:r>
        <w:rPr>
          <w:rFonts w:ascii="Arial" w:cs="Arial" w:eastAsia="Arial" w:hAnsi="Arial"/>
          <w:sz w:val="22"/>
          <w:szCs w:val="22"/>
          <w:b w:val="1"/>
          <w:bCs w:val="1"/>
          <w:color w:val="auto"/>
        </w:rPr>
        <w:t>Amendment</w:t>
      </w:r>
      <w:r>
        <w:rPr>
          <w:rFonts w:ascii="Arial" w:cs="Arial" w:eastAsia="Arial" w:hAnsi="Arial"/>
          <w:sz w:val="22"/>
          <w:szCs w:val="22"/>
          <w:color w:val="auto"/>
        </w:rPr>
        <w:t>”) is made and effective as of March 24, 2017 (the “</w:t>
      </w:r>
      <w:r>
        <w:rPr>
          <w:rFonts w:ascii="Arial" w:cs="Arial" w:eastAsia="Arial" w:hAnsi="Arial"/>
          <w:sz w:val="22"/>
          <w:szCs w:val="22"/>
          <w:b w:val="1"/>
          <w:bCs w:val="1"/>
          <w:color w:val="auto"/>
        </w:rPr>
        <w:t>Effective Date</w:t>
      </w:r>
      <w:r>
        <w:rPr>
          <w:rFonts w:ascii="Arial" w:cs="Arial" w:eastAsia="Arial" w:hAnsi="Arial"/>
          <w:sz w:val="22"/>
          <w:szCs w:val="22"/>
          <w:color w:val="auto"/>
        </w:rPr>
        <w:t>”), by and between GOLD MERGER SUB, LLC, a Delaware limited liability company, having an office at c/o Gaming and Leisure Properties, Inc., 845 Berkshire Blvd., Suite 200, Wyomissing, Pennsylvania 19610, as landlord (together with its permitted successors and assigns, “</w:t>
      </w:r>
      <w:r>
        <w:rPr>
          <w:rFonts w:ascii="Arial" w:cs="Arial" w:eastAsia="Arial" w:hAnsi="Arial"/>
          <w:sz w:val="22"/>
          <w:szCs w:val="22"/>
          <w:b w:val="1"/>
          <w:bCs w:val="1"/>
          <w:color w:val="auto"/>
        </w:rPr>
        <w:t>Landlord</w:t>
      </w:r>
      <w:r>
        <w:rPr>
          <w:rFonts w:ascii="Arial" w:cs="Arial" w:eastAsia="Arial" w:hAnsi="Arial"/>
          <w:sz w:val="22"/>
          <w:szCs w:val="22"/>
          <w:color w:val="auto"/>
        </w:rPr>
        <w:t>”), and PINNACLE MLS, LLC, a Delaware limited liability company, having an office at 3980 Howard Hughes Parkway, Las Vegas, Nevada 89169, as tenant (together with its permitted successors and assigns, “</w:t>
      </w:r>
      <w:r>
        <w:rPr>
          <w:rFonts w:ascii="Arial" w:cs="Arial" w:eastAsia="Arial" w:hAnsi="Arial"/>
          <w:sz w:val="22"/>
          <w:szCs w:val="22"/>
          <w:b w:val="1"/>
          <w:bCs w:val="1"/>
          <w:color w:val="auto"/>
        </w:rPr>
        <w:t>Tenant</w:t>
      </w:r>
      <w:r>
        <w:rPr>
          <w:rFonts w:ascii="Arial" w:cs="Arial" w:eastAsia="Arial" w:hAnsi="Arial"/>
          <w:sz w:val="22"/>
          <w:szCs w:val="22"/>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 I T N E S S E T H:</w:t>
      </w:r>
    </w:p>
    <w:p>
      <w:pPr>
        <w:spacing w:after="0" w:line="220"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WHEREAS, Pinnacle Entertainment, Inc. (as predecessor by merger to Landlord) (“</w:t>
      </w:r>
      <w:r>
        <w:rPr>
          <w:rFonts w:ascii="Arial" w:cs="Arial" w:eastAsia="Arial" w:hAnsi="Arial"/>
          <w:sz w:val="19"/>
          <w:szCs w:val="19"/>
          <w:b w:val="1"/>
          <w:bCs w:val="1"/>
          <w:color w:val="auto"/>
        </w:rPr>
        <w:t>Pinnacle</w:t>
      </w:r>
      <w:r>
        <w:rPr>
          <w:rFonts w:ascii="Arial" w:cs="Arial" w:eastAsia="Arial" w:hAnsi="Arial"/>
          <w:sz w:val="19"/>
          <w:szCs w:val="19"/>
          <w:color w:val="auto"/>
        </w:rPr>
        <w:t>”), as landlord, and Tenant, as tenant, entered into that certain Master Lease, dated as of April 28, 2016, as amended by that certain First Amendment to Master Lease, dated as of August 29, 2016, by and between Landlord and Tenant, as further amended by that certain Second Amendment to Master Lease, dated as of October 25, 2016, by and between Landlord and Tenant (as amended, the “</w:t>
      </w:r>
      <w:r>
        <w:rPr>
          <w:rFonts w:ascii="Arial" w:cs="Arial" w:eastAsia="Arial" w:hAnsi="Arial"/>
          <w:sz w:val="19"/>
          <w:szCs w:val="19"/>
          <w:b w:val="1"/>
          <w:bCs w:val="1"/>
          <w:color w:val="auto"/>
        </w:rPr>
        <w:t>Master Lease</w:t>
      </w:r>
      <w:r>
        <w:rPr>
          <w:rFonts w:ascii="Arial" w:cs="Arial" w:eastAsia="Arial" w:hAnsi="Arial"/>
          <w:sz w:val="19"/>
          <w:szCs w:val="19"/>
          <w:color w:val="auto"/>
        </w:rPr>
        <w:t>”; capitalized terms used and not otherwise defined herein shall have the respective meanings ascribed to them in the Master Lease);</w:t>
      </w:r>
    </w:p>
    <w:p>
      <w:pPr>
        <w:spacing w:after="0" w:line="14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WHEREAS, pursuant to that certain Merger Agreement, dated as of July 20, 2015, by and among Pinnacle, Landlord, and Gaming and Leisure Properties, Inc. (“</w:t>
      </w:r>
      <w:r>
        <w:rPr>
          <w:rFonts w:ascii="Arial" w:cs="Arial" w:eastAsia="Arial" w:hAnsi="Arial"/>
          <w:sz w:val="19"/>
          <w:szCs w:val="19"/>
          <w:b w:val="1"/>
          <w:bCs w:val="1"/>
          <w:color w:val="auto"/>
        </w:rPr>
        <w:t>GLPI</w:t>
      </w:r>
      <w:r>
        <w:rPr>
          <w:rFonts w:ascii="Arial" w:cs="Arial" w:eastAsia="Arial" w:hAnsi="Arial"/>
          <w:sz w:val="19"/>
          <w:szCs w:val="19"/>
          <w:color w:val="auto"/>
        </w:rPr>
        <w:t>”), as amended by that certain Amendment No. 1 to Agreement and Plan of Merger, dated as of March 25, 2016, by and among Pinnacle, Landlord, and GLPI, Pinnacle merged with and into Landlord on April 28, 2016, and Pinnacle’s interest in the Master Lease was transferred to Landlord by operation of law;</w:t>
      </w:r>
    </w:p>
    <w:p>
      <w:pPr>
        <w:spacing w:after="0" w:line="137" w:lineRule="exact"/>
        <w:rPr>
          <w:sz w:val="20"/>
          <w:szCs w:val="20"/>
          <w:color w:val="auto"/>
        </w:rPr>
      </w:pPr>
    </w:p>
    <w:p>
      <w:pPr>
        <w:jc w:val="both"/>
        <w:ind w:right="20" w:firstLine="648"/>
        <w:spacing w:after="0" w:line="350" w:lineRule="auto"/>
        <w:rPr>
          <w:sz w:val="20"/>
          <w:szCs w:val="20"/>
          <w:color w:val="auto"/>
        </w:rPr>
      </w:pPr>
      <w:r>
        <w:rPr>
          <w:rFonts w:ascii="Arial" w:cs="Arial" w:eastAsia="Arial" w:hAnsi="Arial"/>
          <w:sz w:val="19"/>
          <w:szCs w:val="19"/>
          <w:color w:val="auto"/>
        </w:rPr>
        <w:t>WHEREAS, Pinnacle, PNK Entertainment, Inc. (“</w:t>
      </w:r>
      <w:r>
        <w:rPr>
          <w:rFonts w:ascii="Arial" w:cs="Arial" w:eastAsia="Arial" w:hAnsi="Arial"/>
          <w:sz w:val="19"/>
          <w:szCs w:val="19"/>
          <w:b w:val="1"/>
          <w:bCs w:val="1"/>
          <w:color w:val="auto"/>
        </w:rPr>
        <w:t>PNK</w:t>
      </w:r>
      <w:r>
        <w:rPr>
          <w:rFonts w:ascii="Arial" w:cs="Arial" w:eastAsia="Arial" w:hAnsi="Arial"/>
          <w:sz w:val="19"/>
          <w:szCs w:val="19"/>
          <w:color w:val="auto"/>
        </w:rPr>
        <w:t>”), and GLPI entered into that certain Separation and Distribution Agreement, dated as of April 28, 2016 (the “</w:t>
      </w:r>
      <w:r>
        <w:rPr>
          <w:rFonts w:ascii="Arial" w:cs="Arial" w:eastAsia="Arial" w:hAnsi="Arial"/>
          <w:sz w:val="19"/>
          <w:szCs w:val="19"/>
          <w:b w:val="1"/>
          <w:bCs w:val="1"/>
          <w:color w:val="auto"/>
        </w:rPr>
        <w:t>SDA</w:t>
      </w:r>
      <w:r>
        <w:rPr>
          <w:rFonts w:ascii="Arial" w:cs="Arial" w:eastAsia="Arial" w:hAnsi="Arial"/>
          <w:sz w:val="19"/>
          <w:szCs w:val="19"/>
          <w:color w:val="auto"/>
        </w:rPr>
        <w:t>”), to effect the Reorganization and the Distribution (each as defined in the SDA);</w:t>
      </w:r>
    </w:p>
    <w:p>
      <w:pPr>
        <w:spacing w:after="0" w:line="9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pursuant to Section 2.5(b) of the SDA, PNK caused its subsidiary, PNK Vicksburg, LLC, to execute and deliver a quitclaim deed, dated as of April 28, 2016 (the “</w:t>
      </w:r>
      <w:r>
        <w:rPr>
          <w:rFonts w:ascii="Arial" w:cs="Arial" w:eastAsia="Arial" w:hAnsi="Arial"/>
          <w:sz w:val="22"/>
          <w:szCs w:val="22"/>
          <w:b w:val="1"/>
          <w:bCs w:val="1"/>
          <w:color w:val="auto"/>
        </w:rPr>
        <w:t>Original Vicksburg Deed</w:t>
      </w:r>
      <w:r>
        <w:rPr>
          <w:rFonts w:ascii="Arial" w:cs="Arial" w:eastAsia="Arial" w:hAnsi="Arial"/>
          <w:sz w:val="22"/>
          <w:szCs w:val="22"/>
          <w:color w:val="auto"/>
        </w:rPr>
        <w:t>”), in favor of Pinnacle Entertainment, Inc. (predecessor-in-interest to Landlord) for certain Pinnacle Real Property (as defined in the SDA) located in the City of Vicksburg, Mississippi;</w:t>
      </w:r>
    </w:p>
    <w:p>
      <w:pPr>
        <w:spacing w:after="0" w:line="18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WHEREAS, a portion of the Pinnacle Real Property located in the City of Vicksburg, Mississippi (the “</w:t>
      </w:r>
      <w:r>
        <w:rPr>
          <w:rFonts w:ascii="Arial" w:cs="Arial" w:eastAsia="Arial" w:hAnsi="Arial"/>
          <w:sz w:val="22"/>
          <w:szCs w:val="22"/>
          <w:b w:val="1"/>
          <w:bCs w:val="1"/>
          <w:color w:val="auto"/>
        </w:rPr>
        <w:t>Additional</w:t>
      </w:r>
      <w:r>
        <w:rPr>
          <w:rFonts w:ascii="Arial" w:cs="Arial" w:eastAsia="Arial" w:hAnsi="Arial"/>
          <w:sz w:val="22"/>
          <w:szCs w:val="22"/>
          <w:color w:val="auto"/>
        </w:rPr>
        <w:t xml:space="preserve"> </w:t>
      </w:r>
      <w:r>
        <w:rPr>
          <w:rFonts w:ascii="Arial" w:cs="Arial" w:eastAsia="Arial" w:hAnsi="Arial"/>
          <w:sz w:val="22"/>
          <w:szCs w:val="22"/>
          <w:b w:val="1"/>
          <w:bCs w:val="1"/>
          <w:color w:val="auto"/>
        </w:rPr>
        <w:t>Vicksburg Property</w:t>
      </w:r>
      <w:r>
        <w:rPr>
          <w:rFonts w:ascii="Arial" w:cs="Arial" w:eastAsia="Arial" w:hAnsi="Arial"/>
          <w:sz w:val="22"/>
          <w:szCs w:val="22"/>
          <w:color w:val="auto"/>
        </w:rPr>
        <w:t>”) was not included in the Original Vicksburg Deed and, pursuant to Section 6.1 of the SDA, PNK caused</w:t>
      </w:r>
      <w:r>
        <w:rPr>
          <w:rFonts w:ascii="Arial" w:cs="Arial" w:eastAsia="Arial" w:hAnsi="Arial"/>
          <w:sz w:val="22"/>
          <w:szCs w:val="22"/>
          <w:b w:val="1"/>
          <w:bCs w:val="1"/>
          <w:color w:val="auto"/>
        </w:rPr>
        <w:t xml:space="preserve"> </w:t>
      </w:r>
      <w:r>
        <w:rPr>
          <w:rFonts w:ascii="Arial" w:cs="Arial" w:eastAsia="Arial" w:hAnsi="Arial"/>
          <w:sz w:val="22"/>
          <w:szCs w:val="22"/>
          <w:color w:val="auto"/>
        </w:rPr>
        <w:t>PNK Vicksburg, LLC to execute and deliver an additional quitclaim deed, dated as of the date hereof, in favor of Landlord for the Additional Vicksburg Property; and</w:t>
      </w:r>
    </w:p>
    <w:p>
      <w:pPr>
        <w:spacing w:after="0" w:line="18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WHEREAS, Landlord and Tenant each desire to amend the Master Lease to amend “</w:t>
      </w:r>
      <w:r>
        <w:rPr>
          <w:rFonts w:ascii="Arial" w:cs="Arial" w:eastAsia="Arial" w:hAnsi="Arial"/>
          <w:sz w:val="22"/>
          <w:szCs w:val="22"/>
          <w:u w:val="single" w:color="auto"/>
          <w:color w:val="auto"/>
        </w:rPr>
        <w:t>Exhibit B</w:t>
      </w:r>
      <w:r>
        <w:rPr>
          <w:rFonts w:ascii="Arial" w:cs="Arial" w:eastAsia="Arial" w:hAnsi="Arial"/>
          <w:sz w:val="22"/>
          <w:szCs w:val="22"/>
          <w:color w:val="auto"/>
        </w:rPr>
        <w:t>” attached thereto to add the legal description of the Additional Vicksburg Property, as more fully described herein.</w:t>
      </w:r>
    </w:p>
    <w:p>
      <w:pPr>
        <w:spacing w:after="0" w:line="175" w:lineRule="exact"/>
        <w:rPr>
          <w:sz w:val="20"/>
          <w:szCs w:val="20"/>
          <w:color w:val="auto"/>
        </w:rPr>
      </w:pPr>
    </w:p>
    <w:p>
      <w:pPr>
        <w:ind w:right="300" w:firstLine="648"/>
        <w:spacing w:after="0" w:line="253" w:lineRule="auto"/>
        <w:rPr>
          <w:sz w:val="20"/>
          <w:szCs w:val="20"/>
          <w:color w:val="auto"/>
        </w:rPr>
      </w:pPr>
      <w:r>
        <w:rPr>
          <w:rFonts w:ascii="Arial" w:cs="Arial" w:eastAsia="Arial" w:hAnsi="Arial"/>
          <w:sz w:val="22"/>
          <w:szCs w:val="22"/>
          <w:color w:val="auto"/>
        </w:rPr>
        <w:t>NOW, THEREFORE, in consideration of the provisions set forth in the Master Lease as amended by this Amendment, including, but not limited to, the mutual representations, warranties, covenants and agreements contained therein and herein, and for other good and valuable consideration, the receipt and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45" w:name="page46"/>
    <w:bookmarkEnd w:id="45"/>
    <w:p>
      <w:pPr>
        <w:ind w:right="100"/>
        <w:spacing w:after="0" w:line="263" w:lineRule="auto"/>
        <w:rPr>
          <w:sz w:val="20"/>
          <w:szCs w:val="20"/>
          <w:color w:val="auto"/>
        </w:rPr>
      </w:pPr>
      <w:r>
        <w:rPr>
          <w:rFonts w:ascii="Arial" w:cs="Arial" w:eastAsia="Arial" w:hAnsi="Arial"/>
          <w:sz w:val="22"/>
          <w:szCs w:val="22"/>
          <w:color w:val="auto"/>
        </w:rPr>
        <w:t>sufficiency of which are hereby respectively acknowledged, and subject to the terms and conditions thereof and hereof, the parties, intending to be legally bound, hereby agree that the Master Lease shall be amended as follows: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OF EXHIBIT B TO THE MASTER LEASE</w:t>
      </w:r>
    </w:p>
    <w:p>
      <w:pPr>
        <w:spacing w:after="0" w:line="202" w:lineRule="exact"/>
        <w:rPr>
          <w:sz w:val="20"/>
          <w:szCs w:val="20"/>
          <w:color w:val="auto"/>
        </w:rPr>
      </w:pPr>
    </w:p>
    <w:p>
      <w:pPr>
        <w:ind w:left="130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color w:val="auto"/>
        </w:rPr>
        <w:t>The parties hereby agree that “</w:t>
      </w:r>
      <w:r>
        <w:rPr>
          <w:rFonts w:ascii="Arial" w:cs="Arial" w:eastAsia="Arial" w:hAnsi="Arial"/>
          <w:sz w:val="19"/>
          <w:szCs w:val="19"/>
          <w:u w:val="single" w:color="auto"/>
          <w:color w:val="auto"/>
        </w:rPr>
        <w:t>Exhibit B</w:t>
      </w:r>
      <w:r>
        <w:rPr>
          <w:rFonts w:ascii="Arial" w:cs="Arial" w:eastAsia="Arial" w:hAnsi="Arial"/>
          <w:sz w:val="19"/>
          <w:szCs w:val="19"/>
          <w:color w:val="auto"/>
        </w:rPr>
        <w:t>” of the Master Lease shall be amended as follows:</w:t>
      </w:r>
    </w:p>
    <w:p>
      <w:pPr>
        <w:spacing w:after="0" w:line="254" w:lineRule="exact"/>
        <w:rPr>
          <w:sz w:val="20"/>
          <w:szCs w:val="20"/>
          <w:color w:val="auto"/>
        </w:rPr>
      </w:pPr>
    </w:p>
    <w:p>
      <w:pPr>
        <w:jc w:val="both"/>
        <w:ind w:firstLine="1305"/>
        <w:spacing w:after="0" w:line="256" w:lineRule="auto"/>
        <w:tabs>
          <w:tab w:leader="none" w:pos="2185" w:val="left"/>
        </w:tabs>
        <w:numPr>
          <w:ilvl w:val="0"/>
          <w:numId w:val="22"/>
        </w:numPr>
        <w:rPr>
          <w:rFonts w:ascii="Arial" w:cs="Arial" w:eastAsia="Arial" w:hAnsi="Arial"/>
          <w:sz w:val="22"/>
          <w:szCs w:val="22"/>
          <w:color w:val="auto"/>
        </w:rPr>
      </w:pPr>
      <w:r>
        <w:rPr>
          <w:rFonts w:ascii="Arial" w:cs="Arial" w:eastAsia="Arial" w:hAnsi="Arial"/>
          <w:sz w:val="22"/>
          <w:szCs w:val="22"/>
          <w:color w:val="auto"/>
        </w:rPr>
        <w:t>On page B-64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and with respect to </w:t>
      </w:r>
      <w:r>
        <w:rPr>
          <w:rFonts w:ascii="Arial" w:cs="Arial" w:eastAsia="Arial" w:hAnsi="Arial"/>
          <w:sz w:val="22"/>
          <w:szCs w:val="22"/>
          <w:b w:val="1"/>
          <w:bCs w:val="1"/>
          <w:u w:val="single" w:color="auto"/>
          <w:color w:val="auto"/>
        </w:rPr>
        <w:t>Ameristar Vicksburg</w:t>
      </w:r>
      <w:r>
        <w:rPr>
          <w:rFonts w:ascii="Arial" w:cs="Arial" w:eastAsia="Arial" w:hAnsi="Arial"/>
          <w:sz w:val="22"/>
          <w:szCs w:val="22"/>
          <w:color w:val="auto"/>
        </w:rPr>
        <w:t>, the following text shall be inserted as a new paragraph after the end of the last paragraph of the legal description on page B-63, and such Land described below shall be Leased Property under the Master Lease:</w:t>
      </w:r>
    </w:p>
    <w:p>
      <w:pPr>
        <w:spacing w:after="0" w:line="223" w:lineRule="exact"/>
        <w:rPr>
          <w:sz w:val="20"/>
          <w:szCs w:val="20"/>
          <w:color w:val="auto"/>
        </w:rPr>
      </w:pPr>
    </w:p>
    <w:p>
      <w:pPr>
        <w:jc w:val="center"/>
        <w:ind w:left="660"/>
        <w:spacing w:after="0"/>
        <w:rPr>
          <w:sz w:val="20"/>
          <w:szCs w:val="20"/>
          <w:color w:val="auto"/>
        </w:rPr>
      </w:pPr>
      <w:r>
        <w:rPr>
          <w:rFonts w:ascii="Arial" w:cs="Arial" w:eastAsia="Arial" w:hAnsi="Arial"/>
          <w:sz w:val="22"/>
          <w:szCs w:val="22"/>
          <w:color w:val="auto"/>
        </w:rPr>
        <w:t>TRACT FIFTEEN</w:t>
      </w:r>
    </w:p>
    <w:p>
      <w:pPr>
        <w:spacing w:after="0" w:line="220" w:lineRule="exact"/>
        <w:rPr>
          <w:sz w:val="20"/>
          <w:szCs w:val="20"/>
          <w:color w:val="auto"/>
        </w:rPr>
      </w:pPr>
    </w:p>
    <w:p>
      <w:pPr>
        <w:ind w:left="660" w:right="60"/>
        <w:spacing w:after="0" w:line="250" w:lineRule="auto"/>
        <w:rPr>
          <w:sz w:val="20"/>
          <w:szCs w:val="20"/>
          <w:color w:val="auto"/>
        </w:rPr>
      </w:pPr>
      <w:r>
        <w:rPr>
          <w:rFonts w:ascii="Arial" w:cs="Arial" w:eastAsia="Arial" w:hAnsi="Arial"/>
          <w:sz w:val="22"/>
          <w:szCs w:val="22"/>
          <w:color w:val="auto"/>
        </w:rPr>
        <w:t>That certain parcel conveyed to Riverview Development Company, LLC by Delta Land Company, Inc. as recorded in Deed Book 1208 at Page 553 of the Land Records of Warren County, being part of Section 31, Township 16 North, Range 3 East, Vicksburg, Warren County, Mississippi, containing in the aggregate 0.22 acres, and being more particularly described as follows:</w:t>
      </w:r>
    </w:p>
    <w:p>
      <w:pPr>
        <w:spacing w:after="0" w:line="188" w:lineRule="exact"/>
        <w:rPr>
          <w:sz w:val="20"/>
          <w:szCs w:val="20"/>
          <w:color w:val="auto"/>
        </w:rPr>
      </w:pPr>
    </w:p>
    <w:p>
      <w:pPr>
        <w:ind w:left="660" w:right="80"/>
        <w:spacing w:after="0" w:line="290" w:lineRule="auto"/>
        <w:rPr>
          <w:sz w:val="20"/>
          <w:szCs w:val="20"/>
          <w:color w:val="auto"/>
        </w:rPr>
      </w:pPr>
      <w:r>
        <w:rPr>
          <w:rFonts w:ascii="Arial" w:cs="Arial" w:eastAsia="Arial" w:hAnsi="Arial"/>
          <w:sz w:val="19"/>
          <w:szCs w:val="19"/>
          <w:color w:val="auto"/>
        </w:rPr>
        <w:t>Commencing at that certain Vicksburg National Military Park Monument #379, run thence South 10 degrees 37 minutes 48 seconds East, 393.30 feet, more or less, to a found iron marking the northwest corner of the herein described tract and the point of beginning; from said point run thence South 73 degrees 00 minutes 00 seconds East, 51.13 feet to the apparent westerly right of way of Washington Street, as it presently exists; thence along said apparent right of way, South 21 degrees 28 minutes 23 seconds West, 200.01 feet to a point; thence leaving said right of way and run North 54 degrees 00 minutes 00 seconds West, 52.00 feet to a point; thence run North 21 degrees 16 minutes 25 seconds East, 182.98 feet to the point of beginning, a plat whereof prepared by CTSI being attached hereto as Schedule 1.1 and incorporated herein in aid of description of the property herein described and conveyed and for all other purposes in the construction of this instrument.</w:t>
      </w:r>
    </w:p>
    <w:p>
      <w:pPr>
        <w:spacing w:after="0" w:line="151" w:lineRule="exact"/>
        <w:rPr>
          <w:sz w:val="20"/>
          <w:szCs w:val="20"/>
          <w:color w:val="auto"/>
        </w:rPr>
      </w:pPr>
    </w:p>
    <w:p>
      <w:pPr>
        <w:ind w:right="340" w:firstLine="1305"/>
        <w:spacing w:after="0" w:line="269" w:lineRule="auto"/>
        <w:tabs>
          <w:tab w:leader="none" w:pos="2197" w:val="left"/>
        </w:tabs>
        <w:numPr>
          <w:ilvl w:val="0"/>
          <w:numId w:val="2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to the Master Lease is hereby amended by inserting </w:t>
      </w:r>
      <w:r>
        <w:rPr>
          <w:rFonts w:ascii="Arial" w:cs="Arial" w:eastAsia="Arial" w:hAnsi="Arial"/>
          <w:sz w:val="22"/>
          <w:szCs w:val="22"/>
          <w:b w:val="1"/>
          <w:bCs w:val="1"/>
          <w:u w:val="single" w:color="auto"/>
          <w:color w:val="auto"/>
        </w:rPr>
        <w:t>Schedule 1.1</w:t>
      </w:r>
      <w:r>
        <w:rPr>
          <w:rFonts w:ascii="Arial" w:cs="Arial" w:eastAsia="Arial" w:hAnsi="Arial"/>
          <w:sz w:val="22"/>
          <w:szCs w:val="22"/>
          <w:color w:val="auto"/>
        </w:rPr>
        <w:t xml:space="preserve"> attached hereto after the last page of “</w:t>
      </w:r>
      <w:r>
        <w:rPr>
          <w:rFonts w:ascii="Arial" w:cs="Arial" w:eastAsia="Arial" w:hAnsi="Arial"/>
          <w:sz w:val="22"/>
          <w:szCs w:val="22"/>
          <w:u w:val="single" w:color="auto"/>
          <w:color w:val="auto"/>
        </w:rPr>
        <w:t>Exhibit B</w:t>
      </w:r>
      <w:r>
        <w:rPr>
          <w:rFonts w:ascii="Arial" w:cs="Arial" w:eastAsia="Arial" w:hAnsi="Arial"/>
          <w:sz w:val="22"/>
          <w:szCs w:val="22"/>
          <w:color w:val="auto"/>
        </w:rPr>
        <w:t>” to the Master Lease.</w:t>
      </w:r>
    </w:p>
    <w:p>
      <w:pPr>
        <w:spacing w:after="0" w:line="203"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color w:val="auto"/>
        </w:rPr>
        <w:t xml:space="preserve">1.2 For the avoidance of any doubt, the parties hereby agree that the attached </w:t>
      </w:r>
      <w:r>
        <w:rPr>
          <w:rFonts w:ascii="Arial" w:cs="Arial" w:eastAsia="Arial" w:hAnsi="Arial"/>
          <w:sz w:val="22"/>
          <w:szCs w:val="22"/>
          <w:b w:val="1"/>
          <w:bCs w:val="1"/>
          <w:u w:val="single" w:color="auto"/>
          <w:color w:val="auto"/>
        </w:rPr>
        <w:t>Exhibit B</w:t>
      </w:r>
      <w:r>
        <w:rPr>
          <w:rFonts w:ascii="Arial" w:cs="Arial" w:eastAsia="Arial" w:hAnsi="Arial"/>
          <w:sz w:val="22"/>
          <w:szCs w:val="22"/>
          <w:color w:val="auto"/>
        </w:rPr>
        <w:t xml:space="preserve"> incorporates and reflects the amendments set forth in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above and may be attached and affixed to the Master Lease as an amended and restated “</w:t>
      </w:r>
      <w:r>
        <w:rPr>
          <w:rFonts w:ascii="Arial" w:cs="Arial" w:eastAsia="Arial" w:hAnsi="Arial"/>
          <w:sz w:val="22"/>
          <w:szCs w:val="22"/>
          <w:u w:val="single" w:color="auto"/>
          <w:color w:val="auto"/>
        </w:rPr>
        <w:t>Exhibit B</w:t>
      </w:r>
      <w:r>
        <w:rPr>
          <w:rFonts w:ascii="Arial" w:cs="Arial" w:eastAsia="Arial" w:hAnsi="Arial"/>
          <w:sz w:val="22"/>
          <w:szCs w:val="22"/>
          <w:color w:val="auto"/>
        </w:rPr>
        <w: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TO MEMORANDUM OF LEASE</w:t>
      </w:r>
    </w:p>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Landlord and Tenant shall enter into one or more amendments to any memorandum of lease which may be been recorded in accordance with Article XXXIII of the Master Lease, in form suitable for recording in each county in which a Leased Property is located which amendment is pursuant to this Amendment. Tenant shall pay all costs and expenses of recording any such amendment to memorandum of lease and shall fully cooperate with Landlord in removing from record any such memorandum of lease upon the expiration or earlier termination of the Term with respect to the applicable Facility.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91"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22"/>
          <w:szCs w:val="22"/>
          <w:b w:val="1"/>
          <w:bCs w:val="1"/>
          <w:color w:val="auto"/>
        </w:rPr>
        <w:t>ARTICLE 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AUTHORITY TO ENTER INTO AMENDMENT</w:t>
      </w:r>
    </w:p>
    <w:p>
      <w:pPr>
        <w:spacing w:after="0" w:line="242"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Each party represents and warrants to the other that: (i) this Amendment and all other documents executed or to be executed by it in connection herewith have been duly authorized and shall be binding upon it; (ii) it is duly organized, validly existing and in good standing under the laws of the state of its formation and is duly authorized and qualified to perform this Amendment and the Master Lease, as amended hereby, within the State(s) where any portion of the Leased Property is located, and (iii) neither this Amendment or the Master Lease, as amended hereby, nor any other document executed or to be executed in connection herewith, violates the terms of any other agreement of such party.</w:t>
      </w:r>
    </w:p>
    <w:p>
      <w:pPr>
        <w:spacing w:after="0" w:line="174"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ARTICLE IV</w:t>
      </w:r>
    </w:p>
    <w:p>
      <w:pPr>
        <w:spacing w:after="0" w:line="28"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Miscellaneous</w:t>
      </w:r>
    </w:p>
    <w:p>
      <w:pPr>
        <w:spacing w:after="0" w:line="242" w:lineRule="exact"/>
        <w:rPr>
          <w:sz w:val="20"/>
          <w:szCs w:val="20"/>
          <w:color w:val="auto"/>
        </w:rPr>
      </w:pPr>
    </w:p>
    <w:p>
      <w:pPr>
        <w:jc w:val="both"/>
        <w:ind w:firstLine="1297"/>
        <w:spacing w:after="0" w:line="278" w:lineRule="auto"/>
        <w:rPr>
          <w:sz w:val="20"/>
          <w:szCs w:val="20"/>
          <w:color w:val="auto"/>
        </w:rPr>
      </w:pPr>
      <w:r>
        <w:rPr>
          <w:rFonts w:ascii="Arial" w:cs="Arial" w:eastAsia="Arial" w:hAnsi="Arial"/>
          <w:sz w:val="21"/>
          <w:szCs w:val="21"/>
          <w:color w:val="auto"/>
        </w:rPr>
        <w:t xml:space="preserve">4.1 </w:t>
      </w:r>
      <w:r>
        <w:rPr>
          <w:rFonts w:ascii="Arial" w:cs="Arial" w:eastAsia="Arial" w:hAnsi="Arial"/>
          <w:sz w:val="21"/>
          <w:szCs w:val="21"/>
          <w:u w:val="single" w:color="auto"/>
          <w:color w:val="auto"/>
        </w:rPr>
        <w:t>Costs and Expenses; Fees</w:t>
      </w:r>
      <w:r>
        <w:rPr>
          <w:rFonts w:ascii="Arial" w:cs="Arial" w:eastAsia="Arial" w:hAnsi="Arial"/>
          <w:sz w:val="21"/>
          <w:szCs w:val="21"/>
          <w:color w:val="auto"/>
        </w:rPr>
        <w:t>. Each party shall be responsible for and bear all of its own expenses incurred in connection with pursuing or consummating this Amendment and the transactions contemplated by this Amendment, including, but not limited to, fees and expenses, legal counsel, accountants, and other facilitators and advisors.</w:t>
      </w:r>
    </w:p>
    <w:p>
      <w:pPr>
        <w:spacing w:after="0" w:line="160"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Choice of Law and Forum Selection Clause</w:t>
      </w:r>
      <w:r>
        <w:rPr>
          <w:rFonts w:ascii="Arial" w:cs="Arial" w:eastAsia="Arial" w:hAnsi="Arial"/>
          <w:sz w:val="22"/>
          <w:szCs w:val="22"/>
          <w:color w:val="auto"/>
        </w:rPr>
        <w:t>. This Amendment shall be construed and interpreted, and the rights of the parties shall be determined, in accordance with the substantive Laws of the State of New York without regard to the conflict of law principles thereof or of any other jurisdiction</w:t>
      </w:r>
    </w:p>
    <w:p>
      <w:pPr>
        <w:spacing w:after="0" w:line="177"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u w:val="single" w:color="auto"/>
          <w:color w:val="auto"/>
        </w:rPr>
        <w:t>Counterparts; Facsimile Signatures</w:t>
      </w:r>
      <w:r>
        <w:rPr>
          <w:rFonts w:ascii="Arial" w:cs="Arial" w:eastAsia="Arial" w:hAnsi="Arial"/>
          <w:sz w:val="22"/>
          <w:szCs w:val="22"/>
          <w:color w:val="auto"/>
        </w:rPr>
        <w:t xml:space="preserve"> This Amendment may be executed in two or more counterparts, each of which shall be deemed an original, but all of which together shall constitute one and the same instrument. In proving this Amendment, it shall not be necessary to produce or account for more than one such counterpart signed by the party against whom enforcement is sought. Any counterpart may be executed by facsimile or pdf signature and such facsimile or pdf signature shall be deemed an original.</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 xml:space="preserve">4.4. </w:t>
      </w:r>
      <w:r>
        <w:rPr>
          <w:rFonts w:ascii="Arial" w:cs="Arial" w:eastAsia="Arial" w:hAnsi="Arial"/>
          <w:sz w:val="21"/>
          <w:szCs w:val="21"/>
          <w:u w:val="single" w:color="auto"/>
          <w:color w:val="auto"/>
        </w:rPr>
        <w:t>No Further Modification</w:t>
      </w:r>
      <w:r>
        <w:rPr>
          <w:rFonts w:ascii="Arial" w:cs="Arial" w:eastAsia="Arial" w:hAnsi="Arial"/>
          <w:sz w:val="21"/>
          <w:szCs w:val="21"/>
          <w:color w:val="auto"/>
        </w:rPr>
        <w:t>. Except as modified hereby, the Master Lease remains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Follow</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5" w:right="239" w:bottom="1440" w:gutter="0" w:footer="0" w:header="0"/>
        </w:sectPr>
      </w:pPr>
    </w:p>
    <w:bookmarkStart w:id="47" w:name="page48"/>
    <w:bookmarkEnd w:id="47"/>
    <w:p>
      <w:pPr>
        <w:ind w:firstLine="648"/>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this Amendment has been duly executed and delivered by each of the undersigned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date first above written.</w:t>
      </w:r>
    </w:p>
    <w:p>
      <w:pPr>
        <w:spacing w:after="0" w:line="320"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LANDLORD:</w:t>
      </w:r>
    </w:p>
    <w:p>
      <w:pPr>
        <w:spacing w:after="0" w:line="200" w:lineRule="exact"/>
        <w:rPr>
          <w:sz w:val="20"/>
          <w:szCs w:val="20"/>
          <w:color w:val="auto"/>
        </w:rPr>
      </w:pPr>
    </w:p>
    <w:p>
      <w:pPr>
        <w:spacing w:after="0" w:line="268"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GOLD MERGER SUB, LLC</w:t>
      </w:r>
    </w:p>
    <w:p>
      <w:pPr>
        <w:spacing w:after="0" w:line="67"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By: /s/ Brandon J. Moore</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Brandon J. Moore</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TENANT:</w:t>
      </w:r>
    </w:p>
    <w:p>
      <w:pPr>
        <w:spacing w:after="0" w:line="200" w:lineRule="exact"/>
        <w:rPr>
          <w:sz w:val="20"/>
          <w:szCs w:val="20"/>
          <w:color w:val="auto"/>
        </w:rPr>
      </w:pPr>
    </w:p>
    <w:p>
      <w:pPr>
        <w:spacing w:after="0" w:line="268"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PINNACLE MLS, LLC</w:t>
      </w:r>
    </w:p>
    <w:p>
      <w:pPr>
        <w:spacing w:after="0" w:line="67"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By: /s/ Carlos A. Ruisanchez</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Carlos A. Ruisanchez</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 President, Secretary</w:t>
      </w:r>
    </w:p>
    <w:p>
      <w:pPr>
        <w:sectPr>
          <w:pgSz w:w="11900" w:h="16838" w:orient="portrait"/>
          <w:cols w:equalWidth="0" w:num="1">
            <w:col w:w="11120"/>
          </w:cols>
          <w:pgMar w:left="240" w:top="801"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19"/>
        <w:spacing w:after="0"/>
        <w:rPr>
          <w:sz w:val="20"/>
          <w:szCs w:val="20"/>
          <w:color w:val="auto"/>
        </w:rPr>
      </w:pPr>
      <w:r>
        <w:rPr>
          <w:rFonts w:ascii="Arial" w:cs="Arial" w:eastAsia="Arial" w:hAnsi="Arial"/>
          <w:sz w:val="15"/>
          <w:szCs w:val="15"/>
          <w:b w:val="1"/>
          <w:bCs w:val="1"/>
          <w:i w:val="1"/>
          <w:iCs w:val="1"/>
          <w:color w:val="auto"/>
        </w:rPr>
        <w:t>Signature Page to Third Amendment to Master Lease</w:t>
      </w:r>
    </w:p>
    <w:p>
      <w:pPr>
        <w:sectPr>
          <w:pgSz w:w="11900" w:h="16838" w:orient="portrait"/>
          <w:cols w:equalWidth="0" w:num="1">
            <w:col w:w="11120"/>
          </w:cols>
          <w:pgMar w:left="240" w:top="801" w:right="539" w:bottom="1440" w:gutter="0" w:footer="0" w:header="0"/>
          <w:type w:val="continuous"/>
        </w:sectPr>
      </w:pPr>
    </w:p>
    <w:bookmarkStart w:id="48" w:name="page49"/>
    <w:bookmarkEnd w:id="48"/>
    <w:p>
      <w:pPr>
        <w:jc w:val="center"/>
        <w:ind w:right="-1220"/>
        <w:spacing w:after="0"/>
        <w:rPr>
          <w:sz w:val="20"/>
          <w:szCs w:val="20"/>
          <w:color w:val="auto"/>
        </w:rPr>
      </w:pPr>
      <w:r>
        <w:rPr>
          <w:rFonts w:ascii="Arial" w:cs="Arial" w:eastAsia="Arial" w:hAnsi="Arial"/>
          <w:sz w:val="22"/>
          <w:szCs w:val="22"/>
          <w:b w:val="1"/>
          <w:bCs w:val="1"/>
          <w:color w:val="auto"/>
        </w:rPr>
        <w:t>EXHIBIT B</w:t>
      </w:r>
    </w:p>
    <w:p>
      <w:pPr>
        <w:spacing w:after="0" w:line="226" w:lineRule="exact"/>
        <w:rPr>
          <w:sz w:val="20"/>
          <w:szCs w:val="20"/>
          <w:color w:val="auto"/>
        </w:rPr>
      </w:pPr>
    </w:p>
    <w:p>
      <w:pPr>
        <w:jc w:val="center"/>
        <w:ind w:right="-1220"/>
        <w:spacing w:after="0"/>
        <w:rPr>
          <w:sz w:val="20"/>
          <w:szCs w:val="20"/>
          <w:color w:val="auto"/>
        </w:rPr>
      </w:pPr>
      <w:r>
        <w:rPr>
          <w:rFonts w:ascii="Arial" w:cs="Arial" w:eastAsia="Arial" w:hAnsi="Arial"/>
          <w:sz w:val="19"/>
          <w:szCs w:val="19"/>
          <w:color w:val="auto"/>
        </w:rPr>
        <w:t>LEGAL DESCRIPTIONS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See attached.</w:t>
      </w:r>
    </w:p>
    <w:p>
      <w:pPr>
        <w:sectPr>
          <w:pgSz w:w="11900" w:h="16838" w:orient="portrait"/>
          <w:cols w:equalWidth="0" w:num="1">
            <w:col w:w="10219"/>
          </w:cols>
          <w:pgMar w:left="240" w:top="585" w:right="1440" w:bottom="1440" w:gutter="0" w:footer="0" w:header="0"/>
        </w:sectPr>
      </w:pPr>
    </w:p>
    <w:bookmarkStart w:id="49" w:name="page50"/>
    <w:bookmarkEnd w:id="49"/>
    <w:p>
      <w:pPr>
        <w:jc w:val="center"/>
        <w:ind w:right="-20"/>
        <w:spacing w:after="0"/>
        <w:rPr>
          <w:sz w:val="20"/>
          <w:szCs w:val="20"/>
          <w:color w:val="auto"/>
        </w:rPr>
      </w:pPr>
      <w:r>
        <w:rPr>
          <w:rFonts w:ascii="Arial" w:cs="Arial" w:eastAsia="Arial" w:hAnsi="Arial"/>
          <w:sz w:val="18"/>
          <w:szCs w:val="18"/>
          <w:b w:val="1"/>
          <w:bCs w:val="1"/>
          <w:color w:val="auto"/>
        </w:rPr>
        <w:t>Schedule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512445</wp:posOffset>
            </wp:positionH>
            <wp:positionV relativeFrom="paragraph">
              <wp:posOffset>203200</wp:posOffset>
            </wp:positionV>
            <wp:extent cx="4707890" cy="75812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07890" cy="7581265"/>
                    </a:xfrm>
                    <a:prstGeom prst="rect">
                      <a:avLst/>
                    </a:prstGeom>
                    <a:noFill/>
                  </pic:spPr>
                </pic:pic>
              </a:graphicData>
            </a:graphic>
          </wp:anchor>
        </w:drawing>
      </w:r>
    </w:p>
    <w:p>
      <w:pPr>
        <w:sectPr>
          <w:pgSz w:w="11900" w:h="16838" w:orient="portrait"/>
          <w:cols w:equalWidth="0" w:num="1">
            <w:col w:w="9019"/>
          </w:cols>
          <w:pgMar w:left="1440" w:top="5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019"/>
          </w:cols>
          <w:pgMar w:left="1440" w:top="585" w:right="1440" w:bottom="1440" w:gutter="0" w:footer="0" w:header="0"/>
          <w:type w:val="continuous"/>
        </w:sectPr>
      </w:pPr>
    </w:p>
    <w:bookmarkStart w:id="50" w:name="page51"/>
    <w:bookmarkEnd w:id="50"/>
    <w:p>
      <w:pPr>
        <w:jc w:val="center"/>
        <w:spacing w:after="0"/>
        <w:rPr>
          <w:sz w:val="20"/>
          <w:szCs w:val="20"/>
          <w:color w:val="auto"/>
        </w:rPr>
      </w:pPr>
      <w:r>
        <w:rPr>
          <w:rFonts w:ascii="Arial" w:cs="Arial" w:eastAsia="Arial" w:hAnsi="Arial"/>
          <w:sz w:val="22"/>
          <w:szCs w:val="22"/>
          <w:b w:val="1"/>
          <w:bCs w:val="1"/>
          <w:u w:val="single" w:color="auto"/>
          <w:color w:val="auto"/>
        </w:rPr>
        <w:t>Ameristar Casino Black Hawk</w:t>
      </w:r>
    </w:p>
    <w:p>
      <w:pPr>
        <w:spacing w:after="0" w:line="226"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Lot 1, St. Moritz Resort and Casino, Filing No. 1, County of Gilpin, State of Colorado, being more particularly described as follows: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A tract of land in the south one-half of Section 7, Township 3 South, Range 72 West of the 6th p.m., City of Black Hawk, County of Gilpin, State of Colorado, being a part of the Huddleston Extension, the Elephant Lode, the Eagle Nest Lode, and certain tracts on the West Side of Richman Street, all being part of the lands described in Book 627, Page 226; and in Book 627, Page 228; and in Book 627, Page 230; and in Book 627, Page 232; and in Book 627, Page 237; and in Book 627, Page 241, and in Book 627, Page 254, and in Book 628, Page 35, more particularly described as follows:</w:t>
      </w:r>
    </w:p>
    <w:p>
      <w:pPr>
        <w:spacing w:after="0" w:line="176"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Beginning at a point which bears N 42°06'59" E, a distance of 628.59 feet from Corner No. 21 of the Security Placer, Mineral Survey No. 5664; thence along the following courses: thence S 00°45'35" E., a distance of 177.47 feet to a point; thence on a non-tangent curve to the right containing a central angle of 35°49'51", a radius of 255.50 feet, an arc length of 159.78 feet, a chord bearing of S. 17°09'20" W., a chord distance of 157.19 feet to a point; thence S. 64°30'00" W., a distance of 75.71 feet to a point; thence on a curve to the right containing a central angle of 10°53'05", a radius of 1298.20 feet, an arc length of 246.63 feet, a chord bearing of N. 56°49'58" W., a chord distance of 246.26 feet to a point; thence N. 51°27'30" W, a distance of 241.02 feet to a point; thence N. 29°11'40" E., a distance of 12.36 feet to a point; thence N. 53°19'44" W., a distance of 117.41 feet to a point; thence N. 52°30'00" E., a distance of 571.84 feet to a point; thence S. 17°13'38" E., a distance of 79.93 feet to a point; thence on a curve to the left containing a central angle of 10°02'07", a radius of 219.50 feet, an arc length of 38.45 feet, a chord bearing S. 22°14'42" E., a chord distance of 38.40 feet to a point; thence S. 27°15'45" E, a distance of 181.68 feet to a point; thence on a curve to the right containing a central angle of 26°30'10", a radius of 180.50 feet, an arc length of 83.49 feet, a chord bearing of S 14°00'40" E., a chord distance of 82.75 feet to the point of beginning,</w:t>
      </w:r>
    </w:p>
    <w:p>
      <w:pPr>
        <w:spacing w:after="0" w:line="6"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Excepting therefrom, any portion of the above land conveyed to the City of Black Hawk in the Deed recorded January 5, 2009 at Reception No. 138170,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County of Gilpin, State of Colorado.</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Parcel R:</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Tract of land situate on the east side of Richman Street in the City of Black Hawk, described as follows: Starting at Highway #119 right-of-way monument station 842+40; thence N. 23°21'40" W., 142.92 feet to the northwest corner of tract described in Book 279 at Page 221; thence N. 13°46'40" E., 125.23 feet to the point of beginning on the north line of tract #4 described in Book 269 at Page 309, hence by record the Jennie Blanche. Mineral Survey No. 551, cor. #4 bears S. 4°07'40" E., 34.8 feet and a wall corner bears east 1.6 feet; thence N 3°03' W., 66.55 feet along wall line; thence N. 1°40'40" E., 45.44 feet along wall line; thence 90°00'00" E., 100 feet; thence S. 1°40'40" W., 45.44 feet; thence S 3°03' E., 66.55 feet; thence N 90°00'00" W., 100 feet, more or less, along the north boundary line of tract #4 as described in Book 269 at Page 309, to the Point of Beginning, County of Gilpin, State of Colorado.</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Parcel S:</w:t>
      </w:r>
    </w:p>
    <w:p>
      <w:pPr>
        <w:spacing w:after="0" w:line="220"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That tract of land as described in Deed recorded August 4, 1970, in Book 267 at Page 402, Gilpin County, Colorado, described as follows:</w:t>
      </w:r>
    </w:p>
    <w:p>
      <w:pPr>
        <w:spacing w:after="0" w:line="2" w:lineRule="exact"/>
        <w:rPr>
          <w:sz w:val="20"/>
          <w:szCs w:val="20"/>
          <w:color w:val="auto"/>
        </w:rPr>
      </w:pPr>
    </w:p>
    <w:p>
      <w:pPr>
        <w:jc w:val="both"/>
        <w:ind w:right="20"/>
        <w:spacing w:after="0" w:line="245" w:lineRule="auto"/>
        <w:rPr>
          <w:sz w:val="20"/>
          <w:szCs w:val="20"/>
          <w:color w:val="auto"/>
        </w:rPr>
      </w:pPr>
      <w:r>
        <w:rPr>
          <w:rFonts w:ascii="Arial" w:cs="Arial" w:eastAsia="Arial" w:hAnsi="Arial"/>
          <w:sz w:val="22"/>
          <w:szCs w:val="22"/>
          <w:color w:val="auto"/>
        </w:rPr>
        <w:t>A tract of land adjoining the easterly side of Richman Street, more particularly described as follows, to wit: Commencing at a point on the northerly side line of Jennie Blanche Lode Mining Claim, U.S. mineral Survey No. 551, 150 feet easterly of corner no. 4 of said claim, thence N 90°00'00" W, to the easterly boundary of</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B - 1</w:t>
      </w:r>
    </w:p>
    <w:p>
      <w:pPr>
        <w:sectPr>
          <w:pgSz w:w="11900" w:h="16838" w:orient="portrait"/>
          <w:cols w:equalWidth="0" w:num="1">
            <w:col w:w="11420"/>
          </w:cols>
          <w:pgMar w:left="240" w:top="841" w:right="239" w:bottom="1440" w:gutter="0" w:footer="0" w:header="0"/>
        </w:sectPr>
      </w:pPr>
    </w:p>
    <w:bookmarkStart w:id="51" w:name="page52"/>
    <w:bookmarkEnd w:id="51"/>
    <w:p>
      <w:pPr>
        <w:jc w:val="both"/>
        <w:spacing w:after="0" w:line="265" w:lineRule="auto"/>
        <w:rPr>
          <w:sz w:val="20"/>
          <w:szCs w:val="20"/>
          <w:color w:val="auto"/>
        </w:rPr>
      </w:pPr>
      <w:r>
        <w:rPr>
          <w:rFonts w:ascii="Arial" w:cs="Arial" w:eastAsia="Arial" w:hAnsi="Arial"/>
          <w:sz w:val="21"/>
          <w:szCs w:val="21"/>
          <w:color w:val="auto"/>
        </w:rPr>
        <w:t>said Richman Street; thence southerly along the said boundary of Richman Street to a ½ inch rebar which bears S. 20°24' W., 92.7 feet from a capped marked 4/551, being corner no. 4 of said Survey No. 551; thence S 68°06' E. 77.98 feet to a point of intersection in the westerly end of said Survey No. 551; thence N 19°45'00" W., 122.45 feet to said corner no. 4 of Survey 551; thence easterly along the northerly line of said Survey No. 551 to the Point of Beginning;</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Except any portion thereof as maybe in conflict with the Bryan tract, Black Hawk City Title, and which may be included within the Deed recorded January 5, 2009 at Reception No. 138170, County of Gilpin, State of Colorado.</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Parcel S-1:</w:t>
      </w:r>
    </w:p>
    <w:p>
      <w:pPr>
        <w:spacing w:after="0" w:line="220"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That portion of the Bryan Lode or Tract, as described in Deed recorded November 25, 1898, in Book 135 at Page 274, City of Black Hawk, lying within the boundaries of Parcel S, above, but excepting therefrom, any portion as conveyed to the City of Black Hawk in the deed recorded January 5, 2009 at Reception No. 138170, County of Gilpin, State of Colorado.</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Parcel T:</w:t>
      </w:r>
    </w:p>
    <w:p>
      <w:pPr>
        <w:spacing w:after="0" w:line="220" w:lineRule="exact"/>
        <w:rPr>
          <w:sz w:val="20"/>
          <w:szCs w:val="20"/>
          <w:color w:val="auto"/>
        </w:rPr>
      </w:pPr>
    </w:p>
    <w:p>
      <w:pPr>
        <w:spacing w:after="0" w:line="256" w:lineRule="auto"/>
        <w:rPr>
          <w:sz w:val="20"/>
          <w:szCs w:val="20"/>
          <w:color w:val="auto"/>
        </w:rPr>
      </w:pPr>
      <w:r>
        <w:rPr>
          <w:rFonts w:ascii="Arial" w:cs="Arial" w:eastAsia="Arial" w:hAnsi="Arial"/>
          <w:sz w:val="21"/>
          <w:szCs w:val="21"/>
          <w:color w:val="auto"/>
        </w:rPr>
        <w:t>That part of the Jennie Blanche lode Mining Claim, U.S. Mineral Survey No. 551, lying westerly of a line that is parallel to the end lines of said mining claim and intersects the northerly side line thereof at a point 150 feet easterly of corner no. 4 of said Jennie Blanche Lode Mining Claim, except that part described as follows: A tract of land in the south half of Section 7, Township 3 South, Range 72 West of the 6th P.M., City of Black Hawk, County of Gilpin, State of Colorado, being a part of the Jennie Blanche Lode, Mineral Survey No. 551, from which Point of Beginning corner no. 3 of said Jennie Blanche Lode bears S 19°45'00" E., a distance of 11.28 feet, and the west ¼ corner of Section 7, Township 3 South, Range 72 West bears N 72°03'49" W., 3364.64 feet, and corner no.. 21 of the Security Placer, Mineral Survey No. 5864 bears S. 75°48'09" W., a distance of 535.15 feet; thence N. 19°45'00" W., along line 3-4 of said Jennie Blanche Lode a distance of 17.17 feet; thence S 87°50'51" E., parallel with and 3 feet northerly of a concrete retaining wall, a distance of 6.15 feet; thence S 1°14'25" W., parallel with and 3 feet easterly of a concrete retaining wall, a distance of 15.93 feet to a point on said line 3-4, the Point of Beginning, And except any portion thereof lying westerly of the easterly boundary of Richman Street,</w:t>
      </w:r>
    </w:p>
    <w:p>
      <w:pPr>
        <w:spacing w:after="0" w:line="7" w:lineRule="exact"/>
        <w:rPr>
          <w:sz w:val="20"/>
          <w:szCs w:val="20"/>
          <w:color w:val="auto"/>
        </w:rPr>
      </w:pPr>
    </w:p>
    <w:p>
      <w:pPr>
        <w:jc w:val="both"/>
        <w:ind w:right="20"/>
        <w:spacing w:after="0" w:line="243" w:lineRule="auto"/>
        <w:rPr>
          <w:sz w:val="20"/>
          <w:szCs w:val="20"/>
          <w:color w:val="auto"/>
        </w:rPr>
      </w:pPr>
      <w:r>
        <w:rPr>
          <w:rFonts w:ascii="Arial" w:cs="Arial" w:eastAsia="Arial" w:hAnsi="Arial"/>
          <w:sz w:val="22"/>
          <w:szCs w:val="22"/>
          <w:color w:val="auto"/>
        </w:rPr>
        <w:t>And except any portion conveyed to Richman Properties Limited Liability Company by Boundary Settlement and Real Property Trade Agreement recorded June 29, 1998, in Book 644, Page 409,</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And except any portion conveyed by Deeds recorded in Book 644 at Pages 402, 405, and 407,</w:t>
      </w:r>
    </w:p>
    <w:p>
      <w:pPr>
        <w:spacing w:after="0" w:line="4" w:lineRule="exact"/>
        <w:rPr>
          <w:sz w:val="20"/>
          <w:szCs w:val="20"/>
          <w:color w:val="auto"/>
        </w:rPr>
      </w:pPr>
    </w:p>
    <w:p>
      <w:pPr>
        <w:ind w:right="600"/>
        <w:spacing w:after="0" w:line="246" w:lineRule="auto"/>
        <w:rPr>
          <w:sz w:val="20"/>
          <w:szCs w:val="20"/>
          <w:color w:val="auto"/>
        </w:rPr>
      </w:pPr>
      <w:r>
        <w:rPr>
          <w:rFonts w:ascii="Arial" w:cs="Arial" w:eastAsia="Arial" w:hAnsi="Arial"/>
          <w:sz w:val="22"/>
          <w:szCs w:val="22"/>
          <w:color w:val="auto"/>
        </w:rPr>
        <w:t>And except any portion conveyed to the City of Black Hawk in the Deed recorded January 5, 2009 at Reception No. 138170, County of Gilpin, State of Colorado.</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Which property, parcels, R, S, S-1 and T, are also described as follows:</w:t>
      </w:r>
    </w:p>
    <w:p>
      <w:pPr>
        <w:spacing w:after="0" w:line="220"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A tract of land in the South half of Section 7, Township 3 South, Range 72 West of the 6th P.M., City of Black Hawk, County of Gilpin, State of Colorado, which begins at a point on the east line of Richman Street, and from which point of beginning the west ¼ corner of said Section 7 bears N. 72°30'37" W., 3271.41 feet, and corner no. 21 of the Security Placer, Mineral Survey No. 5864 bears S. 67°10'39" W., a distance of 475.05 feet; thence N. 13°21'00" E., along said east line of Richman Street a distance of 116.56 feet to a point; thence leaving said east line of Richman Street N 90°00'00" E., a distance of 8.06 feet; thence N 3°03'00" W., a distance of 72.83 feet; thence N. 1°40'40" E., a distance of 45.44 feet; thence N 90°00'00" E., a distance of 100.00 feet; thence S 1°40'40" W., a distance of 45.44 feet; thence S. 03°03'00" E., a distance of 72.83 feet; thence N 90°00'00" E., a distance of 44.65 feet to a point on line 4-5 of the Jennie Blanche Lode, Mineral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B - 2</w:t>
      </w:r>
    </w:p>
    <w:p>
      <w:pPr>
        <w:sectPr>
          <w:pgSz w:w="11900" w:h="16838" w:orient="portrait"/>
          <w:cols w:equalWidth="0" w:num="1">
            <w:col w:w="11420"/>
          </w:cols>
          <w:pgMar w:left="240" w:top="591" w:right="239" w:bottom="1440" w:gutter="0" w:footer="0" w:header="0"/>
        </w:sectPr>
      </w:pPr>
    </w:p>
    <w:bookmarkStart w:id="52" w:name="page53"/>
    <w:bookmarkEnd w:id="52"/>
    <w:p>
      <w:pPr>
        <w:spacing w:after="0" w:line="246" w:lineRule="auto"/>
        <w:rPr>
          <w:sz w:val="20"/>
          <w:szCs w:val="20"/>
          <w:color w:val="auto"/>
        </w:rPr>
      </w:pPr>
      <w:r>
        <w:rPr>
          <w:rFonts w:ascii="Arial" w:cs="Arial" w:eastAsia="Arial" w:hAnsi="Arial"/>
          <w:sz w:val="22"/>
          <w:szCs w:val="22"/>
          <w:color w:val="auto"/>
        </w:rPr>
        <w:t>Survey no. 551; thence S. 19°45'00" E., a distance of 150.90 feet to a point on line 2-3 said Jennie Blanche Lode; thence S. 76°30'00" W., along said line 2-3 a distance of 150.00 feet to corner no. 3 of said Jennie Blanche Lode; thence N. 19°45'00" W., along line 3-4 of said Jennie Blanche Lode, a distance of 11.28 feet; thence N. 01°14'25" E., parallel with and 3 feet easterly of a concrete wall, a distance of 15.93 feet; thence N. 87°50'51" W., parallel with and 3 feet north of said wall, a distance of 6.15 feet to a point on said line 3-4 of said Jennie Blanche Lode; thence N. 19°45'00" W., along said line a distance of 8.25 feet; thence N. 68°06'00" W., a distance of 77.99 feet to the Point of Beginning, but excepting any portion thereof conveyed to the City of Black Hawk in the Deed recorded January 5, 2009 at Reception No. 138170, County of Gilpin, State of Colorado.</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Parcel I:</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 tract of land in the East ½ and SW ¼ of Section 7, Township 3 South, Range 72 West of the 6th P.M., City of Black Hawk, County of Gilpin, State of Colorado, more particularly described as follows:</w:t>
      </w:r>
    </w:p>
    <w:p>
      <w:pPr>
        <w:spacing w:after="0" w:line="175"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Beginning at the East ¼ corner of said Section 7; thence S. 00°12'28" W., along the East line of the SE ¼ of Section 7 a distance of 605.56 feet to a point on the Northwesterly side line of the Libra Lode &amp; Dump Site; thence N. 39°25'00" E., along said Northwesterly line a distance of 483.30 feet to a corner of said Lode; thence East a distanced of 191.00 feet to a corner of said Lode; thence S. 39°25'00" W., along the Southeasterly side line said Lode a distance of 1500.00 feet to a corner said Lode; thence West a distance of 191.00 feet to a corner said lode; thence N. 44°00'00" W., a distance of 101.33 feet to a point on the Southeasterly side line of the Silver Lode; thence 46°00'00" E., along said Southeasterly side line a distance of 250.48 feet to a corner said Lode; thence West along the North line said Silver Lode a distance of 215.98 feet to a corner said Lode; thence N. 61°45'04" W., a distance of 194.02 feet to a corner of the Gertrude Lode; thence S. 62°31'27" W., along the Southeasterly side line said Gertrude Lode a distance of 283.98 feet to a point on the Easterly line of the Chicago Lode; thence S. 9°4'00" E., along the Easterly line said Chicago Lode a distance of 93.60 feet to a corner said Lode; thence S. 80°06'00" W., along the Southeasterly line said Chicago lode a distance of 294.53 feet to a point on the Southeasterly side line said Gertrude Lode; thence S. 62°31'27" W., along said Southeasterly line a distance of 357.62 feet to a point on the Northerly right of way line of Highway No. 119; thence along said right of way line and along the arc of a curve to the left, central angle = 4°57'50", radius = 2940.00 feet, an arc length of 254.71 feet, the chord of said arc bears S. 89°21'18" W., a distance of 254.63 feet; thence S 86°52'23" W., a distance of 85.40 feet to a point on the Northwesterly side line of said Gertrude Lode; thence N. 62°31'27" E., along said Northwesterly line a distance of 186.79 feet to a point on the Southeasterly side line said Chicago Lode; thence S. 80°06'00" W., along said Southeasterly side line a distance of 444.61 feet to a point on said Northeasterly right of way line Highway No. 119; thence Westerly along said right of way line, along the arc of a curve to the right, central angle = 4°29'00", radius = 1273.20, an arc length of 99.62 feet to a point on the Southeasterly line of the T.I. Richman Tract, the chord of said arc bears N. 79°36'36" W., a distance of 99.60 feet; thence N. 36°06'00" E., along said Southeasterly line a distance of 91.86 feet to an angle point in said Tract; thence N 4°00'00" W., along the Easterly line of said T.I. Richman tract a distance of 1.66 feet to a point on the Northeasterly side line of said Chicago Lode; thence N. 80°06'00" E., along said Northwesterly side line of a 787.50 feet to a point on the Northwesterly side line of said Gertrude Lode; thence N. 62°31'27" E., along said Northwesterly side line a distance of 739.19 feet to the Northeast corner said Lode; thence N. 45°35'45" W., a distance of 80.09 feet to a point on the Southeasterly side line of the South Jennie Blanche Lode; thence S. 63°59'50" W., along said Southeasterly line a distance of 750.23 feet to corner No. 3 said Lode; thence N. 26°00'00" W., a distance of 117.00 feet to corner No. 4 said Lode which point on the Southeasterly side line of the Jennie Blanche Lode; thence S. 64°00'22" W., along said Southeasterly side line a distance of 361.77 feet to corner No. 2 said Lode; thence S. 76°21'39" W., along said Southeasterly side line a distance of 35.63 feet to a point on the Southeasterly side line of the Gilpin County Tunnel or Lode; thence S. 52°18'00" W., a distance of 36.23 feet to corner No.</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B - 3</w:t>
      </w:r>
    </w:p>
    <w:p>
      <w:pPr>
        <w:sectPr>
          <w:pgSz w:w="11900" w:h="16838" w:orient="portrait"/>
          <w:cols w:equalWidth="0" w:num="1">
            <w:col w:w="11420"/>
          </w:cols>
          <w:pgMar w:left="240" w:top="591" w:right="239" w:bottom="1440" w:gutter="0" w:footer="0" w:header="0"/>
        </w:sectPr>
      </w:pPr>
    </w:p>
    <w:bookmarkStart w:id="53" w:name="page54"/>
    <w:bookmarkEnd w:id="53"/>
    <w:p>
      <w:pPr>
        <w:jc w:val="both"/>
        <w:spacing w:after="0" w:line="283" w:lineRule="auto"/>
        <w:rPr>
          <w:sz w:val="20"/>
          <w:szCs w:val="20"/>
          <w:color w:val="auto"/>
        </w:rPr>
      </w:pPr>
      <w:r>
        <w:rPr>
          <w:rFonts w:ascii="Arial" w:cs="Arial" w:eastAsia="Arial" w:hAnsi="Arial"/>
          <w:sz w:val="19"/>
          <w:szCs w:val="19"/>
          <w:color w:val="auto"/>
        </w:rPr>
        <w:t>2 said Lode; thence N. 37°42'00" W., along the Southwesterly line said Lode a distance of 16.94 feet to a point on the Southeasterly side line of said Jennie Blanche Lode; thence S. 76°31'05"W., along said side line a distance of 263.41 feet to a point on the Easterly line said T.I. Richman Tract; thence N. 4°39'00" W., along said Easterly line a distance of 136.52 feet to an angle point in said Tract; thence N. 84°58'00" W., along the North line said Tract a distance of 96.15 feet; thence N. 3°03'00" W., a distance of 67.72 feet; thence N. 1°40'40" E., a distance of 45.44 feet; thence West distance of 110.85 feet to a point on the East right of way line of Richman Street; thence N. 4°14'00" W., along said East right of way line a distance of 0.43 feet; thence N. 85°46'00" E., a distance of 100.00 feet; thence N04°14'00"W., a distance of 144.00 feet; thence S85°46'00"W., a distance of 11.89 feet to a point on the West line of the Klondyke Lode; thence N. 35°26'00" W., a distance of 8.49 feet; thence N. 65°06'00" E., a distance of 10.53 feet; thence N. 23°49'00" W., a distance of 26.00 feet to a point on the Southeasterly side line of the Leopold Lode; thence N. 54°34'00" E., along said Southeasterly side line a distance of 1076.85 feet to a point of the Southerly side line of the Democrat Lode; thence N. 80°40'00" W., along said Southerly side line a distance of 213.00 feet to a point on the Northwesterly side line of said Leopold Lode; thence S. 54°34'00" W., along said Northwesterly side line a distance of 883.16 feet to a point on the Northeasterly line of the Fullerton Tract; thence S. 31°10'00" E., along said Northeasterly line a distance of 102.90 feet; thence S. 65°06'0" W., along the Southeasterly line said tract a distance of 100.60 feet; thence N. 31°10'00" W., along the Southwesterly line said tract a distance of 109.07 feet to a point on the Southeasterly side line of the Elephant Lode; thence S. 52°30'00" W., along the Southeasterly side line a distance of 10.29 feet to a point on the East right of way line of Richman Street; thence N. 23°49'00" W., along said East right of way line a distance of 154.38 feet to a point on the Northwesterly side line said Elephant Lode; thence N. 52°30'00" E., along said Northwesterly line a distance of 31.19 feet to a point on the Westerly line of the Prince Henry Lode; thence N. 34°08'00" W., along said Westerly line a distance of 68.86 feet to a point on the Southeasterly side line of the Lion Lode; thence S. 54°05'00 W., along said Southeasterly side line a distance of 18.38 feet to a point on said East right of way line of Richman Street; thence N. 23°49'00" W., along said East right of way line a distance of 152.94 feet to a point on the Northwesterly side line of said Lion Lode; thence N. 54°05'00" E., along said Northwesterly line a distance of 180.03 feet to corner No. 4 said Lode; thence S. 69°10'48" E., a distance of 178.85 feet to corner No. 3 said Lode; thence S. 40°09'24" E., a distance of 114.55 feet to a point on the Northwesterly side line of the Black Bear Lode; thence N. 55°52'00" E., along said Northwesterly line a distance of 280.31 feet to a point on the Westerly line of the Missouri Lode; thence S. 45°53'0" E., along said Westerly line a distance of 71.34 feet to a corner said Lode; thence N. 54°14'00" E., along the Southeasterly side line said Lode a distance of 45.56 feet to a point on the West line of the Radical Lode; thence S. 38°12'14" E., a distance of 49.38 to corner No. 4 Radical Lode; thence N. 52°06'43" E., along the southeasterly side line said Radical Lode a distance of 462.47 feet to a point on the North line of the NW ¼ of the SE ¼ of said Section 7; thence N. 86°53'19" E., along said North line a distance of 453.69 feet to the Southwest corner of the SE ¼ of the NE ¼ of Section 7; thence N. 1°46'45" W., along the West line said SE ¼ of the NE ¼ a distance of 320.31 feet to a point on the Southeast side line of the Radical Lode; thence N. 52°06'43" E., along said Southeasterly side line a distance of 463.02 feet to corner No. 3 said Radical Lode; thence N. 37°53'00" W., a distance of 50.00 feet to corner 2 said Radical Lode; thence S. 52°06'43" W., along the Northwesterly side line said Radical Lode a distance of 426.56 feet to a point on the West line said SE ¼ of the NE ¼; thence N. 01°46'45" W., along said West line a distance of 512.06 feet to a point on the Southeasterly side line of the Champion Lode; thence N. 56°37'00" E., along said Southeasterly side line a distance of 510.33 feet to a point; thence S. 35°37'00" E., a distance of 1010.36 feet to a point; thence East a distance of 332.26 feet to a point on the East line of the NE ¼ of said Section 7; thence S. 2°43'41" E., along said East line a distance of 283.62 feet, to the East ¼ corner said Section 7, the Point of Beginning, County of Gilpin, State of Colorado.</w:t>
      </w:r>
    </w:p>
    <w:p>
      <w:pPr>
        <w:spacing w:after="0" w:line="200" w:lineRule="exact"/>
        <w:rPr>
          <w:sz w:val="20"/>
          <w:szCs w:val="20"/>
          <w:color w:val="auto"/>
        </w:rPr>
      </w:pPr>
    </w:p>
    <w:p>
      <w:pPr>
        <w:spacing w:after="0" w:line="234"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Excepting therefrom that part of the above described parcel described as commencing at the East ¼ Corner of said Section 7; thence S. 25°56'22" W., a distance of 285.08 feet to the True Point of Beginning; thence S. 24°26'34" W., a distance of 90.00 feet; thence S. 65°33'26" W., a distance of 30.00 feet; thence N. 24°26'34"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B - 4</w:t>
      </w:r>
    </w:p>
    <w:p>
      <w:pPr>
        <w:sectPr>
          <w:pgSz w:w="11900" w:h="16838" w:orient="portrait"/>
          <w:cols w:equalWidth="0" w:num="1">
            <w:col w:w="11420"/>
          </w:cols>
          <w:pgMar w:left="240" w:top="591" w:right="239" w:bottom="1440" w:gutter="0" w:footer="0" w:header="0"/>
        </w:sectPr>
      </w:pPr>
    </w:p>
    <w:bookmarkStart w:id="54" w:name="page55"/>
    <w:bookmarkEnd w:id="54"/>
    <w:p>
      <w:pPr>
        <w:jc w:val="both"/>
        <w:spacing w:after="0" w:line="253" w:lineRule="auto"/>
        <w:rPr>
          <w:sz w:val="20"/>
          <w:szCs w:val="20"/>
          <w:color w:val="auto"/>
        </w:rPr>
      </w:pPr>
      <w:r>
        <w:rPr>
          <w:rFonts w:ascii="Arial" w:cs="Arial" w:eastAsia="Arial" w:hAnsi="Arial"/>
          <w:sz w:val="22"/>
          <w:szCs w:val="22"/>
          <w:color w:val="auto"/>
        </w:rPr>
        <w:t>W., a distance of 90.00 feet; thence N. 65°33'26" E., a distance of 30.00 feet to the True Point of Beginning, as excepted in original conveyance from the City of Black Hawk to Windsor Woodmont LLC, in Deed recorded June 16, 1998, in Book 643 at Page 443, County of Gilpin, State of Colorado, and</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Excepting therefrom, that portion described as follows (Tank Site):</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A tract of land located in Section 7, Township 3 South, Range 72 West of the 6th Principal Meridian, City of Blackhawk, County of</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Gilpin, State of Colorado being more particularly described as follows:</w:t>
      </w:r>
    </w:p>
    <w:p>
      <w:pPr>
        <w:spacing w:after="0" w:line="202"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Considering the North line of the Northwest Quarter of the Southeast Quarter of said Section 7 as bearing North 86°49'50" East from a found US Department of the Interior comer being a 3 1/2" Aluminum cap marked MS 7626 and being South 86° 49'50" West, 993.31 feet from the East Sixteenth comer of Section 7 being a found 3 1/2" Aluminum cap and with all bearings contained herein relative thereto:</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Commencing at said MS 7626 comer;</w:t>
      </w:r>
    </w:p>
    <w:p>
      <w:pPr>
        <w:spacing w:after="0" w:line="4" w:lineRule="exact"/>
        <w:rPr>
          <w:sz w:val="20"/>
          <w:szCs w:val="20"/>
          <w:color w:val="auto"/>
        </w:rPr>
      </w:pPr>
    </w:p>
    <w:p>
      <w:pPr>
        <w:ind w:right="4980"/>
        <w:spacing w:after="0" w:line="243" w:lineRule="auto"/>
        <w:rPr>
          <w:sz w:val="20"/>
          <w:szCs w:val="20"/>
          <w:color w:val="auto"/>
        </w:rPr>
      </w:pPr>
      <w:r>
        <w:rPr>
          <w:rFonts w:ascii="Arial" w:cs="Arial" w:eastAsia="Arial" w:hAnsi="Arial"/>
          <w:sz w:val="22"/>
          <w:szCs w:val="22"/>
          <w:color w:val="auto"/>
        </w:rPr>
        <w:t>Thence South 45°37'31" East 819.01 feet to the POINT OF BEGINNING; Thence North 38°54'52" East, 170.00 feet; Thence South 85°34'06" East, 157.00 feet;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Thence South 22°29'34" East, 300.00 feet;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Thence South 70°14'05" West, 35.00 feet;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Thence South 75°06'04" West, 50.00 feet;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Thence South 83°40'21" West, 95.00 feet;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Thence South 88°44'40" West, 95.00 feet;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Thence North 55°27'53" West, 35.57 feet;</w:t>
      </w:r>
    </w:p>
    <w:p>
      <w:pPr>
        <w:spacing w:after="0" w:line="4"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Thence along a non-tangent curve concave to the Northeast having a central angle of 25°05'57" with a radius of 125.00 feet, and an arc length of 54.76 feet and the chord of which bears North 35°21 '05" West, 54.32 feet; Thence North 19°43'24" West, 137.99 feet to the Point of Beginning.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Parcel II:</w:t>
      </w:r>
    </w:p>
    <w:p>
      <w:pPr>
        <w:spacing w:after="0" w:line="220"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A tract of land in the SE ¼ of the NE ¼ of Section 7, township 3 South. Range 72 West of the 6th P.M., City of Black Hawk, County of Gilpin, State of Colorado, more particularly described as follows:</w:t>
      </w:r>
    </w:p>
    <w:p>
      <w:pPr>
        <w:spacing w:after="0" w:line="2"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Beginning at the Northwest corner of said SE ¼ o the NE ¼; thence N. 88°01'24" E., along the North line said SE ¼ of the NE ¼ a distance of 443.14 feet to a point on the Northwesterly side line of the Champion Lode; thence S. 56°17'54" W., along said line a distance of 522.10 feet to a point on the West line said SE ¼ of the NE ¼; thence N. 01°46'45" W, along said West line a distance of 274.55 feet to the point of beginning, County of Gilpin, State of Colorado.</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Parcel III:</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That part of the Democrat Lode, U.S. Mineral Survey No. 7626 lying within the NW ¼ of the SE ¼ of Section 7, Township 3 South, Range 72 West of the 6th P.M., City of Black Hawk, County of Gilpin, State of Colorado, more particularly described as follows:</w:t>
      </w:r>
    </w:p>
    <w:p>
      <w:pPr>
        <w:spacing w:after="0" w:line="18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Beginning at a point on the North line said NW ¼ SE ¼ which point is the intersection of said North line with the Northwesterly side line of the Radical Lode, U.S. Mineral Survey No. 211; thence S. 52°06'43" W., along said side line a distance of 170.44 to a point on the Southerly side line Democrat Lode; thence N. 80°40'00" W., along said side line a distance of 325.62 feet to a corner No. 4 said Democrat Lode; thence N. 9°20'00" E., along the West line said Democrat Lode a distance of 27.70 feet to a point on said North line of</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B - 5</w:t>
      </w:r>
    </w:p>
    <w:p>
      <w:pPr>
        <w:sectPr>
          <w:pgSz w:w="11900" w:h="16838" w:orient="portrait"/>
          <w:cols w:equalWidth="0" w:num="1">
            <w:col w:w="11420"/>
          </w:cols>
          <w:pgMar w:left="240" w:top="591" w:right="239" w:bottom="1440" w:gutter="0" w:footer="0" w:header="0"/>
        </w:sectPr>
      </w:pPr>
    </w:p>
    <w:bookmarkStart w:id="55" w:name="page56"/>
    <w:bookmarkEnd w:id="55"/>
    <w:p>
      <w:pPr>
        <w:jc w:val="both"/>
        <w:spacing w:after="0" w:line="263" w:lineRule="auto"/>
        <w:rPr>
          <w:sz w:val="20"/>
          <w:szCs w:val="20"/>
          <w:color w:val="auto"/>
        </w:rPr>
      </w:pPr>
      <w:r>
        <w:rPr>
          <w:rFonts w:ascii="Arial" w:cs="Arial" w:eastAsia="Arial" w:hAnsi="Arial"/>
          <w:sz w:val="22"/>
          <w:szCs w:val="22"/>
          <w:color w:val="auto"/>
        </w:rPr>
        <w:t>the NW ¼ of the SE ¼; thence N. 86°53'19" E., along said line a distance o 451.99 feet to the Point of Beginning, County of Gilpin, State of Colorado.</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Parcel IV:</w:t>
      </w:r>
    </w:p>
    <w:p>
      <w:pPr>
        <w:spacing w:after="0" w:line="220"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The Mayflower Tunnel Lode as described in Book 605 at Page 14, City of Black Hawk, County of Gilpin, State of Colorado, being in the SW ¼ of Section 8, Township 3 South, Range 72 West of the 6th P.M., described as follows:</w:t>
      </w:r>
    </w:p>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Beginning at the most Northerly corner said Lode from which point the West ¼ corner of said Section 8 bears N. 48°48'17" W., a distance of 885.42 feet; thence S. 32°00'00" E., a distance of 151.47 feet to the most Easterly corner said Lode; thence S. 50°00'00" W., a distance of 871.20 feet to the most Southerly corner said Lode; thence N. 32°00'00" W., a distance of 151.47 feet to the most Westerly corner said Lode; thence N. 50°00'00" E., a distance of 871.20 feet to the Point of Beginning, County of Gilpin, State of Colorado.</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Parcel V:</w:t>
      </w:r>
    </w:p>
    <w:p>
      <w:pPr>
        <w:spacing w:after="0" w:line="220"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That part of the Democrat Lode, U.S. Mineral Survey No. 7626, the Silver Dime Lode, City Title and the Prince Henry Lode, City Title lying in the SE ¼ of the NE ¼ of Section 7, Township 3 South, Range 72 West of the 6th P.M., County of Gilpin, State of Colorado, which begins at the intersection of the South line of said SE ¼ of the NE ¼ with line 4-1 said Democrat Lode, from which point corner No. 4 said Democrat Lode bears S. 9°20'00" W., a distance of 27.70 feet; thence N. 9°20'00" E., along said Line 4-1 and along the Westerly line of said Silver Dime Lode a distance of 247.30 feet to the Northwest corner said Silver Dime Lode; thence S. 80°40'00" E., along the Northerly line said Silver Dime Lode a distance of 338.92 feet to the intersection with the Northerly line of said Prince Henry Lode; thence N. 54°09'22" E., along said Northerly line a distance of 437.51 feet to the Northeasterly corner said Prince Henry Lode; thence S. 34°08'00" E., a distance of 22.47 feet to a point on the Northerly line of the Missouri Lode, City Title; thence S 44°07'00" W., along said Northerly line a distance of 121.76 feet to an angle point in said Northerly line; thence S. 54°14'00" W., along said Northerly line a distance of 273.89 feet to a point on the Northerly line of said Silver Dime Lode; thence S. 80°40'00" E., along said Northerly line a distance of 180.09 feet to a point on the Northerly line of the Radical Lode, Mineral Survey No. 211; thence S. 52°06'43" W., along said Northerly line a distance of 204.23 feet to a point on the South line said SE ¼ of the NE ¼ of Section 7; thence S. 86°53'19" W., along said South line a distance of 452.99 feet to the point of beginning, County of Gilpin, State of Colorado.</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color w:val="auto"/>
        </w:rPr>
        <w:t>Parcel VI:</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That part of the Silver Dollar Lode, City Title and the Black Bear Lode, City Title lying in the SE ¼ of the NE ¼ of Section 7, Township 3 South, Range 72 West of the 6th P.M., County of Gilpin, State of Colorado, which begins at the intersection of the South line said SE ¼ of the NE ¼ and the Southerly line of the Radical Lode Mineral Survey No. 211; thence N. 52°06'43" E., along said Southerly line a distance of 415.95 feet to a point on the Northerly line said Silver Dollar Lode; thence N. 84°09'00" E., along said Northerly line a distance of 117.83 feet to a point on the East line said SE ¼ of the NE ¼; thence S. 01°46'45" E., along said East line a distance of 150.38 feet to a point on the Southerly line said Silver Dollar Lode; thence S. 84°09'00" W., along said Southerly line a distance of 60.07 feet to a point on the Northeasterly line of the Leopold Lode, City Title; thence N. 35°26'00" W., along said Northeasterly line a distance of 107.97 feet to the most Northerly corner said Leopold Lode; thence S. 54°34'00" W., along the Northwesterly line said Leopold Lode a distance of 338.35 feet to a point on the South line of the SE ¼ of the NE 12/4; thence S. 86°53'19" W., along said South line a distance of 52.19 feet to the point of beginning, County of Gilpin, State of Colorado.</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B - 6</w:t>
      </w:r>
    </w:p>
    <w:p>
      <w:pPr>
        <w:sectPr>
          <w:pgSz w:w="11900" w:h="16838" w:orient="portrait"/>
          <w:cols w:equalWidth="0" w:num="1">
            <w:col w:w="11420"/>
          </w:cols>
          <w:pgMar w:left="240" w:top="591" w:right="239" w:bottom="1440" w:gutter="0" w:footer="0" w:header="0"/>
        </w:sectPr>
      </w:pPr>
    </w:p>
    <w:bookmarkStart w:id="56" w:name="page57"/>
    <w:bookmarkEnd w:id="56"/>
    <w:p>
      <w:pPr>
        <w:spacing w:after="0"/>
        <w:rPr>
          <w:sz w:val="20"/>
          <w:szCs w:val="20"/>
          <w:color w:val="auto"/>
        </w:rPr>
      </w:pPr>
      <w:r>
        <w:rPr>
          <w:rFonts w:ascii="Arial" w:cs="Arial" w:eastAsia="Arial" w:hAnsi="Arial"/>
          <w:sz w:val="22"/>
          <w:szCs w:val="22"/>
          <w:color w:val="auto"/>
        </w:rPr>
        <w:t>Parcel VII:</w:t>
      </w:r>
    </w:p>
    <w:p>
      <w:pPr>
        <w:spacing w:after="0" w:line="220"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That part of the Klondyke Lode, City Title lying within the SE ¼ of the NE ¼ of Section 7, Township 3 South, Range 72 West of the 6th P.M., County of Gilpin, State of Colorado, which begins at a point on the South line said SE ¼ of the NE ¼ from which point the Southeast corner said SE ¼ NE ¼ bears N. 86°53'19" E., a distance of 1.12 feet; thence S. 86°53'19" W., along said South line a distance of 119.85 feet to a point on the Northwesterly line of said Klondyke Lode; thence N. 54°34'00" E., along said Northwesterly line a distance of 101.28 feet to the most Northerly corner said Klondyke Lode; thence S. 35°26'00" E., along the Northeasterly line said Klondyke Lode a distance of 64.08 feet to the point of beginning, County of Gilpin, State of Colorado.</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Parcel VIII:</w:t>
      </w:r>
    </w:p>
    <w:p>
      <w:pPr>
        <w:spacing w:after="0" w:line="220"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A tract of land located within the South Half of Section 7, Township 3 South, Range 72 West of the Sixth Principal Meridian, City of Black Hawk, County of Gilpin, State of Colorado, more particularly described as follows:</w:t>
      </w:r>
    </w:p>
    <w:p>
      <w:pPr>
        <w:spacing w:after="0" w:line="2" w:lineRule="exact"/>
        <w:rPr>
          <w:sz w:val="20"/>
          <w:szCs w:val="20"/>
          <w:color w:val="auto"/>
        </w:rPr>
      </w:pPr>
    </w:p>
    <w:p>
      <w:pPr>
        <w:jc w:val="both"/>
        <w:spacing w:after="0" w:line="281" w:lineRule="auto"/>
        <w:rPr>
          <w:sz w:val="20"/>
          <w:szCs w:val="20"/>
          <w:color w:val="auto"/>
        </w:rPr>
      </w:pPr>
      <w:r>
        <w:rPr>
          <w:rFonts w:ascii="Arial" w:cs="Arial" w:eastAsia="Arial" w:hAnsi="Arial"/>
          <w:sz w:val="19"/>
          <w:szCs w:val="19"/>
          <w:color w:val="auto"/>
        </w:rPr>
        <w:t>Commencing at the East Quarter Corner of said Section 7, whence the East Line of said Section is assumed to bear S 00°12'28" W with all bearings contained herein relative thereto, thence S 58°32'18" W, 2081.46 feet to the Northwest corner of the South Jennie Blanche Lode and the True Point of Beginning; thence along the Westerly and Southerly lines of said South Jennie Blanche Lode S 26°00'00" E, 117.00 feet; thence N 63°59'50" E, 750.23 feet; thence S 45°35'45" E, 80.09 feet to a point along the Northerly line of the Gertrude Lode; thence along said Northerly line S 62°31'27" W, 739.19 feet to a point along the Northerly line of the Chicago Lode; thence along said Northerly line S 80°06'00" W, 787.50 feet; thence N 04°39'00" W, 71.32 feet to a point along the Southerly line of the Jennie Blanche Lode M.S. 551; thence along said Southerly line N 76°31'05" E, 263.41 feet to a point along the Westerly line of the Gilpin County Tunnel; thence along the Westerly and Southerly lines of the Gilpin County Tunnel S 37°42'00" E, 16.28 feet; thence N 52°18'00" E, 36.23 feet to a point along the Southerly line of the Jennie Blanche Lode M.S. 551; thence along said Southerly line the following two (2) courses:</w:t>
      </w:r>
    </w:p>
    <w:p>
      <w:pPr>
        <w:spacing w:after="0" w:line="8" w:lineRule="exact"/>
        <w:rPr>
          <w:sz w:val="20"/>
          <w:szCs w:val="20"/>
          <w:color w:val="auto"/>
        </w:rPr>
      </w:pPr>
    </w:p>
    <w:p>
      <w:pPr>
        <w:ind w:left="360" w:hanging="352"/>
        <w:spacing w:after="0"/>
        <w:tabs>
          <w:tab w:leader="none" w:pos="360" w:val="left"/>
        </w:tabs>
        <w:numPr>
          <w:ilvl w:val="0"/>
          <w:numId w:val="24"/>
        </w:numPr>
        <w:rPr>
          <w:rFonts w:ascii="Arial" w:cs="Arial" w:eastAsia="Arial" w:hAnsi="Arial"/>
          <w:sz w:val="22"/>
          <w:szCs w:val="22"/>
          <w:color w:val="auto"/>
        </w:rPr>
      </w:pPr>
      <w:r>
        <w:rPr>
          <w:rFonts w:ascii="Arial" w:cs="Arial" w:eastAsia="Arial" w:hAnsi="Arial"/>
          <w:sz w:val="22"/>
          <w:szCs w:val="22"/>
          <w:color w:val="auto"/>
        </w:rPr>
        <w:t>N76°21'39"E, 35.63 feet;</w:t>
      </w:r>
    </w:p>
    <w:p>
      <w:pPr>
        <w:spacing w:after="0" w:line="3" w:lineRule="exact"/>
        <w:rPr>
          <w:rFonts w:ascii="Arial" w:cs="Arial" w:eastAsia="Arial" w:hAnsi="Arial"/>
          <w:sz w:val="22"/>
          <w:szCs w:val="22"/>
          <w:color w:val="auto"/>
        </w:rPr>
      </w:pPr>
    </w:p>
    <w:p>
      <w:pPr>
        <w:ind w:left="360" w:hanging="352"/>
        <w:spacing w:after="0"/>
        <w:tabs>
          <w:tab w:leader="none" w:pos="360"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Thence N 64°00'22" E, 361.77 feet to the True Point of Beginning</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Parcel IX:</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Easement for ingress, egress and roadway purposes as conveyed and described in Grant of Easement and Right of First Refusal recorded April 29, 1998, in Book 640, Page 79, over, under, upon and across those portions of the Leopold Lode, Black Hawk City Title, said Leopold Lode is as described in Deed recorded July 11, 1902, in Book 150, Page 42, County of Gilpin, State of Colorado.</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Parcel X:</w:t>
      </w:r>
    </w:p>
    <w:p>
      <w:pPr>
        <w:spacing w:after="0" w:line="220" w:lineRule="exact"/>
        <w:rPr>
          <w:sz w:val="20"/>
          <w:szCs w:val="20"/>
          <w:color w:val="auto"/>
        </w:rPr>
      </w:pPr>
    </w:p>
    <w:p>
      <w:pPr>
        <w:ind w:right="200"/>
        <w:spacing w:after="0" w:line="263" w:lineRule="auto"/>
        <w:rPr>
          <w:sz w:val="20"/>
          <w:szCs w:val="20"/>
          <w:color w:val="auto"/>
        </w:rPr>
      </w:pPr>
      <w:r>
        <w:rPr>
          <w:rFonts w:ascii="Arial" w:cs="Arial" w:eastAsia="Arial" w:hAnsi="Arial"/>
          <w:sz w:val="22"/>
          <w:szCs w:val="22"/>
          <w:color w:val="auto"/>
        </w:rPr>
        <w:t>Non-exclusive easement for air space over Richmond Street as more particularly described in the Air Space Easement Agreement recorded November 4, 2009 at Reception No. 140361, County of Gilpin, State of Colorado.</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color w:val="auto"/>
        </w:rPr>
        <w:t>Parcel XI:</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B - 7</w:t>
      </w:r>
    </w:p>
    <w:p>
      <w:pPr>
        <w:sectPr>
          <w:pgSz w:w="11900" w:h="16838" w:orient="portrait"/>
          <w:cols w:equalWidth="0" w:num="1">
            <w:col w:w="11420"/>
          </w:cols>
          <w:pgMar w:left="240" w:top="807" w:right="239" w:bottom="1440" w:gutter="0" w:footer="0" w:header="0"/>
        </w:sectPr>
      </w:pPr>
    </w:p>
    <w:bookmarkStart w:id="57" w:name="page58"/>
    <w:bookmarkEnd w:id="57"/>
    <w:p>
      <w:pPr>
        <w:jc w:val="both"/>
        <w:ind w:right="319"/>
        <w:spacing w:after="0" w:line="343" w:lineRule="auto"/>
        <w:rPr>
          <w:sz w:val="20"/>
          <w:szCs w:val="20"/>
          <w:color w:val="auto"/>
        </w:rPr>
      </w:pPr>
      <w:r>
        <w:rPr>
          <w:rFonts w:ascii="Arial" w:cs="Arial" w:eastAsia="Arial" w:hAnsi="Arial"/>
          <w:sz w:val="19"/>
          <w:szCs w:val="19"/>
          <w:color w:val="auto"/>
        </w:rPr>
        <w:t>Non-exclusive easement for Slope Stabilization purposes, as more particularly described in the Slope Stabilization Easement Agreement recorded November 4, 2009 at Reception No. 140362, County of Gilpin, State of Colorado.</w:t>
      </w: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color w:val="auto"/>
        </w:rPr>
        <w:t>Parcel XII:</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 tract of land in the SE 1/4 of the SE 1/4 of Section 17, Township 2 South, Range 72 West of the 6th</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P.M., described as follows:</w:t>
      </w:r>
    </w:p>
    <w:p>
      <w:pPr>
        <w:spacing w:after="0" w:line="202" w:lineRule="exact"/>
        <w:rPr>
          <w:sz w:val="20"/>
          <w:szCs w:val="20"/>
          <w:color w:val="auto"/>
        </w:rPr>
      </w:pPr>
    </w:p>
    <w:p>
      <w:pPr>
        <w:jc w:val="both"/>
        <w:ind w:right="1099"/>
        <w:spacing w:after="0" w:line="288" w:lineRule="auto"/>
        <w:rPr>
          <w:sz w:val="20"/>
          <w:szCs w:val="20"/>
          <w:color w:val="auto"/>
        </w:rPr>
      </w:pPr>
      <w:r>
        <w:rPr>
          <w:rFonts w:ascii="Arial" w:cs="Arial" w:eastAsia="Arial" w:hAnsi="Arial"/>
          <w:sz w:val="19"/>
          <w:szCs w:val="19"/>
          <w:color w:val="auto"/>
        </w:rPr>
        <w:t>Beginning at a point on the West line of said SE 1/4 of the SE 1/4, which Point of Beginning lies 370 feet North of the Southwest Corner of said SE 1/4 of the SE 1/4 of Section 17, and which Point of Beginning is also the Southeast Corner of Lot 9, Colorado Sierra Subdivision Alpha, Unit 1;</w:t>
      </w:r>
    </w:p>
    <w:p>
      <w:pPr>
        <w:spacing w:after="0" w:line="1" w:lineRule="exact"/>
        <w:rPr>
          <w:sz w:val="20"/>
          <w:szCs w:val="20"/>
          <w:color w:val="auto"/>
        </w:rPr>
      </w:pPr>
    </w:p>
    <w:p>
      <w:pPr>
        <w:ind w:right="1339"/>
        <w:spacing w:after="0" w:line="243" w:lineRule="auto"/>
        <w:rPr>
          <w:sz w:val="20"/>
          <w:szCs w:val="20"/>
          <w:color w:val="auto"/>
        </w:rPr>
      </w:pPr>
      <w:r>
        <w:rPr>
          <w:rFonts w:ascii="Arial" w:cs="Arial" w:eastAsia="Arial" w:hAnsi="Arial"/>
          <w:sz w:val="22"/>
          <w:szCs w:val="22"/>
          <w:color w:val="auto"/>
        </w:rPr>
        <w:t>thence S 82°31’ E, a distance of 502.98 feet to a point on the Westerly line of Colorado State Highway No. 119;</w:t>
      </w:r>
    </w:p>
    <w:p>
      <w:pPr>
        <w:spacing w:after="0" w:line="1" w:lineRule="exact"/>
        <w:rPr>
          <w:sz w:val="20"/>
          <w:szCs w:val="20"/>
          <w:color w:val="auto"/>
        </w:rPr>
      </w:pPr>
    </w:p>
    <w:p>
      <w:pPr>
        <w:ind w:right="1099"/>
        <w:spacing w:after="0" w:line="243" w:lineRule="auto"/>
        <w:rPr>
          <w:sz w:val="20"/>
          <w:szCs w:val="20"/>
          <w:color w:val="auto"/>
        </w:rPr>
      </w:pPr>
      <w:r>
        <w:rPr>
          <w:rFonts w:ascii="Arial" w:cs="Arial" w:eastAsia="Arial" w:hAnsi="Arial"/>
          <w:sz w:val="22"/>
          <w:szCs w:val="22"/>
          <w:color w:val="auto"/>
        </w:rPr>
        <w:t>thence S 7°24’ W, along the Westerly right of way line of said Highway No. 119, a distance of 306.4 feet, more or less, to a point on the South line of said SE 1/4 of the SE 1/4;</w:t>
      </w:r>
    </w:p>
    <w:p>
      <w:pPr>
        <w:spacing w:after="0" w:line="1" w:lineRule="exact"/>
        <w:rPr>
          <w:sz w:val="20"/>
          <w:szCs w:val="20"/>
          <w:color w:val="auto"/>
        </w:rPr>
      </w:pPr>
    </w:p>
    <w:p>
      <w:pPr>
        <w:ind w:right="1619"/>
        <w:spacing w:after="0" w:line="243" w:lineRule="auto"/>
        <w:rPr>
          <w:sz w:val="20"/>
          <w:szCs w:val="20"/>
          <w:color w:val="auto"/>
        </w:rPr>
      </w:pPr>
      <w:r>
        <w:rPr>
          <w:rFonts w:ascii="Arial" w:cs="Arial" w:eastAsia="Arial" w:hAnsi="Arial"/>
          <w:sz w:val="22"/>
          <w:szCs w:val="22"/>
          <w:color w:val="auto"/>
        </w:rPr>
        <w:t>thence S 89°57’ W, along said South line of the SE 1/4 of the SE 1/4, a distance of 464.8 feet to the Southwest Corner of said SE 1/4 of the SE 1/4;</w:t>
      </w:r>
    </w:p>
    <w:p>
      <w:pPr>
        <w:spacing w:after="0" w:line="1" w:lineRule="exact"/>
        <w:rPr>
          <w:sz w:val="20"/>
          <w:szCs w:val="20"/>
          <w:color w:val="auto"/>
        </w:rPr>
      </w:pPr>
    </w:p>
    <w:p>
      <w:pPr>
        <w:ind w:right="1179"/>
        <w:spacing w:after="0" w:line="246" w:lineRule="auto"/>
        <w:rPr>
          <w:sz w:val="20"/>
          <w:szCs w:val="20"/>
          <w:color w:val="auto"/>
        </w:rPr>
      </w:pPr>
      <w:r>
        <w:rPr>
          <w:rFonts w:ascii="Arial" w:cs="Arial" w:eastAsia="Arial" w:hAnsi="Arial"/>
          <w:sz w:val="22"/>
          <w:szCs w:val="22"/>
          <w:color w:val="auto"/>
        </w:rPr>
        <w:t>thence N 00°39’ E, along the West line of said Se 1/4 of the SE 1/4, a distance of 370 feet to the Point of beginning, County of Gilpin, State of Colorado.</w:t>
      </w:r>
    </w:p>
    <w:p>
      <w:pPr>
        <w:spacing w:after="0" w:line="21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Ex. B - 8</w:t>
      </w:r>
    </w:p>
    <w:p>
      <w:pPr>
        <w:sectPr>
          <w:pgSz w:w="11900" w:h="16838" w:orient="portrait"/>
          <w:cols w:equalWidth="0" w:num="1">
            <w:col w:w="10219"/>
          </w:cols>
          <w:pgMar w:left="240" w:top="591" w:right="1440" w:bottom="1440" w:gutter="0" w:footer="0" w:header="0"/>
        </w:sectPr>
      </w:pPr>
    </w:p>
    <w:bookmarkStart w:id="58" w:name="page59"/>
    <w:bookmarkEnd w:id="58"/>
    <w:p>
      <w:pPr>
        <w:jc w:val="center"/>
        <w:spacing w:after="0"/>
        <w:rPr>
          <w:sz w:val="20"/>
          <w:szCs w:val="20"/>
          <w:color w:val="auto"/>
        </w:rPr>
      </w:pPr>
      <w:r>
        <w:rPr>
          <w:rFonts w:ascii="Arial" w:cs="Arial" w:eastAsia="Arial" w:hAnsi="Arial"/>
          <w:sz w:val="22"/>
          <w:szCs w:val="22"/>
          <w:b w:val="1"/>
          <w:bCs w:val="1"/>
          <w:u w:val="single" w:color="auto"/>
          <w:color w:val="auto"/>
        </w:rPr>
        <w:t>Cactus Pete’s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PARCEL 1:</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LOT 2 OF THE REVISED FIRST ADDITION, TOWN OF JACKPOT, AS SHOWN ON THE OFFICIAL MAP THEREOF FILED IN THE OFFICE OF THE COUNTY OF RECORDER OF ELKO COUNTY, STATE OF NEVADA, ON MARCH 29, 1976, AS FILE NO. 97220.</w:t>
      </w:r>
    </w:p>
    <w:p>
      <w:pPr>
        <w:spacing w:after="0" w:line="18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TOGETHER WITH THAT PORTION OF SECTION 1, TOWNSHIP 47 NORTH, RANGE 64 EAST, MDB&amp;M., WHICH LIES ADJACENT AND CONTIGUOUS TO SAID LOT 2 DESCRIBED ABOVE AND ALSO TO THAT PARCEL WHICH IS DESCRIBED IMMEDIATELY FOLLOWING THIS PARAGRAPH, AS ABANDONED BY RESOLUTION OF ABANDONMENT DATED OCTOBER 19, 1961, EXECUTED BY THE STATE OF NEVADA, DEPARTMENT OF TRANSPORTATION, AND RECORDED FEBRUARY 08, 1982, IN BOOK 381, PAGE 636, OFFICIAL RECORDS, ELKO COUNTY, NEVADA.</w:t>
      </w:r>
    </w:p>
    <w:p>
      <w:pPr>
        <w:spacing w:after="0" w:line="194"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ALSO TOGETHER WITH THAT PORTION OF SECTION 1, TOWNSHIP 47 NORTH, RANGE 64 EAST, MDB&amp;M., WHICH IS SITUATE NORTH OF LOT 2 AS SHOWN ON THE REVISED FIRST ADDITION, TOWN OF JACKPOT AND WHICH IS SITUATE SOUTH OF DICE ROAD AS SHOWN ON THAT MAP ENTITLED MAP OF LOTS 2, 2-A AND 3 REVISED FIRST ADDITION FILED IN THE OFFICE OF THE COUNTY RECORDER OF ELKO COUNTY, ON MARCH 19, 1985, AS FILE NO. 202802.</w:t>
      </w:r>
    </w:p>
    <w:p>
      <w:pPr>
        <w:spacing w:after="0" w:line="192"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EXCLUDING THAT PORTION OF SECTION 1, TOWNSHIP 47 NORTH, RANGE 64 EAST, MDB&amp;M., WHICH IS SITUATE WITHIN DICE ROAD AS SHOWN ON THAT MAP ENTITLED MAP OF LOTS 2, 2-A AND 3, REVISED FIRST ADDITION FILED IN THE OFFICE OF THE COUNTY RECORDER OF ELKO COUNTY, ON MARCH 19, 1985, AS FILE NO. 202802.</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PARCEL 2-A:</w:t>
      </w:r>
    </w:p>
    <w:p>
      <w:pPr>
        <w:spacing w:after="0" w:line="220"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LOT 2-A OF THE REVISED FIRST ADDITION, TOWN OF JACKPOT, AS SHOWN ON THE OFFICIAL MAP THEREOF FILED IN THE OFFICE OF THE COUNTY RECORDER OF ELKO COUNTY, STATE OF NEVADA, ON MARCH 29, 1976, AS FILE NO. 97220.</w:t>
      </w:r>
    </w:p>
    <w:p>
      <w:pPr>
        <w:spacing w:after="0" w:line="18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TOGETHER WITH THAT PORTION OF SECTION 1, TOWNSHIP 47 NORTH, RANGE 64 EAST, MDB&amp;M., WHICH LIES ADJACENT AND CONTIGUOUS TO SAID LOT 2-A DESCRIBED ABOVE, LESS THOSE PARCELS WHICH ARE EXCEPTED IMMEDIATELY FOLLOWING, AS ABANDONED BY RESOLUTION OF ABANDONMENT DATED OCTOBER 19, 1981, EXECUTED BY THE STATE OF NEVADA, DEPARTMENT OF TRANSPORTATION, AND RECORDED FEBRUARY 08, 1982, IN BOOK 381, PAGE 636, OFFICIAL RECORDS, ELKO COUNTY, NEVADA.</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EXCEPTING THEREFROM ALL THAT PORTION OF SAID LOT LYING WITHIN THE NORTH HALF (N 1/2) OF THE NORTHWEST QUARTER (NW 1/4) OF THE SOUTHWEST QUARTER (SW 1/4) OF THE SOUTHWEST QUARTER (SW 1/4) OF SECTION 1, TOWNSHIP 47 NORTH, RANGE 64 EAST, MDB&amp;M.</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ALSO TOGETHER WITH THOSE PORTIONS OF SECTION 1, TOWNSHIP 47 NORTH, RANGE 64 EAST, MDB&amp;M., WHICH IS SITUATE SOUTH OF AND WITHIN DICE ROAD AS SHOWN ON THAT MAP ENTITLED MAP OF LOTS 2, 2-A AND 3 REVISED FIRST ADDITION FILED IN THE OFFICE OF THE COUNTY RECORDER OF ELKO COUNTY, ON MARCH 19, 1985 AS FILE NO. 202802.</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B - 9</w:t>
      </w:r>
    </w:p>
    <w:p>
      <w:pPr>
        <w:sectPr>
          <w:pgSz w:w="11900" w:h="16838" w:orient="portrait"/>
          <w:cols w:equalWidth="0" w:num="1">
            <w:col w:w="11420"/>
          </w:cols>
          <w:pgMar w:left="240" w:top="585" w:right="239" w:bottom="1440" w:gutter="0" w:footer="0" w:header="0"/>
        </w:sectPr>
      </w:pPr>
    </w:p>
    <w:bookmarkStart w:id="59" w:name="page60"/>
    <w:bookmarkEnd w:id="59"/>
    <w:p>
      <w:pPr>
        <w:spacing w:after="0"/>
        <w:rPr>
          <w:sz w:val="20"/>
          <w:szCs w:val="20"/>
          <w:color w:val="auto"/>
        </w:rPr>
      </w:pPr>
      <w:r>
        <w:rPr>
          <w:rFonts w:ascii="Arial" w:cs="Arial" w:eastAsia="Arial" w:hAnsi="Arial"/>
          <w:sz w:val="22"/>
          <w:szCs w:val="22"/>
          <w:color w:val="auto"/>
        </w:rPr>
        <w:t>PARCEL 2-B:</w:t>
      </w:r>
    </w:p>
    <w:p>
      <w:pPr>
        <w:spacing w:after="0" w:line="220"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THAT PORTION OF LOT 2-A OF THE REVISED FIRST ADDITION, TOWN OF JACKPOT, AS SHOWN ON THE OFFICIAL MAP THEREOF FILED IN THE OFFICE OF THE COUNTY RECORDER OF ELKO COUNTY, STATE OF NEVADA, ON MARCH 29, 1976, AS FILE NO. 97220, LYING WITHIN THE NORTH HALF (N 1/2) OF THE NORTHWEST QUARTER (NW 1/4) OF THE SOUTHWEST QUARTER (SW 1/4) OF THE SOUTHWEST QUARTER (SW 1/4) OF SECTION 1, TOWNSHIP 47 NORTH, RANGE 64 EAST, MDB&amp;M.</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PARCEL 3:</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LOTS 13 AND 13-A OF THE REVISED FIRST ADDITION, TOWN OF JACKPOT AS SHOWN ON THE OFFICIAL MAP THEREOF FILED IN THE OFFICE OF THE COUNTY RECORDER OF ELKO COUNTY, STATE OF NEVADA, ON MARCH 29, 1976, AS FILE NO. 97220.</w:t>
      </w:r>
    </w:p>
    <w:p>
      <w:pPr>
        <w:spacing w:after="0" w:line="186"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TOGETHER WITH THAT PORTION OF ABANDONED ACE ROAD, LYING NORTH AND SOUTH OF THE ABOVE DESCRIBED LOTS AND BOUNDED BY THE EXTENSION OF THE EASTERLY AND WESTERLY BOUNDARY LINES OF SAID ABOVE MENTIONED LOTS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PARCEL 4:</w:t>
      </w:r>
    </w:p>
    <w:p>
      <w:pPr>
        <w:spacing w:after="0" w:line="220"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LOT 15 OF THE REVISED FIRST ADDITION, TOWN OF JACKPOT, AS SHOWN ON THE OFFICIAL MAP THEREOF FILED IN THE OFFICE OF THE COUNTY RECORDER OF ELKO COUNTY, STATE OF NEVADA, ON MARCH 29, 1976, AS FILE NO. 97220.</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PARCEL 5:</w:t>
      </w:r>
    </w:p>
    <w:p>
      <w:pPr>
        <w:spacing w:after="0" w:line="220"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LOT 17 OF THE REVISED FIRST ADDITION, TOWN OF JACKPOT, AS SHOWN ON THE OFFICIAL MAP THEREOF FILED IN THE OFFICE OF THE COUNTY RECORDER OF ELKO COUNTY, STATE OF NEVADA, ON MARCH 29, 1976, AS FILE NO. 97220.</w:t>
      </w:r>
    </w:p>
    <w:p>
      <w:pPr>
        <w:spacing w:after="0" w:line="18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TOGETHER WITH THAT PORTION OF SECTION 1, TOWNSHIP 47 NORTH, RANGE 64 EAST, MDB&amp;M., WHICH LIES ADJACENT AND CONTIGUOUS TO SAID LOT 2-A DESCRIBED ABOVE, LESS THOSE PARCELS WHICH ARE EXCEPTED IMMEDIATELY FOLLOWING THIS PARAGRAPH, AS ABANDONED BY RESOLUTION OF ABANDONMENT DATED OCTOBER 19, 1981, EXECUTED BY THE STATE OF NEVADA, DEPARTMENT OF TRANSPORTATION, AND RECORDED FEBRUARY 08, 1982, IN BOOK 381, PAGE 636, OFFICIAL RECORDS, ELKO COUNTY, NEVADA.</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EXCEPTING THEREFROM THAT CERTAIN PARCEL OF LAND CONVEYED TO THE UNINCORPORATED TOWN OF JACKPOT BY DEED RECORDED MARCH 18, 1976, IN BOOK 226, PAGE 441, OFFICIAL RECORDS, ELKO COUNTY, NEVADA.</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FURTHER EXCEPTING THEREFROM THAT PORTION OF LOT 17 WHICH IS SITUATE WITHIN THE 60.00 FOOT RIGHT OF WAY, ALONG AND CONTIGUOUS TO THE EASTERLY BOUNDARY OF U.S. HIGHWAY 93, AS CONVEYED TO THE STATE OF NEVADA BY DEED RECORDED FEBRUARY 08, 1982, IN BOOK 381, PAGE 642, OFFICIAL RECORDS, ELKO COUNTY, NEVADA.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 B - 10</w:t>
      </w:r>
    </w:p>
    <w:p>
      <w:pPr>
        <w:sectPr>
          <w:pgSz w:w="11900" w:h="16838" w:orient="portrait"/>
          <w:cols w:equalWidth="0" w:num="1">
            <w:col w:w="11420"/>
          </w:cols>
          <w:pgMar w:left="240" w:top="604" w:right="239" w:bottom="1440" w:gutter="0" w:footer="0" w:header="0"/>
        </w:sectPr>
      </w:pPr>
    </w:p>
    <w:bookmarkStart w:id="60" w:name="page61"/>
    <w:bookmarkEnd w:id="60"/>
    <w:p>
      <w:pPr>
        <w:spacing w:after="0"/>
        <w:rPr>
          <w:sz w:val="20"/>
          <w:szCs w:val="20"/>
          <w:color w:val="auto"/>
        </w:rPr>
      </w:pPr>
      <w:r>
        <w:rPr>
          <w:rFonts w:ascii="Arial" w:cs="Arial" w:eastAsia="Arial" w:hAnsi="Arial"/>
          <w:sz w:val="22"/>
          <w:szCs w:val="22"/>
          <w:color w:val="auto"/>
        </w:rPr>
        <w:t>PARCEL 6:</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LOT 17B OF THE REVISED FIRST ADDITION, TOWN OF JACKPOT, AS SHOWN ON THE OFFICIAL MAP THEREOF FILED IN THE OFFICE OF THE COUNTY RECORDER OF ELKO COUNTY, STATE OF NEVADA, ON MARCH 29, 1976, AS FILE NO. 97220.</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PARCEL 7:</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TOWNSHIP 47 NORTH, RANGE 64 EAST, MDB&amp;M.</w:t>
      </w:r>
    </w:p>
    <w:p>
      <w:pPr>
        <w:spacing w:after="0" w:line="220"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SECTION 12: NORTH HALF (N 1/2) OF THE NORTHEAST QUARTER (NE 1/4) OF THE NORTHWEST QUARTER (NW 1/4) OF THE NORTHWEST QUARTER (NW 1/4); AND THE NORTHWEST QUARTER (NW 1/4) OF THE NORTHWEST QUARTER (NW 1/4) OF THE NORTHEAST QUARTER (NE 1/4) OF THE NORTHWEST QUARTER (NW 1/4);</w:t>
      </w:r>
    </w:p>
    <w:p>
      <w:pPr>
        <w:spacing w:after="0" w:line="15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TOGETHER WITH THAT PORTION OF SECTION 12 LYING ADJACENT AND CONTIGUOUS TO THE ABOVE DESCRIBED PARCELS OF LAND AS ABANDONED BY RESOLUTION OF ABANDONMENT DATED OCTOBER 19, 1981, EXECUTED BY THE STATE OF NEVADA, DEPARTMENT OF TRANSPORTATION AND RECORDED FEBRUARY 08, 1982, IN BOOK 381, PAGE 636, OFFICIAL RECORDS, ELKO COUNTY, NEVADA.</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EXCEPTING THEREFROM THAT CERTAIN PARCEL OF LAND CONVEYED TO THE UNINCORPORATED TOWN OF JACKPOT BY DEED RECORDED JUNE 24, 1982, IN BOOK 394, PAGE 107, OFFICIAL RECORDS, ELKO COUNTY, NEVADA.</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PARCEL 8:</w:t>
      </w:r>
    </w:p>
    <w:p>
      <w:pPr>
        <w:spacing w:after="0" w:line="220"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LOT 1 OF THE REVISED FIRST ADDITION, TOWN OF JACKPOT, AS SHOWN ON THE OFFICIAL MAP THEREOF FILED IN THE OFFICE OF THE COUNTY RECORDER OF ELKO COUNTY, STATE OF NEVADA, ON MARCH 29, 1976, AS FILE NO. 97220.</w:t>
      </w:r>
    </w:p>
    <w:p>
      <w:pPr>
        <w:spacing w:after="0" w:line="18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TOGETHER WITH THAT PORTION OF SECTION 1, TOWNSHIP 47 NORTH, RANGE 64 EAST, MDB&amp;M., WHICH LIES ADJACENT AND CONTIGUOUS TO THE ABOVE DESCRIBED PARCEL, AS ABANDONED BY RESOLUTION OF ABANDONMENT DATED OCTOBER 19, 1981, EXECUTED BY THE STATE OF NEVADA, DEPARTMENT OF TRANSPORTATION AND RECORDED FEBRUARY 08, 1982, IN BOOK 381, PAGE 636, OFFICIAL RECORDS, ELKO COUNTY, NEVADA.</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PARCEL 9:</w:t>
      </w:r>
    </w:p>
    <w:p>
      <w:pPr>
        <w:spacing w:after="0" w:line="220"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LOT 17-A OF THE REVISED FIRST ADDITION, TOWN OF JACKPOT, AS SHOWN ON THE OFFICIAL MAP THEREOF FILED IN THE OFFICE OF THE COUNTY RECORDER OF ELKO COUNTY, STATE OF NEVADA, ON MARCH 29, 1976, AS FILE NO. 97220.</w:t>
      </w:r>
    </w:p>
    <w:p>
      <w:pPr>
        <w:spacing w:after="0" w:line="186"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TOGETHER WITH THAT PORTION OF SECTION 1, TOWNSHIP 47 NORTH, RANGE 64 EAST, MDB&amp;M., WHICH LIES ADJACENT AND CONTIGUOUS TO THE ABOVE DESCRIBED PARCEL, AS ABANDONED BY RESOLUTION OF ABANDONMENT EXECUTED BY THE STATE OF NEVADA, DEPARTMENT OF TRANSPORTATION AND RECORDED FEBRUARY 08, 1982, IN BOOK 381, PAGE 636, OFFICIAL RECORDS, ELKO COUNTY, NEVADA.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B - 11</w:t>
      </w:r>
    </w:p>
    <w:p>
      <w:pPr>
        <w:sectPr>
          <w:pgSz w:w="11900" w:h="16838" w:orient="portrait"/>
          <w:cols w:equalWidth="0" w:num="1">
            <w:col w:w="11420"/>
          </w:cols>
          <w:pgMar w:left="240" w:top="807" w:right="239" w:bottom="1440" w:gutter="0" w:footer="0" w:header="0"/>
        </w:sectPr>
      </w:pPr>
    </w:p>
    <w:bookmarkStart w:id="61" w:name="page62"/>
    <w:bookmarkEnd w:id="61"/>
    <w:p>
      <w:pPr>
        <w:jc w:val="both"/>
        <w:spacing w:after="0" w:line="250" w:lineRule="auto"/>
        <w:rPr>
          <w:sz w:val="20"/>
          <w:szCs w:val="20"/>
          <w:color w:val="auto"/>
        </w:rPr>
      </w:pPr>
      <w:r>
        <w:rPr>
          <w:rFonts w:ascii="Arial" w:cs="Arial" w:eastAsia="Arial" w:hAnsi="Arial"/>
          <w:sz w:val="22"/>
          <w:szCs w:val="22"/>
          <w:color w:val="auto"/>
        </w:rPr>
        <w:t>FURTHER EXCEPTING THEREFROM THAT PORTION OF LOT 17-A WHICH IS SITUATE WITHIN THE 60.00 FOOT RIGHT OF WAY, ALONG AND CONTIGUOUS TO THE EASTERLY BOUNDARY OF U.S. HIGHWAY 93, AS CONVEYED TO THE STATE OF NEVADA BY DEED RECORDED FEBRUARY 08, 1982, IN BOOK 381, PAGE 642, OFFICIAL RECORDS, ELKO COUNTY, NEVADA.</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NOTE: ALL THE ABOVE METES AND BOUNDS DESCRIPTIONS PREVIOUSLY APPEARED IN THAT CERTAIN DOCUMENT RECORDED APRIL 18, 2011 AS INSTRUMENT 639017 ELKO COUNTY OFFICIAL RECORDS.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PARCEL 10:</w:t>
      </w:r>
    </w:p>
    <w:p>
      <w:pPr>
        <w:spacing w:after="0" w:line="220"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LOT 16 OF THE REVISED FIRST ADDITION, TOWN OF JACKPOT, AS SHOWN ON THE OFFICIAL MAP THEREOF FILED IN THE OFFICE OF THE COUNTY RECORDER OF ELKO COUNTY, STATE OF NEVADA, ON MARCH 29, 1976, AS FILE NO. 97220.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B - 12</w:t>
      </w:r>
    </w:p>
    <w:p>
      <w:pPr>
        <w:sectPr>
          <w:pgSz w:w="11900" w:h="16838" w:orient="portrait"/>
          <w:cols w:equalWidth="0" w:num="1">
            <w:col w:w="11420"/>
          </w:cols>
          <w:pgMar w:left="240" w:top="807" w:right="239" w:bottom="1440" w:gutter="0" w:footer="0" w:header="0"/>
        </w:sectPr>
      </w:pPr>
    </w:p>
    <w:bookmarkStart w:id="62" w:name="page63"/>
    <w:bookmarkEnd w:id="62"/>
    <w:p>
      <w:pPr>
        <w:ind w:left="4340"/>
        <w:spacing w:after="0"/>
        <w:rPr>
          <w:sz w:val="20"/>
          <w:szCs w:val="20"/>
          <w:color w:val="auto"/>
        </w:rPr>
      </w:pPr>
      <w:r>
        <w:rPr>
          <w:rFonts w:ascii="Arial" w:cs="Arial" w:eastAsia="Arial" w:hAnsi="Arial"/>
          <w:sz w:val="22"/>
          <w:szCs w:val="22"/>
          <w:b w:val="1"/>
          <w:bCs w:val="1"/>
          <w:u w:val="single" w:color="auto"/>
          <w:color w:val="auto"/>
        </w:rPr>
        <w:t>Belterra Resort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Tract 1:</w:t>
      </w:r>
    </w:p>
    <w:p>
      <w:pPr>
        <w:spacing w:after="0" w:line="220"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A part of Section 1, Township 1 North, Range 2 West, located in York Township of Switzerland County, Indiana, described as follows: Commencing at the Northwest corner, fractional Section 1, Township 1 North, Range 2 West; thence South 88 degrees 41 minutes 00 seconds East 2801.00 feet (deed); thence South 02 degrees 55 minutes 00 West 1265.00 feet (deed) to an iron bar found being the actual Point of Beginning; thence continuing South 02 degrees 55 minutes 00 seconds West 270.00 feet to a P.K. Nail found in the centerline of State Road 156; thence along said centerline North 88 degrees 41 minutes 00 seconds West, 175.00 feet to a P.K. Nail set; thence North 02 degrees 55 minutes 00 seconds East, 270.00 feet to a T-Bar set; thence South 88 degrees 41 minutes 00 seconds East 175.00 feet to the Point of Beginning.</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Tract 2:</w:t>
      </w:r>
    </w:p>
    <w:p>
      <w:pPr>
        <w:spacing w:after="0" w:line="23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Being a part of fractional Section 1, Township 1 North, Range 2 West in Switzerland County, Indiana; beginning on the North-South Quarter Section line at a United States Army Corps of Engineers Marker that is 1,266.73 feet South of its intersection with the center line of State Highway No. 156, running thence South 77 degrees West 198 feet along the U.S. Government property and marked by an iron stake; thence North 8 degrees West 143 feet to an iron stake in a garden fence; thence South 90 degrees East, 214 feet to the Quarter Section line; thence South 90 feet to the Place of Beginning.</w:t>
      </w:r>
    </w:p>
    <w:p>
      <w:pPr>
        <w:spacing w:after="0" w:line="14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Together with right of ingress and egress over the present existing highway leading to and from the above-described tract of land to Indiana State Highway No. 156.</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Tract 3:</w:t>
      </w:r>
    </w:p>
    <w:p>
      <w:pPr>
        <w:spacing w:after="0" w:line="220"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Being a part of fractional Section 1, Township 1 North, Range 2 West and part of Section 36, Township 2 North, Range 2 West of the First Principal Meridian located in York Township of Switzerland County, Indiana, and being part of Tract 3 of the Daniel Vincent Dufour Real Estate Partition as recorded in the complete record of the Probate Court of Switzerland County, Indiana, in Order Book from September term 1850 to July term 1853 in pages 51, 52, 53 and 54 and further described as follows: Commencing at an iron pin at the Northwest corner of Section 1, Township 1 North, Range 2 West, thence North 89 degrees 49 minutes 48 seconds East with the North line of said Section 1, 398.91 feet to a rebar in the line dividing Tract 3 and Tract 4 of the Daniel Vincent Dufour real estate partition and the true Point of Beginning; thence North 00 degrees 26 minutes 26 seconds West with the prolongation of the line dividing Tract 3 and Tract 4 of said Dufour's partition, and along the West boundary of the parent tract of land (Hunt D.R. 88, P. 50), 14.94 feet to a rebar; thence severing said parent tract of land the following eight courses and distances: North 52 degrees 09 minutes 19 seconds East, 204.19 feet to a rebar; thence South 86 degrees 28 minutes 37 seconds East, 69.95 feet to a rebar; thence South 86 degrees 18 minutes 27 seconds East, 49.04 feet to a rebar; thence South 24 degrees 23 minutes 06 seconds East, 38.12 feet to a rebar; thence South 00 degrees 06 minutes 26 seconds West, 129.95 feet to a rebar; thence South 43 degrees 29 minutes 26 seconds East, 212.31 feet to a rebar; thence South 85 degrees 14 minutes 06 seconds East, 360.23 feet to a rebar; thence North 83 degrees 22 minutes 31 seconds East, 151.68 feet to a rebar in the line dividing Tract 2 and 3 of said Dufour's partition, said point along being in</w:t>
      </w:r>
    </w:p>
    <w:p>
      <w:pPr>
        <w:spacing w:after="0" w:line="200" w:lineRule="exact"/>
        <w:rPr>
          <w:sz w:val="20"/>
          <w:szCs w:val="20"/>
          <w:color w:val="auto"/>
        </w:rPr>
      </w:pPr>
    </w:p>
    <w:p>
      <w:pPr>
        <w:spacing w:after="0" w:line="237"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Ex. B - 13</w:t>
      </w:r>
    </w:p>
    <w:p>
      <w:pPr>
        <w:sectPr>
          <w:pgSz w:w="11900" w:h="16838" w:orient="portrait"/>
          <w:cols w:equalWidth="0" w:num="1">
            <w:col w:w="10760"/>
          </w:cols>
          <w:pgMar w:left="900" w:top="585" w:right="239" w:bottom="1440" w:gutter="0" w:footer="0" w:header="0"/>
        </w:sectPr>
      </w:pPr>
    </w:p>
    <w:bookmarkStart w:id="63" w:name="page64"/>
    <w:bookmarkEnd w:id="63"/>
    <w:p>
      <w:pPr>
        <w:jc w:val="both"/>
        <w:spacing w:after="0" w:line="265" w:lineRule="auto"/>
        <w:rPr>
          <w:sz w:val="20"/>
          <w:szCs w:val="20"/>
          <w:color w:val="auto"/>
        </w:rPr>
      </w:pPr>
      <w:r>
        <w:rPr>
          <w:rFonts w:ascii="Arial" w:cs="Arial" w:eastAsia="Arial" w:hAnsi="Arial"/>
          <w:sz w:val="21"/>
          <w:szCs w:val="21"/>
          <w:color w:val="auto"/>
        </w:rPr>
        <w:t>the boundary of said Hunt parent Tract of land; thence with the boundary of said parent Tract of land the following three courses: South 00 degrees 03 minutes 18 seconds East, 428.78 feet to rebar; thence South 89 degrees 49 minutes 57 seconds West, 942.57 feet to a rebar in the line dividing Tract 3 and Tract 4 of said Dufour's partition; thence North 00 degrees 26 minutes 28 seconds West with said line, 646.46 feet to the Point of Beginning.</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color w:val="auto"/>
        </w:rPr>
        <w:t>Tract 4:</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Being a part of fractional Section 1 and fractional Section 2, Township 1 North, Range 2 West and part of Section 35, Township 2 North, Range 2 West of the first principal meridian and located in York Township of Switzerland County, Indiana, and being part of Tract 4 of the Daniel Vincent Dufour's real estate partition as recorded in the complete record of the Probate Court of Switzerland County, Indiana, in Order Book from September term 1850 to July term 1853 in pages 51, 52, 53 and 54 and further described as follows:</w:t>
      </w:r>
    </w:p>
    <w:p>
      <w:pPr>
        <w:spacing w:after="0" w:line="19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Beginning at an iron pin at the Northwest corner of Section 1, Township 1 North, Range 2 West, thence with the boundary of the Thomas J. and Christine R. McClain property (D.R. 88, P. 175) the following six courses and distances: North 89 degrees 49 minutes 48 seconds East with the North line of said Section 1 and the North line of said Tract 4, 398.91 feet to a rebar; thence South 00 degrees 26 minutes 28 seconds East with the East line of said Tract 4 and the East line of said McClain property, 327.11 feet to a rebar; thence South 89 degrees 46 minutes 06 seconds West, 957.20 feet to a rebar; thence North 00 degrees 26 minutes 28 seconds West, 324.55 feet to a rebar; thence South 84 (89 degrees per survey) degrees 27 minutes 40 seconds West, 189.39 feet to a rebar; thence North 00 degrees 12 minutes 39 seconds East, 783.23 feet to the center of a creek; thence with the center of said creek the following four courses: South 74 degrees 45 minutes 05 seconds East, 339.67 feet; thence South 74 degrees 10 minutes 51 seconds East 165.15 feet; thence North 47 degrees 44 minutes 59 seconds East 328.51 feet; thence North 75 degrees 25 minutes 39 seconds East, 19.27 feet, thence South 00 degrees 14 minutes 28 seconds West with the East line of said Section 35 and continuing along the boundary of said McClain Tract, 867.58 feet to the Point of Beginning.</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color w:val="auto"/>
        </w:rPr>
        <w:t>Tract 5:</w:t>
      </w:r>
    </w:p>
    <w:p>
      <w:pPr>
        <w:spacing w:after="0" w:line="220"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Being a part of fractional Section 1, Township 1 North, Range 2 West of the First Principal Meridian, and located in York Township of Switzerland County, Indiana and being part of Tract 4 of the Daniel Vincent Dufour real estate partition as recorded in the complete record of the Probate Court of Switzerland County, Indiana, in Order Book from September term 1850 to July term 1853 in pages 51, 52, 53 and 54 and further described as follows:</w:t>
      </w: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color w:val="auto"/>
        </w:rPr>
        <w:t>Commencing at an iron pin at the Northwest corner of Section 1, Township 1 North,</w:t>
      </w:r>
    </w:p>
    <w:p>
      <w:pPr>
        <w:spacing w:after="0" w:line="22" w:lineRule="exact"/>
        <w:rPr>
          <w:sz w:val="20"/>
          <w:szCs w:val="20"/>
          <w:color w:val="auto"/>
        </w:rPr>
      </w:pPr>
    </w:p>
    <w:p>
      <w:pPr>
        <w:jc w:val="both"/>
        <w:spacing w:after="0" w:line="293" w:lineRule="auto"/>
        <w:rPr>
          <w:sz w:val="20"/>
          <w:szCs w:val="20"/>
          <w:color w:val="auto"/>
        </w:rPr>
      </w:pPr>
      <w:r>
        <w:rPr>
          <w:rFonts w:ascii="Arial" w:cs="Arial" w:eastAsia="Arial" w:hAnsi="Arial"/>
          <w:sz w:val="19"/>
          <w:szCs w:val="19"/>
          <w:color w:val="auto"/>
        </w:rPr>
        <w:t>Range 2 West, thence North 89 degrees 49 minutes 48 seconds East with the North line of said Section 1 and the North line of said Tract 4, 398.91 feet to a rebar at the Northeast corner of said Tract 4; thence South 00 degrees 26 minutes 28 seconds East with the East line of said Tract 4, 327.11 feet to the Point of Beginning; thence continuing South 00 degrees 26 minutes 28 seconds East with the East line of said Tract 4 and the East line of the Tom McClain property (D.R. 91, P. 146), 282.00 feet to a rebar; thence with the Southerly and Westerly boundary of said McClain property the following three courses and distances: North 75 degrees 07 minutes 18 seconds West, 156.62 feet to a rebar; thence North 35 degrees 26 minutes 28</w:t>
      </w:r>
    </w:p>
    <w:p>
      <w:pPr>
        <w:spacing w:after="0" w:line="171"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Ex. B - 14</w:t>
      </w:r>
    </w:p>
    <w:p>
      <w:pPr>
        <w:sectPr>
          <w:pgSz w:w="11900" w:h="16838" w:orient="portrait"/>
          <w:cols w:equalWidth="0" w:num="1">
            <w:col w:w="10760"/>
          </w:cols>
          <w:pgMar w:left="900" w:top="591" w:right="239" w:bottom="1440" w:gutter="0" w:footer="0" w:header="0"/>
        </w:sectPr>
      </w:pPr>
    </w:p>
    <w:bookmarkStart w:id="64" w:name="page65"/>
    <w:bookmarkEnd w:id="64"/>
    <w:p>
      <w:pPr>
        <w:jc w:val="both"/>
        <w:spacing w:after="0" w:line="253" w:lineRule="auto"/>
        <w:rPr>
          <w:sz w:val="20"/>
          <w:szCs w:val="20"/>
          <w:color w:val="auto"/>
        </w:rPr>
      </w:pPr>
      <w:r>
        <w:rPr>
          <w:rFonts w:ascii="Arial" w:cs="Arial" w:eastAsia="Arial" w:hAnsi="Arial"/>
          <w:sz w:val="22"/>
          <w:szCs w:val="22"/>
          <w:color w:val="auto"/>
        </w:rPr>
        <w:t>seconds West, 103.81 feet to a rebar; thence North 00 degrees 26 minutes 28 seconds West, 156.35 feet to a rebar; thence North 89 degrees 46 minutes 06 seconds East with the Northerly line of said McClain property, 210.60 feet to the Point of Beginning.</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Tract 6:</w:t>
      </w:r>
    </w:p>
    <w:p>
      <w:pPr>
        <w:spacing w:after="0" w:line="233"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Being a part of the Northeast Quarter of fractional Section 1, Township 1 North, Range 2 West, York Township, Switzerland County, Indiana, described as follows: Commencing at a corner post at the Northwest corner of fractional Section 1; thence South 88 degrees 41 minutes 00 seconds East (assumed bearing), 2801.00 feet to a point in the center of Log Lick Creek; thence South 02 degrees 55 minutes 00 seconds West, 1168.00 feet to a corner post and the actual Point of Beginning; thence South 88 degrees 41 minutes 00 seconds East, 237.00 feet to a stake; thence South 02 degrees 55 minutes 00 seconds West, 367.00 feet to a steel nail in the centerline of State Highway No. 156; thence with the highway centerline, North 88 degrees 41 minutes 00 seconds West 237.00 feet to a steel nail; thence leaving the road, North 02 degrees 55 minutes 00 seconds East, 367.00 feet to the Point of Beginning.</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color w:val="auto"/>
        </w:rPr>
        <w:t>Tract 7:</w:t>
      </w:r>
    </w:p>
    <w:p>
      <w:pPr>
        <w:spacing w:after="0" w:line="220"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Being a part of fractional Section 1 and fractional Section 2, Township 1 North, Range 2 West of the First Principal Meridian located in York Township of Switzerland County, Indiana, and a part of Tract No. 3 and Tract No. 4 of the partition of the real estate of Daniel Vincent Dufour among his children as recorded in the complete record of the Probate Court of Switzerland County, Indiana, in Order Book from September term 1850 to July term 1853 in pages 51, 52, 53 and 54 and further described as follows:</w:t>
      </w:r>
    </w:p>
    <w:p>
      <w:pPr>
        <w:spacing w:after="0" w:line="206"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Commencing at a concrete monument found in place at the Northeast corner of said Section 1, Township 1 North, Range 2 West; thence South 89 degrees 49 minutes 48 seconds West a distance of 3996.57 feet, passing through an iron pin with cap in line at 2165.72 feet, with the North line of said Section 1 to an iron pin and cap at the Northwest corner of Tract 2 of said Daniel Vincent Dufour partition; thence South 00 degrees 03 minutes 18 seconds East a distance of 646.50 feet along a common line dividing Tract 2 and Tract 3 in said Daniel Vincent Dufour partition to an iron pin with cap and the true Point of Beginning; thence continuing South 00 degrees 03 minutes 18 seconds East a distance of 929.20 feet along a common line dividing Tract 2 and Tract 3 in said Daniel Vincent Dufour partition to a railroad spike in the centerline of Indiana State Road 156; thence continuing South 00 degrees 03 minutes 18 seconds East a distance of 1412.39 feet with said common line dividing Tract 2 and Tract 3 to an existing Corps of Engineers concrete monument in the Northern line of the lands of the United States of America, Deed Book 54, page 144; thence South 88 degrees 39 minutes 24 seconds West a distance of 726.36 feet with the Northern line of the Land of the United States of America to an iron pin with cap; thence North 81 degrees 12 minutes 36 seconds West a distance of 203.14 feet with said Northern line to an existing Corps of engineers concrete monument; thence North 00 degrees 26 minutes 28 seconds West a distance of 1399.32 feet along a common line with the Webster Family Limited Partnership, Deed Book 104, page 79, and the Diuguid Family Limited Partnership, Deed Book 104, page 80, and passing through a steel T-Bar found in place 963.58 feet at the Southeast corner of a 2.0000 acre Tract, to a Steel Nail (P.K.) found in place in the center of Indiana State Road 156; thence North 88 degrees 44 minutes 40 seconds West a distance of 957.62 feet to a Steel Nail set in the center of Indiana State Road 156; thence North 00 degrees 26 minutes 28 seconds West a distance</w:t>
      </w:r>
    </w:p>
    <w:p>
      <w:pPr>
        <w:spacing w:after="0" w:line="200" w:lineRule="exact"/>
        <w:rPr>
          <w:sz w:val="20"/>
          <w:szCs w:val="20"/>
          <w:color w:val="auto"/>
        </w:rPr>
      </w:pPr>
    </w:p>
    <w:p>
      <w:pPr>
        <w:spacing w:after="0" w:line="245"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Ex. B - 15</w:t>
      </w:r>
    </w:p>
    <w:p>
      <w:pPr>
        <w:sectPr>
          <w:pgSz w:w="11900" w:h="16838" w:orient="portrait"/>
          <w:cols w:equalWidth="0" w:num="1">
            <w:col w:w="10760"/>
          </w:cols>
          <w:pgMar w:left="900" w:top="604" w:right="239" w:bottom="1440" w:gutter="0" w:footer="0" w:header="0"/>
        </w:sectPr>
      </w:pPr>
    </w:p>
    <w:bookmarkStart w:id="65" w:name="page66"/>
    <w:bookmarkEnd w:id="65"/>
    <w:p>
      <w:pPr>
        <w:jc w:val="both"/>
        <w:spacing w:after="0" w:line="286" w:lineRule="auto"/>
        <w:rPr>
          <w:sz w:val="20"/>
          <w:szCs w:val="20"/>
          <w:color w:val="auto"/>
        </w:rPr>
      </w:pPr>
      <w:r>
        <w:rPr>
          <w:rFonts w:ascii="Arial" w:cs="Arial" w:eastAsia="Arial" w:hAnsi="Arial"/>
          <w:sz w:val="19"/>
          <w:szCs w:val="19"/>
          <w:color w:val="auto"/>
        </w:rPr>
        <w:t>of 1220.07 feet passing through an iron pin with cap set in line at 30.00 feet, and continuing along a common line with the Webster Family Limited Partnership, Deed Book 104, page 79 and the Diuguid Family Limited Partnership, Deed Book 104, page 80, and the line dividing Tract 4 and Tract 5 in said Daniel Vincent Dufour Partition, to an iron pin with cap set by a stone (broken) found in place; thence North 89 degrees 46 minutes 06 seconds East a distance of 746.60 feet along a common line with Thomas J. McClain and Christine R. McClain Deed Book 86, page 175 to an iron pin with cap set in the center of a gravel township road; thence along a common line with other lands of said McClain, Deed Book 91, page 146, the following (3) courses and distances; South 00 degrees 26 minutes 28 seconds East a distance of 156.35 feet to an iron pin with cap; South 35 degrees 26 minutes 28 seconds East a distance of 103.81 feet to an iron pin with cap; South 75 degrees 07 minutes 18 seconds East a distance of 156.62 feet to an iron pin with cap on the East side of said township road; thence South 00 degrees 26 minutes 28 seconds East a distance of 37.39 feet along a common line with David and Cassandra Hunt, Deed Book 88, page 50 and the common line dividing Tract 3 and Tract 4 in said Daniel Vincent Dufour partition to an iron pin with cap; thence North 89 degrees 49 minutes 48 seconds East a distance of 942.57 feet along a line common with said David and Cassandra Hunt to an iron pin with cap and the Point of Beginning.</w:t>
      </w:r>
    </w:p>
    <w:p>
      <w:pPr>
        <w:spacing w:after="0" w:line="16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Excepting therefrom that portion thereof conveyed to "Hoosier Energy Rural Electric Cooperative, Inc., an Indiana Corporation", by Warranty Deed recorded April 7, 2000 in Deed Book 110, page 171, being a part of Fractional Section 2, Township 1 North Range 2 West, First Principal Meridian, York Township, Switzerland County, Indiana, more particularly described as follows:</w:t>
      </w:r>
    </w:p>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Commencing at an iron pin found at the Northeast corner of Section 2, Township 1 North, Range 2 West, Switzerland County, Indiana; thence South 00 degrees 26 minutes 28 seconds East 327.55 feet to the North line of a 76.268 acre Tract as described in Deed Record 109, page 132 in the Office of the Recorder; thence with the North line of said 76.268 acre tract, South 89 degrees 46 minutes 06 seconds West 558.30 feet to an iron pin found next to a stone; thence with the West line of said 76.268 acre Tract; South 00 degrees 26 minutes 28 seconds East, 1220.07 feet (passing an iron pin found at 1190.07 feet) to a nail found in the centerline of State Road 156; thence with the centerline of said road South 88 degrees 44 minutes 40 seconds East 15.00 feet to the Place of Beginning; thence North 00 degrees 26 minutes 28 seconds West 330.00 feet (passing a 5/8" rebar with cap set at 30.01 feet) to a 5/8" rebar with cap set; thence South 88 degrees 44 minutes 40 seconds East 140.00 feet to a 5/8" rebar with cap set; thence South 00 degrees 26 minutes 28 seconds East 180.00 feet to a 5/8" rebar with cap set; thence North 88 degrees 44 minutes 40 seconds West 90.00 feet to a 5/8"rebar with cap set; thence South 00 degrees 26 minutes 28 seconds East 150.00 feet (passing a 5/8" rebar with cap set at 119.99 feet) to the centerline of State Road 156; thence with said centerline, North 88 degrees 44 minutes 40 seconds West 50.00 feet to the Place of Beginning.</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Tract 8:</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A part of Section 1, Township 1 North, Range 2 West, York Township, Switzerland County, Indiana, described as follows:</w:t>
      </w:r>
    </w:p>
    <w:p>
      <w:pPr>
        <w:spacing w:after="0" w:line="25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Beginning in the centerline of State Road 156 at the Northeast corner of the Southwest Quarter, Section 1, Township 1 North, Range 2 West; hence South 01 degree 33 minutes 32 seconds West 1064.75 feet to a railroad spike found; thence North 89 degrees 00 minutes 00 seconds West 214.00 feet to a rebar set; thence South 08 degrees 00 minutes 00 seconds East 143.00</w:t>
      </w:r>
    </w:p>
    <w:p>
      <w:pPr>
        <w:spacing w:after="0" w:line="209"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Ex. B - 16</w:t>
      </w:r>
    </w:p>
    <w:p>
      <w:pPr>
        <w:sectPr>
          <w:pgSz w:w="11900" w:h="16838" w:orient="portrait"/>
          <w:cols w:equalWidth="0" w:num="1">
            <w:col w:w="10760"/>
          </w:cols>
          <w:pgMar w:left="900" w:top="591" w:right="239" w:bottom="1440" w:gutter="0" w:footer="0" w:header="0"/>
        </w:sectPr>
      </w:pPr>
    </w:p>
    <w:bookmarkStart w:id="66" w:name="page67"/>
    <w:bookmarkEnd w:id="66"/>
    <w:p>
      <w:pPr>
        <w:jc w:val="both"/>
        <w:spacing w:after="0" w:line="248" w:lineRule="auto"/>
        <w:rPr>
          <w:sz w:val="20"/>
          <w:szCs w:val="20"/>
          <w:color w:val="auto"/>
        </w:rPr>
      </w:pPr>
      <w:r>
        <w:rPr>
          <w:rFonts w:ascii="Arial" w:cs="Arial" w:eastAsia="Arial" w:hAnsi="Arial"/>
          <w:sz w:val="22"/>
          <w:szCs w:val="22"/>
          <w:color w:val="auto"/>
        </w:rPr>
        <w:t>feet to a rebar set; thence South 75 degrees 57 minutes 47 seconds West 210.10 feet; thence South 81 degrees 32 minutes 12 seconds West 550.62 feet to a concrete monument; thence South 86 degrees 25 minutes 25 seconds West 568.58 to a concrete monument; thence North 01 degree 24 minutes 35 seconds East 1412.95 feet to a nail set in the centerline of State Road 156; thence along said centerline South 88 degrees 22 minutes 08 seconds East 1504.80 feet to the Point of Beginning.</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Tract 9:</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Being part of the Northwest Quarter of fractional Section 1, Township North, Range 2 West, York Township, Switzerland County, Indiana, described as follows: Commencing at a corner post at the Northwest corner of said fractional Section 1, thence South 88 degrees 41 minutes East, (assumed bearing), 2801.00 feet to a point in the center of Log Lick Creek; thence South 02 degrees 55 minutes West, 1265.00 feet to a stake in a fence line and the actual Place of Beginning; thence continuing South 02 degrees 55 minutes West, 270.00 feet to a steel nail in the centerline of State Highway No. 156; thence with the center of said Highway North 88 degrees 41 minutes West, 350.00 feet to a steel nail; thence leaving the highway North 02 degrees 55 minutes East, 270.00 feet to a stake; thence South 88 degrees 41 minutes East, 350.00 feet to the Place of Beginning.</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Excepting therefrom, a part of Section 1, Township 1 North, Range 2 West, located in York Township of Switzerland County, Indiana, described as follows: Commencing at the Northwest corner, fractional Section 1, Township 1 North, Range 2 West; thence South 88 degrees 41 minutes 00 seconds East 2801.00 feet (deed); thence South 02 degrees 55 minutes 00 seconds West 1265.00 feet (deed), to an iron bar found being the actual Point of Beginning; thence continuing South 02 degrees 55 minutes 00 seconds West 270.00 feet to a P.K. Nail found in the centerline of State Road 156; thence along said centerline North 88 degrees 41 minutes 00 seconds West 175.00 feet to a P.K. Nail set; thence North 02 degrees 55 minutes 00 seconds East 270.00 feet to a T-Bar set; thence South 88 degrees 41 minutes 00 seconds East 175.00 feet to the Point of Beginning.</w:t>
      </w: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color w:val="auto"/>
        </w:rPr>
        <w:t>Tract 10:</w:t>
      </w:r>
    </w:p>
    <w:p>
      <w:pPr>
        <w:spacing w:after="0" w:line="139"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Leasehold estate pursuant to a certain lease dated December 11, 1998 by and between the Webster Family Limited Partnership and The Diuguid Family Limited Partnership as landlord and Pinnacle Gaming Development Corp. as tenant as set out in a memorandum of lease recorded December 30, 1998 in Miscellaneous Record AA, page 148, as assigned to Belterra Resort Indiana, LLC by assignment recorded December 15, 2000 in Miscellaneous Record CC, page 182 with respect to the following real estate:</w:t>
      </w:r>
    </w:p>
    <w:p>
      <w:pPr>
        <w:spacing w:after="0" w:line="192"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Being part of fractional Section 1, Township 1, North, Range 2 West of the first principal meridian located in York Township of Switzerland County, Indiana and a part of Tract No. 1 of the partition of the real estate of Daniel Vincent Dufour among his children as recorded in the complete record of the Probate Court of Switzerland County, Indiana, in Order Book from September term 1850 to July term 1853 in pages 51, 52, 53 and 54 and is further described as follows:</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Commencing at a concrete monument found in place at the Northeast corner of said Section 1, Township 1 North, Range 2 West; thence South 89 degrees 49 minutes 48 seconds West a distance of 1140.71 feet with the North line of said Section 1 to a point; thence South 00</w:t>
      </w:r>
    </w:p>
    <w:p>
      <w:pPr>
        <w:spacing w:after="0" w:line="207"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Ex. B - 17</w:t>
      </w:r>
    </w:p>
    <w:p>
      <w:pPr>
        <w:sectPr>
          <w:pgSz w:w="11900" w:h="16838" w:orient="portrait"/>
          <w:cols w:equalWidth="0" w:num="1">
            <w:col w:w="10760"/>
          </w:cols>
          <w:pgMar w:left="900" w:top="591" w:right="239" w:bottom="1440" w:gutter="0" w:footer="0" w:header="0"/>
        </w:sectPr>
      </w:pPr>
    </w:p>
    <w:bookmarkStart w:id="67" w:name="page68"/>
    <w:bookmarkEnd w:id="67"/>
    <w:p>
      <w:pPr>
        <w:jc w:val="both"/>
        <w:spacing w:after="0" w:line="283" w:lineRule="auto"/>
        <w:rPr>
          <w:sz w:val="20"/>
          <w:szCs w:val="20"/>
          <w:color w:val="auto"/>
        </w:rPr>
      </w:pPr>
      <w:r>
        <w:rPr>
          <w:rFonts w:ascii="Arial" w:cs="Arial" w:eastAsia="Arial" w:hAnsi="Arial"/>
          <w:sz w:val="19"/>
          <w:szCs w:val="19"/>
          <w:color w:val="auto"/>
        </w:rPr>
        <w:t>degrees 00 minutes 27 seconds East a distance of 350.47 feet to a point in the center of Log Lick Creek and the true Point of Beginning; thence continuing South 00 degrees 00 minutes 27 seconds East a distance of 3093.92 feet, passing through concrete monuments found in line at 33.25 feet, 708.25 feet, 1202.08 feet, 1773.20 feet, 2393.28 feet respectively and through an iron pin with cap found in line at 1262.08 feet and a stone found in line at 2747.80 feet, along a common line in part with the lands now or formerly owned by William L. Martin and Vernon Martin, Deed Book 89, page 154 in the Records of Switzerland County, Indiana, and along a common line in part with the lands now or formerly owned by James O. Chaskel Deed Book 90, page 292 in said records, to a point in the Ohio River and in the Indiana-Kentucky Stateline as established by the Supreme Court of the United States, October term 1985, No. 81, (see Kentucky's V. Indiana, Orig. No. 81 joint Exhibit No. 50); thence downstream with said Indiana-Kentucky stateline the following three courses and distances; South 75 degrees 07 minutes 19 seconds West a distance of 211.68 feet to a point; South 72 degrees 59 minutes 38 seconds West a distance of 708.68 feet to a point; South 72 degrees 37 minutes 29 seconds West a distance of 159.59 feet to a point; thence North 00 degrees 00 minutes 27 seconds West a distance of 1125.10 feet, passing through a concrete monument found in line at 974.79 feet along a common line with the lands of the United States of America, Deed Book 55, page 7 in said records, to a Corps of Engineers concrete monument; thence South 70 degrees 43 minutes 28 seconds West a distance of 336.38 feet along a common line with said lands of the United States of America to a Corps of Engineers concrete monument; thence North 00 degrees 00 minutes 27 seconds West a distance of 1155.39 feet along a common line in part with the lands of Walter and Thelma Earls, Deed Book 95, page 111 in said records and then in line with the lands of John and Dorothy Keaton, Deed Book 96, page 353 in said records, passing through a railroad spike found in line at 90.00 feet and an iron pin with cap found in line at 1125.39 feet to a point in the center of Indiana State Road 156; thence along common lines with the lands of Raymond and and Evelyn Hatton, Deed Book 82, page 320 in said records the following three (3) courses and distances: North 89 degrees 55 minutes 36 seconds East a distance of 237.00 feet, passing through a steel nail found at 1.08 feet to a point in the center of said highway North 00 degrees 00 minutes 27 seconds West a distance of 367.00 feet, passing through a monument found in line at 30.00 feet, to a found iron pin; South 89 degrees 55 minutes 36 seconds West a distance of 237.00 feet to a found concrete monument; thence North 00 degrees 00 minutes 27 seconds West a distance of 1169.05 feet along a common line with the lands of Webster, Dirguid and Showers, Deed Book 99, page 150, Deed Book 101, Page 162 and Deed Book 107 page 112 in said records, passing through a concrete monument found in line at 433.40 feet, an iron pin and cap found in line at 870.84 feet, a concrete monument found in line at 1134.34 feet, to a point in the center of Log Lick Creek; thence upstream with the center of Log Lick Creek and its meanders and along a common line in part with said Webster, Dirguid and Showers and along a common line in part with Brichto and Stewart, Deed Book 106, page 276, the following twelve (12) courses and distances; North 88 degrees 44 minutes 27 seconds East a distance of 103.41 feet to a point; South 36 degrees 27 minutes 11 seconds East a distance of 183.51 feet to a point; North 87 degrees 03 minutes 47 seconds East a distance of 83.49 feet to a point; North 49 degrees 37 minutes 18 seconds East a distance of 138.52 feet to a point; South 73 degrees 53 minutes 44 seconds East a distance of 205.55 feet to a point; South 68 degrees 56 minutes 45 seconds East a distance of 254.82 feet to a point; South 22 degrees 22 minutes 14 seconds East a distance of 247.58 feet to a point; South 46 degrees 36 minutes 50 seconds East a distance of 69.18 feet to a point; South 88 degrees 32 minutes 11 seconds East a distance of 51.50 feet to a point; North 36 degrees 59 minutes 31 seconds East a distance of 150.14 feet to a point; North 63 degrees 41 minutes 37 seconds East a distance of 74.63 feet to a point; North 82</w:t>
      </w:r>
    </w:p>
    <w:p>
      <w:pPr>
        <w:spacing w:after="0" w:line="198"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Ex. B - 18</w:t>
      </w:r>
    </w:p>
    <w:p>
      <w:pPr>
        <w:sectPr>
          <w:pgSz w:w="11900" w:h="16838" w:orient="portrait"/>
          <w:cols w:equalWidth="0" w:num="1">
            <w:col w:w="10760"/>
          </w:cols>
          <w:pgMar w:left="900" w:top="591" w:right="239" w:bottom="1440" w:gutter="0" w:footer="0" w:header="0"/>
        </w:sectPr>
      </w:pPr>
    </w:p>
    <w:bookmarkStart w:id="68" w:name="page69"/>
    <w:bookmarkEnd w:id="68"/>
    <w:p>
      <w:pPr>
        <w:spacing w:after="0"/>
        <w:rPr>
          <w:sz w:val="20"/>
          <w:szCs w:val="20"/>
          <w:color w:val="auto"/>
        </w:rPr>
      </w:pPr>
      <w:r>
        <w:rPr>
          <w:rFonts w:ascii="Arial" w:cs="Arial" w:eastAsia="Arial" w:hAnsi="Arial"/>
          <w:sz w:val="22"/>
          <w:szCs w:val="22"/>
          <w:color w:val="auto"/>
        </w:rPr>
        <w:t>degrees 08 minutes 29 seconds East a distance of 164.08 feet to the point of beginning.</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Tract 11:</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Leasehold estate pursuant to a certain lease dated December 11, 1998 by and between Daniel Webster, Marsha S. Webster and William G. Diuguid, Sarah T. Diuguid, J.R. Showers III and Carol A. Showers as landlord and Pinnacle Gaming Development Corp. as tenant as set out in a memorandum of lease recorded December 30, 1998 in Miscellaneous Record AA, page 149, as assigned to Belterra Resort Indiana, LLC by assignment recorded December 15, 2000 in Miscellaneous Record CC, page 181 with respect to the following real estate:</w:t>
      </w:r>
    </w:p>
    <w:p>
      <w:pPr>
        <w:spacing w:after="0" w:line="176"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Being part of fractional Section 1 Township 1 North, Range 2 West of the first principal meridian located in York Township of Switzerland County, Indiana, and a part of Tract No. 1 and Tract No. 2 of the partition of the real estate of Daniel Vincent Dufour among his children as recorded in the complete record of the Probate Court of Switzerland County, Indiana, in Order Book from September term 1850 to July term 1853 in pages 51, 52, 53 and 54 and is further described as follows:</w:t>
      </w:r>
    </w:p>
    <w:p>
      <w:pPr>
        <w:spacing w:after="0" w:line="143"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Commencing at a concrete monument found in place at the Northeast corner of said Section 1, Township 1 North, Range 2 West; thence South 89 degrees 49 minutes 48 seconds West a distance of 2165.72 feet with the North line of said Section 1 to an iron pin and cap at the true Point of Beginning; thence South 00 degrees 12 minutes 24 seconds West a distance of 159.92 feet along a line common with Brichto and Stewart, Deed Book 106, page 276 in the records of Switzerland County, Indiana, and passing through an iron pin and cap set in line at 110.00 feet, to a point in the center of Log Lick Creek; thence downstream with the meanders of said creek and along a line in common with the Webster Family Limited Partnership, Deed Book 104, page 79 (Parcel One) and the Diuguid Family Limited Partnership, Deed Book 104, page 80 (Parcel One) the following four (4) courses and distances; South 49 degrees 37 minutes 18 seconds West a distance of 40.64 feet to a point; South 87 degrees 03 minutes 47 seconds West a distance of 83.49 feet to a point; North 36 degrees 27 minutes 11 seconds West a distance of 183.51 feet to a point; South 88 degrees 44 minutes 27 seconds West a distance of 103.47 feet to a point; thence leaving said creek and in part along a line common with the lands of said Webster Family and Diugiud Family Partnerships and in part along a line common with the lands of Raymond and Evelyn Hatton, Deed Book 82, page 320 in said records, South 00 degrees 00 minutes 27 seconds East a distance of 1266.05 feet, passing through concrete monuments found in line on the South bank of the creek at 34.66 feet, an iron pin with cap at 298.06 feet, a concrete monument at 735.65 and a concrete monument at 1169.05 feet at the Northwest corner of the lands of said Raymond and Evelyn Hatton, to an iron pin with cap set in line with said Hatton and at the Northeast corner of the lands of Theresa and Mitchell Barnes, Deed Book 107, page 31 in said records; thence North 89 degrees 59 minutes 45 seconds West a distance of 350.00 feet in part along a common line with the lands of said Barnes and in part along a common line with the lands of John and Carolyn Hendrickson, Deed Book 99, page 48 in said records to an iron pin with cap at the Northwest corner of said lands of Hendrickson; thence South 00 degrees 00 minutes 27 seconds East a distance of 270.00 feet along a line common with the lands of said Hendrickson to a steel nail set in the center of Indiana State Road 156 in the North line of the lands of John and Dorothy Keeton, Deed Book 96, page 353 in said records; thence North 89 degrees 59 minutes 45 seconds West a distance of 1152.19 feet along a line common with the lands of said Keeton to a railroad spike set in the center of said Indiana State Road 156 at the Northwest corner of the lands of</w:t>
      </w:r>
    </w:p>
    <w:p>
      <w:pPr>
        <w:spacing w:after="0" w:line="200" w:lineRule="exact"/>
        <w:rPr>
          <w:sz w:val="20"/>
          <w:szCs w:val="20"/>
          <w:color w:val="auto"/>
        </w:rPr>
      </w:pPr>
    </w:p>
    <w:p>
      <w:pPr>
        <w:spacing w:after="0" w:line="249"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Ex. B - 19</w:t>
      </w:r>
    </w:p>
    <w:p>
      <w:pPr>
        <w:sectPr>
          <w:pgSz w:w="11900" w:h="16838" w:orient="portrait"/>
          <w:cols w:equalWidth="0" w:num="1">
            <w:col w:w="10760"/>
          </w:cols>
          <w:pgMar w:left="900" w:top="591" w:right="239" w:bottom="1440" w:gutter="0" w:footer="0" w:header="0"/>
        </w:sectPr>
      </w:pPr>
    </w:p>
    <w:bookmarkStart w:id="69" w:name="page70"/>
    <w:bookmarkEnd w:id="69"/>
    <w:p>
      <w:pPr>
        <w:jc w:val="both"/>
        <w:spacing w:after="0" w:line="290" w:lineRule="auto"/>
        <w:rPr>
          <w:sz w:val="20"/>
          <w:szCs w:val="20"/>
          <w:color w:val="auto"/>
        </w:rPr>
      </w:pPr>
      <w:r>
        <w:rPr>
          <w:rFonts w:ascii="Arial" w:cs="Arial" w:eastAsia="Arial" w:hAnsi="Arial"/>
          <w:sz w:val="19"/>
          <w:szCs w:val="19"/>
          <w:color w:val="auto"/>
        </w:rPr>
        <w:t>said Keeton and in the Eastern line of the lands of Harold and Delores Fletcher, Deed Book 96, page 115 in said records and also in the line common to Tract No. 2 and Tract No. 3 of aforesaid Daniel Vincent Dufour partition; thence North 00 degrees 03 minutes 18 seconds West a distance of 1575.70 feet along a line common with said Tract No. 2 and Tract No. 3 and in part along a common line with the lands of said Fletcher and in part along a line common with the lands of David and Cassandra Hunt, Deed Book 88, page 50, to an iron pin with cap in the North line of aforesaid Section 1; thence North 89 degrees 49 minutes 48 seconds East a distance of 1830.85 feet with the North line of said Section 1 and in part along a common line with the lands of said David and Cassandra Hunt and in part along a common line with the lands of Miles and Betty Hunt, Deed Book 106, page 236, to the Point of Beginning.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Ex. B - 20</w:t>
      </w:r>
    </w:p>
    <w:p>
      <w:pPr>
        <w:sectPr>
          <w:pgSz w:w="11900" w:h="16838" w:orient="portrait"/>
          <w:cols w:equalWidth="0" w:num="1">
            <w:col w:w="10760"/>
          </w:cols>
          <w:pgMar w:left="900" w:top="591"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22"/>
          <w:szCs w:val="22"/>
          <w:b w:val="1"/>
          <w:bCs w:val="1"/>
          <w:u w:val="single" w:color="auto"/>
          <w:color w:val="auto"/>
        </w:rPr>
        <w:t>Ogle Haus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TRACT I:</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A part of Fractional Section 23, Township 2 North, Range 3 West of the First Principal Meridian, located in Jefferson Township of</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Switzerland County, Indiana described as follows:</w:t>
      </w:r>
    </w:p>
    <w:p>
      <w:pPr>
        <w:spacing w:after="0" w:line="202"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Commencing at the Northwest corner of Section 23, Township 2 North, Range 3 West; thence South 910.80 feet (See Deed Record 71, page 154) to a reference point; thence South 33 degrees 07 minutes 02 seconds East 706.20 feet to a railroad spike, found this survey, marking the Northwest corner of the McCae Corporation property (Deed Record 84, page 4); thence North 58 degrees 05 minutes 00 seconds East along the centerline of State Road Number 56 and the Northern line of the McCae tract 363.00 feet to a railroad spike, found this survey, marking the Northeast corner of the McCae tract and being the true point of beginning of this survey; thence North 58 degrees 05 minutes 00 seconds East, continuing along said centerline, 349.20 feet to a p.k. nail set this survey; thence South 31 degrees 52 minutes 19 seconds East, coincident with the West line of the David Hankins property (Deed Record 74, page 107) 791.77 feet to the low water mark (elevation 421.00 feet) of the Ohio River; thence South 54 degrees 49 minutes 22 seconds West with the low water line of said river (being the 421.00 feet in elevation contour line) 331.95 feet; thence North 33 degrees 07 minutes 47 seconds West with the East line of the McCae tract 810.80 feet to the point of beginning, containing 6.261 acres, more or less.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auto"/>
        </w:rPr>
        <w:t>TRACT II:</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 part of the Fractional Section 23, Township 2 North, Range 3 West of the First Principal Meridian located in Jefferson Township of Switzerland County, Indiana, described as follows:</w:t>
      </w:r>
    </w:p>
    <w:p>
      <w:pPr>
        <w:spacing w:after="0" w:line="175"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Commencing at the Northwest corner of Section 23, Township 2 North, Range 3 West; thence South 910.00 feet; thence South 33 degrees 07 minutes 02 seconds East 706.20 feet; thence North 58 degrees 05 minutes 00 seconds East with the centerline of State Road 56, 712.20 feet to a p.k. nail, the point of beginning; thence continuing with said centerline North 58 degrees 05 minutes 00 seconds East 182.10 feet to a nail; thence South 31 degrees 49 minutes 20 seconds East 781.45 feet; thence South 54 degrees 49 minutes 42 seconds West with the low water line of the Ohio River 181.72 feet; thence North 31 degrees 52 minutes 19 seconds West 791.77 feet to the point of beginning, containing 3.2822 acres, more or less.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B - 21</w:t>
      </w:r>
    </w:p>
    <w:p>
      <w:pPr>
        <w:sectPr>
          <w:pgSz w:w="11900" w:h="16838" w:orient="portrait"/>
          <w:cols w:equalWidth="0" w:num="1">
            <w:col w:w="11420"/>
          </w:cols>
          <w:pgMar w:left="240" w:top="585" w:right="239" w:bottom="1440" w:gutter="0" w:footer="0" w:header="0"/>
        </w:sectPr>
      </w:pPr>
    </w:p>
    <w:bookmarkStart w:id="71" w:name="page72"/>
    <w:bookmarkEnd w:id="71"/>
    <w:p>
      <w:pPr>
        <w:jc w:val="center"/>
        <w:ind w:right="-79"/>
        <w:spacing w:after="0"/>
        <w:rPr>
          <w:sz w:val="20"/>
          <w:szCs w:val="20"/>
          <w:color w:val="auto"/>
        </w:rPr>
      </w:pPr>
      <w:r>
        <w:rPr>
          <w:rFonts w:ascii="Arial" w:cs="Arial" w:eastAsia="Arial" w:hAnsi="Arial"/>
          <w:sz w:val="22"/>
          <w:szCs w:val="22"/>
          <w:b w:val="1"/>
          <w:bCs w:val="1"/>
          <w:u w:val="single" w:color="auto"/>
          <w:color w:val="auto"/>
        </w:rPr>
        <w:t>Ameristar Council Bluffs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Parcel 1:</w:t>
      </w:r>
    </w:p>
    <w:p>
      <w:pPr>
        <w:spacing w:after="0" w:line="220" w:lineRule="exact"/>
        <w:rPr>
          <w:sz w:val="20"/>
          <w:szCs w:val="20"/>
          <w:color w:val="auto"/>
        </w:rPr>
      </w:pPr>
    </w:p>
    <w:p>
      <w:pPr>
        <w:ind w:right="20"/>
        <w:spacing w:after="0" w:line="253" w:lineRule="auto"/>
        <w:rPr>
          <w:sz w:val="20"/>
          <w:szCs w:val="20"/>
          <w:color w:val="auto"/>
        </w:rPr>
      </w:pPr>
      <w:r>
        <w:rPr>
          <w:rFonts w:ascii="Arial" w:cs="Arial" w:eastAsia="Arial" w:hAnsi="Arial"/>
          <w:sz w:val="22"/>
          <w:szCs w:val="22"/>
          <w:color w:val="auto"/>
        </w:rPr>
        <w:t>A parcel of land being part of Government Lots 2 and 3 and the adjacent abandoned River Road right of way, all located in Section 4, Township 74N, Range 44W of the 5th P.M., Pottawattamie County, Iowa, in the City of Council Bluffs, Iowa, which is more particularly described as follows:</w:t>
      </w:r>
    </w:p>
    <w:p>
      <w:pPr>
        <w:spacing w:after="0" w:line="186" w:lineRule="exact"/>
        <w:rPr>
          <w:sz w:val="20"/>
          <w:szCs w:val="20"/>
          <w:color w:val="auto"/>
        </w:rPr>
      </w:pPr>
    </w:p>
    <w:p>
      <w:pPr>
        <w:ind w:right="100"/>
        <w:spacing w:after="0" w:line="283" w:lineRule="auto"/>
        <w:rPr>
          <w:sz w:val="20"/>
          <w:szCs w:val="20"/>
          <w:color w:val="auto"/>
        </w:rPr>
      </w:pPr>
      <w:r>
        <w:rPr>
          <w:rFonts w:ascii="Arial" w:cs="Arial" w:eastAsia="Arial" w:hAnsi="Arial"/>
          <w:sz w:val="19"/>
          <w:szCs w:val="19"/>
          <w:color w:val="auto"/>
        </w:rPr>
        <w:t>Commencing at the center of said Section 4, thence N 88°08'15" W 597.51 feet to the point of beginning; thence along a meander of the ordinary high water of the Missouri River on the following four courses: (1) N 13°15'15" W 14.59 feet; (2) N 16°42'15" W 500.00 feet; (3) N 20°17'15" W 51.41 feet; and (4) N 19°50'45" W 159.07 feet; thence N 51°01'40" E 875.20 feet to a point on the Westerly right of way line of the Council Bluffs Levee; thence S 38°58'20" E 581.47 feet to a point on the Westerly right of way line of Interstate Highway 29; thence S 2°34'15" W 30.10 feet, along said highway right of way line; thence Southeasterly, along said highway right of way line, 303.57 feet along a 421.40 foot radius curve to the left; thence S 38°42'15" E 3.30 feet, thence S 36°47'45" E 334.04 feet, along said highway right of way line to a point on the Northerly right of way line of Nebraska Avenue, thence S 53°12'15" W 229.99 feet, along said right of way line of Nebraska Avenue; thence S 36°47'45" E 97.52 feet, along the Westerly right of way line of River Road; thence Southeasterly along said right of way line of River Road, 49.52 feet along a 246.48 foot radius curve to the right; thence S 53°12'15" W 96.07 feet; thence N 88°08'15" W 924.85 feet; thence N 13°15'15" W</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81.06 feet to the point of beginning.</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Parcel 2:</w:t>
      </w:r>
    </w:p>
    <w:p>
      <w:pPr>
        <w:spacing w:after="0" w:line="220" w:lineRule="exact"/>
        <w:rPr>
          <w:sz w:val="20"/>
          <w:szCs w:val="20"/>
          <w:color w:val="auto"/>
        </w:rPr>
      </w:pPr>
    </w:p>
    <w:p>
      <w:pPr>
        <w:ind w:right="20"/>
        <w:spacing w:after="0" w:line="253" w:lineRule="auto"/>
        <w:rPr>
          <w:sz w:val="20"/>
          <w:szCs w:val="20"/>
          <w:color w:val="auto"/>
        </w:rPr>
      </w:pPr>
      <w:r>
        <w:rPr>
          <w:rFonts w:ascii="Arial" w:cs="Arial" w:eastAsia="Arial" w:hAnsi="Arial"/>
          <w:sz w:val="22"/>
          <w:szCs w:val="22"/>
          <w:color w:val="auto"/>
        </w:rPr>
        <w:t>A parcel of land being part of Government Lots 1 and 2 and the adjacent abandoned River Road right of way, all located in Section 4, Township 74N, Range 44W of the 5th P.M., Pottawattamie County, Iowa, in the City of Council Bluffs, which is more particularly described as follows:</w:t>
      </w:r>
    </w:p>
    <w:p>
      <w:pPr>
        <w:spacing w:after="0" w:line="186" w:lineRule="exact"/>
        <w:rPr>
          <w:sz w:val="20"/>
          <w:szCs w:val="20"/>
          <w:color w:val="auto"/>
        </w:rPr>
      </w:pPr>
    </w:p>
    <w:p>
      <w:pPr>
        <w:spacing w:after="0" w:line="294" w:lineRule="auto"/>
        <w:rPr>
          <w:sz w:val="20"/>
          <w:szCs w:val="20"/>
          <w:color w:val="auto"/>
        </w:rPr>
      </w:pPr>
      <w:r>
        <w:rPr>
          <w:rFonts w:ascii="Arial" w:cs="Arial" w:eastAsia="Arial" w:hAnsi="Arial"/>
          <w:sz w:val="19"/>
          <w:szCs w:val="19"/>
          <w:color w:val="auto"/>
        </w:rPr>
        <w:t>Commencing at the center of said Section 4; thence N 88°08'15" W 597.51 feet; thence N 13°15'15" W 14.59 feet; thence N 16°42'15" W 500.00 feet; thence N 20°17'15" W 51.41 feet and N 19°50'45" W 159.07 feet to the point of beginning; thence along a meander of the ordinary high water of the Missouri River on the following four courses: (1) N 19°50'45" W 38.38 feet; (2) N 19°46'50" W 313.67 feet; (3) N 19°03'05" W 160.28 feet; and (4) N 16°25'40" W 92.18 feet; thence N 51°01'40" E 669.57 feet to a point on the Westerly right of way line of the Council Bluffs Levee; thence S 38°58'20" E 568.32 feet along said right of way line of the Council Bluffs Levee; thence S 51°01'40" W 875.20 feet to the point of beginning.</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Parcel 3*:</w:t>
      </w:r>
    </w:p>
    <w:p>
      <w:pPr>
        <w:spacing w:after="0" w:line="220" w:lineRule="exact"/>
        <w:rPr>
          <w:sz w:val="20"/>
          <w:szCs w:val="20"/>
          <w:color w:val="auto"/>
        </w:rPr>
      </w:pPr>
    </w:p>
    <w:p>
      <w:pPr>
        <w:ind w:right="40"/>
        <w:spacing w:after="0" w:line="271" w:lineRule="auto"/>
        <w:rPr>
          <w:sz w:val="20"/>
          <w:szCs w:val="20"/>
          <w:color w:val="auto"/>
        </w:rPr>
      </w:pPr>
      <w:r>
        <w:rPr>
          <w:rFonts w:ascii="Arial" w:cs="Arial" w:eastAsia="Arial" w:hAnsi="Arial"/>
          <w:sz w:val="21"/>
          <w:szCs w:val="21"/>
          <w:color w:val="auto"/>
        </w:rPr>
        <w:t>A parcel of land being part of Government Lots 1 and 2 of Section 4, Township 74N, Range 44W and part of Government Lot 4 of Section 33, Township 75N, Range 44W of the 5th P.M., together with the adjacent abandoned River Road right of way in Pottawattamie County, Iowa, in the City of Council Bluffs, which is more particularly described as follows:</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color w:val="auto"/>
        </w:rPr>
        <w:t>Commencing at the center of said Section 4; thence N 88°08'15" W 597.51 feet; thence N 13°15'15" W 14.59 feet; thence N</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16°42'15" W 500.00 feet; thence N 20°17'15" W 51.41 feet and N 19°50'45" W 197.45 feet; thence N 19°46'50" W 313.67 feet;</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thence N 19°03'05" W 160.28 feet; thence N 16°25'40" W 92.18 feet to the point of beginning; thence along a meander of the</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ordinary high water of the Missouri River on the following twelve courses: (1) N 16°25'40" W 93.61 feet; (2) N 38°23'45" W</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224.70 feet; (3) N 31°52'55" W 268.46 feet; (4) N 22°52'20" W 243.24 feet; (5) N 26°00'40" W 202.96 feet; (6) N 29°52'05" W</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151.72 feet; (7) N 20°36'25" W 194.23 feet; (8) N 36°06'50" W 115.45 feet; (9) N 26°38'05"</w:t>
      </w: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 B - 22</w:t>
      </w:r>
    </w:p>
    <w:p>
      <w:pPr>
        <w:sectPr>
          <w:pgSz w:w="11900" w:h="16838" w:orient="portrait"/>
          <w:cols w:equalWidth="0" w:num="1">
            <w:col w:w="11360"/>
          </w:cols>
          <w:pgMar w:left="240" w:top="585" w:right="299" w:bottom="1440" w:gutter="0" w:footer="0" w:header="0"/>
        </w:sectPr>
      </w:pPr>
    </w:p>
    <w:bookmarkStart w:id="72" w:name="page73"/>
    <w:bookmarkEnd w:id="72"/>
    <w:p>
      <w:pPr>
        <w:spacing w:after="0" w:line="248" w:lineRule="auto"/>
        <w:rPr>
          <w:sz w:val="20"/>
          <w:szCs w:val="20"/>
          <w:color w:val="auto"/>
        </w:rPr>
      </w:pPr>
      <w:r>
        <w:rPr>
          <w:rFonts w:ascii="Arial" w:cs="Arial" w:eastAsia="Arial" w:hAnsi="Arial"/>
          <w:sz w:val="22"/>
          <w:szCs w:val="22"/>
          <w:color w:val="auto"/>
        </w:rPr>
        <w:t>W 361.38 feet; (10) N 32°21'55" W 101.05 feet; (11) N 33°55'20" W 116.33 feet and (12) N 28°38'30" W 102.35 feet; thence along the Southerly right of way of the Union Pacific Railroad N 89°10'35" E 383.85 feet to a point on the Westerly right of way line of the Council Bluffs Levee; thence Southeasterly, along said levee right of way line, 168.33 feet along a 562.47 feet radius curve to the left; thence S 38°58'20" E 1725.54 feet along said levee right of way line; thence S 51°01'40" W 669.57 feet to the point of beginning.</w:t>
      </w:r>
    </w:p>
    <w:p>
      <w:pPr>
        <w:spacing w:after="0" w:line="192" w:lineRule="exact"/>
        <w:rPr>
          <w:sz w:val="20"/>
          <w:szCs w:val="20"/>
          <w:color w:val="auto"/>
        </w:rPr>
      </w:pPr>
    </w:p>
    <w:p>
      <w:pPr>
        <w:ind w:right="300"/>
        <w:spacing w:after="0" w:line="263" w:lineRule="auto"/>
        <w:rPr>
          <w:sz w:val="20"/>
          <w:szCs w:val="20"/>
          <w:color w:val="auto"/>
        </w:rPr>
      </w:pPr>
      <w:r>
        <w:rPr>
          <w:rFonts w:ascii="Arial" w:cs="Arial" w:eastAsia="Arial" w:hAnsi="Arial"/>
          <w:sz w:val="22"/>
          <w:szCs w:val="22"/>
          <w:color w:val="auto"/>
        </w:rPr>
        <w:t>EXCEPTING from the above described Parcels 1, 2 and 3, that portion of River Road described in that certain Vacation and Re-Dedication filed in Book 78 at Page 24442 in the records of Pottawattamie County, Iowa.</w:t>
      </w:r>
    </w:p>
    <w:p>
      <w:pPr>
        <w:spacing w:after="0" w:line="175" w:lineRule="exact"/>
        <w:rPr>
          <w:sz w:val="20"/>
          <w:szCs w:val="20"/>
          <w:color w:val="auto"/>
        </w:rPr>
      </w:pPr>
    </w:p>
    <w:p>
      <w:pPr>
        <w:ind w:right="380" w:firstLine="8"/>
        <w:spacing w:after="0" w:line="271" w:lineRule="auto"/>
        <w:tabs>
          <w:tab w:leader="none" w:pos="162" w:val="left"/>
        </w:tabs>
        <w:numPr>
          <w:ilvl w:val="0"/>
          <w:numId w:val="25"/>
        </w:numPr>
        <w:rPr>
          <w:rFonts w:ascii="Arial" w:cs="Arial" w:eastAsia="Arial" w:hAnsi="Arial"/>
          <w:sz w:val="21"/>
          <w:szCs w:val="21"/>
          <w:color w:val="auto"/>
        </w:rPr>
      </w:pPr>
      <w:r>
        <w:rPr>
          <w:rFonts w:ascii="Arial" w:cs="Arial" w:eastAsia="Arial" w:hAnsi="Arial"/>
          <w:sz w:val="21"/>
          <w:szCs w:val="21"/>
          <w:color w:val="auto"/>
        </w:rPr>
        <w:t>Grantor's interest in Parcel 3 is derived as successor in interest to the Settlement, Use, and Management Agreement and DNR Permit by and between Koch Fuels, Inc., a Delaware corporation, and the State of Iowa, acting by and through the Iowa Department of Natural Resources, recorded August 1, 1995 in Book 96 at Page 2942.</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Parcel 4:</w:t>
      </w:r>
    </w:p>
    <w:p>
      <w:pPr>
        <w:spacing w:after="0" w:line="220" w:lineRule="exact"/>
        <w:rPr>
          <w:sz w:val="20"/>
          <w:szCs w:val="20"/>
          <w:color w:val="auto"/>
        </w:rPr>
      </w:pPr>
    </w:p>
    <w:p>
      <w:pPr>
        <w:ind w:right="40"/>
        <w:spacing w:after="0" w:line="288" w:lineRule="auto"/>
        <w:rPr>
          <w:sz w:val="20"/>
          <w:szCs w:val="20"/>
          <w:color w:val="auto"/>
        </w:rPr>
      </w:pPr>
      <w:r>
        <w:rPr>
          <w:rFonts w:ascii="Arial" w:cs="Arial" w:eastAsia="Arial" w:hAnsi="Arial"/>
          <w:sz w:val="19"/>
          <w:szCs w:val="19"/>
          <w:color w:val="auto"/>
        </w:rPr>
        <w:t>A part of Government Lot 3, Section 4, Township 74 North, Range 44, West of the Fifth P.M., Pottawattamie County, Iowa, in the City of Council Bluffs, which is more particularly described as follows: Commencing at the East Quarter corner of said Section 4, which is the Northeast corner of said Government Lot 3; thence along the North line of said Government Lot 3, North 88 degrees 8 minutes 15 seconds West, 2663.40 feet to the center of said Section 4; thence South 00 degrees 41 minutes 45 seconds West, 78.27 feet to a point of beginning; thence North 88 degrees 8 minutes 15 seconds West, 579.30 feet to the ordinary high water line of the Missouri River as established by the toe of a river control paving structure; thence along said ordinary high water line South 13 degrees 27 minutes 10 seconds East, 405.25 feet to U.S. Corps of Engineers Control Structure Station 15+00; thence continuing along said ordinary high water line South 10 degrees 53 minutes 45 seconds East, 60.43 feet to the northerly line of land owned by the Peavey Elevator Company; thence along said line South 88 degrees 8 minutes 15 seconds East, 868.08 feet; thence North 00 degrees 41 minutes 45 seconds East, 450.00 feet; thence North 88 degrees 8 minutes 15 seconds West, 400.00 feet to the point of beginning. The East line of said Government Lot 3 is assumed to bear North-South.</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 B - 23</w:t>
      </w:r>
    </w:p>
    <w:p>
      <w:pPr>
        <w:sectPr>
          <w:pgSz w:w="11900" w:h="16838" w:orient="portrait"/>
          <w:cols w:equalWidth="0" w:num="1">
            <w:col w:w="11400"/>
          </w:cols>
          <w:pgMar w:left="240" w:top="591" w:right="25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22"/>
          <w:szCs w:val="22"/>
          <w:b w:val="1"/>
          <w:bCs w:val="1"/>
          <w:u w:val="single" w:color="auto"/>
          <w:color w:val="auto"/>
        </w:rPr>
        <w:t>L’Auberge Baton Rouge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TRACT “A-2-A”</w:t>
      </w:r>
    </w:p>
    <w:p>
      <w:pPr>
        <w:spacing w:after="0" w:line="28" w:lineRule="exact"/>
        <w:rPr>
          <w:sz w:val="20"/>
          <w:szCs w:val="20"/>
          <w:color w:val="auto"/>
        </w:rPr>
      </w:pPr>
    </w:p>
    <w:p>
      <w:pPr>
        <w:spacing w:after="0" w:line="257" w:lineRule="auto"/>
        <w:rPr>
          <w:sz w:val="20"/>
          <w:szCs w:val="20"/>
          <w:color w:val="auto"/>
        </w:rPr>
      </w:pPr>
      <w:r>
        <w:rPr>
          <w:rFonts w:ascii="Arial" w:cs="Arial" w:eastAsia="Arial" w:hAnsi="Arial"/>
          <w:sz w:val="21"/>
          <w:szCs w:val="21"/>
          <w:color w:val="auto"/>
        </w:rPr>
        <w:t>A parcel of land containing 99 acres, more or less, known as Tract A-2-A, lying within Sections 40, 41, 77 &amp; 78, Township 8 South, Range 1 East, Greensburg Land District, East Baton Rouge Parish, Louisiana, as per the record map showing "PNK (Baton Rouge) Partnership Subdivision, Exchange of Property between Tract ‘A-2’ and Lot ‘F ‘ into Tracts ‘A-2-A’ and ‘A-2-B’ located in Sections 40, 41, 43, 44, 77 &amp; 78, T-8-S, R-1-E, Greensburg Land District, East Baton Rouge Parish, Louisiana, for PNK (Baton Rouge) Partnership”, by Stantec Consulting Services, Inc., signed by Sam M. Holladay, III, PLS No. 4760 on November 30, 2015 and recorded in Original 567, Bundle 12709 of the Office of the Clerk and Recorder on February 1, 2016 of said Parish, being more particularly described as follows:</w:t>
      </w:r>
    </w:p>
    <w:p>
      <w:pPr>
        <w:spacing w:after="0" w:line="178" w:lineRule="exact"/>
        <w:rPr>
          <w:sz w:val="20"/>
          <w:szCs w:val="20"/>
          <w:color w:val="auto"/>
        </w:rPr>
      </w:pPr>
    </w:p>
    <w:p>
      <w:pPr>
        <w:ind w:right="40"/>
        <w:spacing w:after="0" w:line="284" w:lineRule="auto"/>
        <w:rPr>
          <w:sz w:val="20"/>
          <w:szCs w:val="20"/>
          <w:color w:val="auto"/>
        </w:rPr>
      </w:pPr>
      <w:r>
        <w:rPr>
          <w:rFonts w:ascii="Arial" w:cs="Arial" w:eastAsia="Arial" w:hAnsi="Arial"/>
          <w:sz w:val="19"/>
          <w:szCs w:val="19"/>
          <w:b w:val="1"/>
          <w:bCs w:val="1"/>
          <w:color w:val="auto"/>
        </w:rPr>
        <w:t xml:space="preserve">BEGIN </w:t>
      </w:r>
      <w:r>
        <w:rPr>
          <w:rFonts w:ascii="Arial" w:cs="Arial" w:eastAsia="Arial" w:hAnsi="Arial"/>
          <w:sz w:val="19"/>
          <w:szCs w:val="19"/>
          <w:color w:val="auto"/>
        </w:rPr>
        <w:t>at the most Northwesterly corner of Tract "A-2-A" of the aforesaid record map, said point lying on the northerly right of</w:t>
      </w:r>
      <w:r>
        <w:rPr>
          <w:rFonts w:ascii="Arial" w:cs="Arial" w:eastAsia="Arial" w:hAnsi="Arial"/>
          <w:sz w:val="19"/>
          <w:szCs w:val="19"/>
          <w:b w:val="1"/>
          <w:bCs w:val="1"/>
          <w:color w:val="auto"/>
        </w:rPr>
        <w:t xml:space="preserve"> </w:t>
      </w:r>
      <w:r>
        <w:rPr>
          <w:rFonts w:ascii="Arial" w:cs="Arial" w:eastAsia="Arial" w:hAnsi="Arial"/>
          <w:sz w:val="19"/>
          <w:szCs w:val="19"/>
          <w:color w:val="auto"/>
        </w:rPr>
        <w:t>way line of River Road (La Hwy 327, 80’ R/W); thence go South 66 degrees 55 minutes 15 seconds East a distance of 671.79 feet; thence go South 66 degrees 58 minutes 10 seconds East a distance of 206.38 feet; thence go along the arc of a non-tangent curve to the left, having a radius of 727.00 feet, (Delta Angle = 04 degrees 26 minutes 48 seconds , Chord Bearing = North 85 degrees 34 minutes 12 seconds East, Chord Distance = 56.41 feet) for an arc length of 56.42 feet to a point of compound curvature; thence go along the arc of a compound curve to the left, having a radius of 440.00 feet, (Delta Angle = 16 degrees 50 minutes 51 seconds, Chord Bearing = North 74 degrees 55 minutes 23 seconds East, Chord Distance = 128.91 feet) for an arc length of 129.38 feet to the point of tangency; thence go North 66 degrees 29 minutes 57 seconds East a distance of 85.86 feet to a point of curvature; thence go along the arc of a tangent curve to the right, having a radius of 68.64 feet, (Delta Angle = 84 degrees 46 minutes 29 seconds , Chord Bearing = South 71 degrees 06 minutes 48 seconds East, Chord Distance = 92.55 feet) for an arc length of 101.56 feet to a point of compound curvature; thence go along the arc of a compound curve to the right, having a radius of 375.00 feet, (Delta Angle = 14 degrees 25 minutes 09 seconds , Chord Bearing = South 21 degrees 30 minutes 59 seconds East, Chord Distance</w:t>
      </w:r>
    </w:p>
    <w:p>
      <w:pPr>
        <w:spacing w:after="0" w:line="1" w:lineRule="exact"/>
        <w:rPr>
          <w:sz w:val="20"/>
          <w:szCs w:val="20"/>
          <w:color w:val="auto"/>
        </w:rPr>
      </w:pPr>
    </w:p>
    <w:p>
      <w:pPr>
        <w:ind w:right="20" w:firstLine="8"/>
        <w:spacing w:after="0" w:line="284" w:lineRule="auto"/>
        <w:tabs>
          <w:tab w:leader="none" w:pos="176" w:val="left"/>
        </w:tabs>
        <w:numPr>
          <w:ilvl w:val="0"/>
          <w:numId w:val="26"/>
        </w:numPr>
        <w:rPr>
          <w:rFonts w:ascii="Arial" w:cs="Arial" w:eastAsia="Arial" w:hAnsi="Arial"/>
          <w:sz w:val="19"/>
          <w:szCs w:val="19"/>
          <w:color w:val="auto"/>
        </w:rPr>
      </w:pPr>
      <w:r>
        <w:rPr>
          <w:rFonts w:ascii="Arial" w:cs="Arial" w:eastAsia="Arial" w:hAnsi="Arial"/>
          <w:sz w:val="19"/>
          <w:szCs w:val="19"/>
          <w:color w:val="auto"/>
        </w:rPr>
        <w:t>94.12 feet), for an arc length of 94.37 feet; thence go South 14 degrees 18 minutes 24 seconds East a distance of 36.69 feet to a point of curvature; thence go along the arc of a curve to the left having a radius of 837.00 feet (Delta Angle = 00 degrees 24 minutes 43 seconds, Chord Bearing = South 14 degrees 30 minutes 46 seconds east, Chord Distance = 6.02 feet) for an arc length of 6.02 feet; thence go North 75 degrees 16 minutes 53 seconds East a distance of 74.00 feet; thence go along the arc of a curve to the right having a radius of 763.00 feet (Delta Angle = 00 degrees 24 minutes 43 seconds, Chord Bearing = North 14 degrees 30 minutes 46 seconds West, Chord Distance = 5.49 feet) for an arc length of 5.49 feet to a point of tangency; thence go North 14 degrees 18 minutes 24 seconds West a distance of 24.84 feet to a point of curvature; thence go along the arc of a tangent curve to the right, having a radius of 125.00 feet, (Delta Angle = 36 degrees 10 minutes 28 seconds, Chord Bearing = North 03 degrees 46 minutes 50 seconds East, Chord Distance = 77.62 feet, for an arc length of 78.92 feet; thence go North 49 degrees 46 minutes 33 seconds East a distance of 193.21 feet; thence go North 73 degrees 08 minutes 13 seconds East a distance of 131.60 feet to a point of curvature; thence go along the arc of a tangent curve to the right, having a radius of 1130.00 feet, (Delta Angle = 49 degrees 28 minutes 40 seconds , Chord Bearing = South 82 degrees 07 minutes 26 seconds East, Chord Distance = 945.77 feet) for an arc length of 975.81 feet to the point of tangency; thence go South 57 degrees 23 minutes 06 seconds East a distance of 207.16 feet; thence go along the arc of a non-tangent curve to the right, having a radius of 380.00 feet, (Delta Angle = 32 degrees 40 minutes 54 seconds, Chord Bearing = South 05 degrees 04 minutes 41 seconds West, Chord Distance = 213.83 feet) for an arc length of 216.75 feet; thence go South 68 degrees 34 minutes 52 seconds East a distance of 100.00 feet; thence go along the arc of a non-tangent curve to the left, having a radius of 550.50 feet, (Delta Angle = 06 degrees 33 minutes 50 seconds, Chord Bearing = North 18 degrees 08 minutes 14 seconds East, Chord Distance = 63.03 feet) for an arc length of 63.06</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 B - 24</w:t>
      </w:r>
    </w:p>
    <w:p>
      <w:pPr>
        <w:sectPr>
          <w:pgSz w:w="11900" w:h="16838" w:orient="portrait"/>
          <w:cols w:equalWidth="0" w:num="1">
            <w:col w:w="11400"/>
          </w:cols>
          <w:pgMar w:left="240" w:top="585" w:right="259" w:bottom="1440" w:gutter="0" w:footer="0" w:header="0"/>
        </w:sectPr>
      </w:pPr>
    </w:p>
    <w:bookmarkStart w:id="74" w:name="page75"/>
    <w:bookmarkEnd w:id="74"/>
    <w:p>
      <w:pPr>
        <w:spacing w:after="0" w:line="284" w:lineRule="auto"/>
        <w:rPr>
          <w:sz w:val="20"/>
          <w:szCs w:val="20"/>
          <w:color w:val="auto"/>
        </w:rPr>
      </w:pPr>
      <w:r>
        <w:rPr>
          <w:rFonts w:ascii="Arial" w:cs="Arial" w:eastAsia="Arial" w:hAnsi="Arial"/>
          <w:sz w:val="19"/>
          <w:szCs w:val="19"/>
          <w:color w:val="auto"/>
        </w:rPr>
        <w:t xml:space="preserve">feet to a point of reverse curvature; thence go along the arc of a reverse curve to the right, having a radius of 67.50 feet, (Delta Angle = 81 degrees 47 minutes 08 seconds, Chord Bearing = North 55 degrees 44 minutes 53 seconds East, Chord Distance = 88.38 feet) for an arc length of 96.35 feet to the point of tangency; thence go South 83 degrees 21 minutes 33 seconds East a distance of 86.69 feet; thence go South 60 degrees 48 minutes 03 seconds East a distance of 193.02 feet to a point of curvature; thence go along the arc of a tangent curve to the right, having a radius of 1130.00 feet, (Delta Angle = 27 degrees 46 minutes 00 seconds , Chord Bearing = South 46 degrees 55 minutes 03 seconds East, Chord Distance = 542.28 feet) for an arc length of 547.62 feet to the point of tangency; thence go South 33 degrees 02 minutes 03 seconds East a distance of 116.11 feet to a point of curvature; thence go along the arc of a tangent curve to the left, having a radius of 2070.00 feet, (Delta Angle = 11 degrees 27 minutes 33 seconds, Chord Bearing = South 38 degrees 45 minutes 50 seconds East, Chord Distance = 413.31 feet) for an arc length of 414.00 feet to the point of tangency; thence go South 44 degrees 29 minutes 36 seconds East a distance of 145.61 feet to point of curvature; thence go along the arc of a tangent curve to the right, having a radius of 50.00 feet, (Delta Angle = 63 degrees 31 minutes 25 seconds, Chord Bearing = South 12 degrees 43 minutes 55 seconds East, Chord Distance = 52.64 feet) for an arc length of 55.43 feet to a point of reverse curvature; thence go along the arc of a reverse curve to the left, having a radius of 145.00 feet, (Delta Angle = 23 degrees 57 minutes 43 seconds, Chord Bearing = South 07 degrees 02 minutes 56 seconds West, Chord Distance = 60.20 feet) for an arc length of 60.64 feet to a point of reverse curvature; thence go along the arc of a reverse curve to the right, having a radius of 75.00 feet, (Delta Angle = 44 degrees 48 minutes 02 seconds , Chord Bearing = South 17 degrees 28 minutes 05 seconds West, Chord Distance = 57.16 feet) for an arc length of 58.64 feet to the point of tangency; thence go South 39 degrees 52 minutes 07 seconds West a distance of 57.76 feet to a point of curvature; thence go along the arc of a tangent curve to the right, having a radius of 275.00 feet, (Delta Angle = 07 degrees 58 minutes 09 seconds , Chord Bearing = South 43 degrees 51 minutes 11 seconds West, Chord Distance = 38.22 feet) for an arc length of 38.25 feet; thence go South 42 degrees 09 minutes 44 seconds East a distance of 20.16 feet to the Southeasterly line of Section 41, Township 8 South, Range 1 East, Greensburg Land District, East Baton Rouge Parish, Louisiana ; thence go South 52 degrees 52 minutes 00 seconds West along the aforesaid Southeasterly section line a distance of 1108 feet, more or less to the mean-low water line of the Mississippi River; thence meander northwesterly along the aforesaid mean-low water line a distance of 3565 feet, more or less to the intersection of the aforesaid mean-low water line and a line, passed through the Point of Beginning, having a bearing of South 14 degrees 03 minutes 51 seconds West; thence, departing the aforesaid mean-low water line go North 14 degrees 03 minutes 51 seconds East a distance of 863 feet, more or less to the </w:t>
      </w:r>
      <w:r>
        <w:rPr>
          <w:rFonts w:ascii="Arial" w:cs="Arial" w:eastAsia="Arial" w:hAnsi="Arial"/>
          <w:sz w:val="19"/>
          <w:szCs w:val="19"/>
          <w:b w:val="1"/>
          <w:bCs w:val="1"/>
          <w:color w:val="auto"/>
        </w:rPr>
        <w:t>POINT OF BEGINNING</w:t>
      </w:r>
      <w:r>
        <w:rPr>
          <w:rFonts w:ascii="Arial" w:cs="Arial" w:eastAsia="Arial" w:hAnsi="Arial"/>
          <w:sz w:val="19"/>
          <w:szCs w:val="19"/>
          <w:color w:val="auto"/>
        </w:rPr>
        <w: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LESS AND EXCEPT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TRACT “A-3”</w:t>
      </w:r>
    </w:p>
    <w:p>
      <w:pPr>
        <w:spacing w:after="0" w:line="226" w:lineRule="exact"/>
        <w:rPr>
          <w:sz w:val="20"/>
          <w:szCs w:val="20"/>
          <w:color w:val="auto"/>
        </w:rPr>
      </w:pPr>
    </w:p>
    <w:p>
      <w:pPr>
        <w:ind w:right="60"/>
        <w:spacing w:after="0" w:line="247" w:lineRule="auto"/>
        <w:rPr>
          <w:sz w:val="20"/>
          <w:szCs w:val="20"/>
          <w:color w:val="auto"/>
        </w:rPr>
      </w:pPr>
      <w:r>
        <w:rPr>
          <w:rFonts w:ascii="Arial" w:cs="Arial" w:eastAsia="Arial" w:hAnsi="Arial"/>
          <w:sz w:val="22"/>
          <w:szCs w:val="22"/>
          <w:color w:val="auto"/>
        </w:rPr>
        <w:t>A 0.145 acre parcel of land designated as Tract “A-3” the record map showing "PNK (Baton Rouge) Partnership Subdivision, Exchange of Property between Tract ‘A-2’ and Lot ‘F ‘ into Tracts ‘A-2-A’ and ‘A-2-B’ located in Sections 40, 41, 43, 44, 77 &amp; 78, T-8-S, R-1-E, Greensburg Land District, East Baton Rouge Parish, Louisiana, for PNK (Baton Rouge) Partnership”, by Stantec Consulting Services, Inc., signed by Sam M. Holladay, III, PLS No. 4760 on November 30, 2015 and recorded in Original 567, Bundle 12709 of the Office of the Clerk and Recorder on February 1, 2016 of said Parish, being more particularly described as follows:</w:t>
      </w:r>
    </w:p>
    <w:p>
      <w:pPr>
        <w:spacing w:after="0" w:line="188" w:lineRule="exact"/>
        <w:rPr>
          <w:sz w:val="20"/>
          <w:szCs w:val="20"/>
          <w:color w:val="auto"/>
        </w:rPr>
      </w:pPr>
    </w:p>
    <w:p>
      <w:pPr>
        <w:spacing w:after="0" w:line="252" w:lineRule="auto"/>
        <w:rPr>
          <w:sz w:val="20"/>
          <w:szCs w:val="20"/>
          <w:color w:val="auto"/>
        </w:rPr>
      </w:pPr>
      <w:r>
        <w:rPr>
          <w:rFonts w:ascii="Arial" w:cs="Arial" w:eastAsia="Arial" w:hAnsi="Arial"/>
          <w:sz w:val="22"/>
          <w:szCs w:val="22"/>
          <w:b w:val="1"/>
          <w:bCs w:val="1"/>
          <w:color w:val="auto"/>
        </w:rPr>
        <w:t xml:space="preserve">COMMENCE </w:t>
      </w:r>
      <w:r>
        <w:rPr>
          <w:rFonts w:ascii="Arial" w:cs="Arial" w:eastAsia="Arial" w:hAnsi="Arial"/>
          <w:sz w:val="22"/>
          <w:szCs w:val="22"/>
          <w:color w:val="auto"/>
        </w:rPr>
        <w:t>at an iron rod on the south side of the intersection of L’Auberge Crossing Drive and River Road (La Hwy 327)</w:t>
      </w:r>
      <w:r>
        <w:rPr>
          <w:rFonts w:ascii="Arial" w:cs="Arial" w:eastAsia="Arial" w:hAnsi="Arial"/>
          <w:sz w:val="22"/>
          <w:szCs w:val="22"/>
          <w:b w:val="1"/>
          <w:bCs w:val="1"/>
          <w:color w:val="auto"/>
        </w:rPr>
        <w:t xml:space="preserve"> </w:t>
      </w:r>
      <w:r>
        <w:rPr>
          <w:rFonts w:ascii="Arial" w:cs="Arial" w:eastAsia="Arial" w:hAnsi="Arial"/>
          <w:sz w:val="22"/>
          <w:szCs w:val="22"/>
          <w:color w:val="auto"/>
        </w:rPr>
        <w:t>where the line common to Sections 41 &amp; 43, Township 8 South, Range 1 East, Greensburg Land District, East Baton Rouge Parish, Louisiana, intersects the southern- most existing right of way of L’Auberge Crossing Drive; thence go North 42 degrees 09 minutes 44 seconds West along the</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 B - 25</w:t>
      </w:r>
    </w:p>
    <w:p>
      <w:pPr>
        <w:sectPr>
          <w:pgSz w:w="11900" w:h="16838" w:orient="portrait"/>
          <w:cols w:equalWidth="0" w:num="1">
            <w:col w:w="11380"/>
          </w:cols>
          <w:pgMar w:left="240" w:top="591" w:right="279" w:bottom="1440" w:gutter="0" w:footer="0" w:header="0"/>
        </w:sectPr>
      </w:pPr>
    </w:p>
    <w:bookmarkStart w:id="75" w:name="page76"/>
    <w:bookmarkEnd w:id="75"/>
    <w:p>
      <w:pPr>
        <w:ind w:right="20"/>
        <w:spacing w:after="0" w:line="284" w:lineRule="auto"/>
        <w:rPr>
          <w:sz w:val="20"/>
          <w:szCs w:val="20"/>
          <w:color w:val="auto"/>
        </w:rPr>
      </w:pPr>
      <w:r>
        <w:rPr>
          <w:rFonts w:ascii="Arial" w:cs="Arial" w:eastAsia="Arial" w:hAnsi="Arial"/>
          <w:sz w:val="19"/>
          <w:szCs w:val="19"/>
          <w:color w:val="auto"/>
        </w:rPr>
        <w:t>aforesaid southern- most existing right of way of L’Auberge Crossing Drive a distance of 10.16 feet to the westerly right of way line of L’Auberge Crossing Drive (now 30’ private R/W); thence, for the following six courses along the aforesaid private right of way line, go along the arc of a curve to the right having a radius of 285.00 feet (Delta Angle = 04 degrees 51 minutes 11 seconds, Chord Bearing = South 50 degrees 15 minutes 52 seconds West, Chord distance = 24.13 feet) for an arc length of 24.14 feet to the point of tangency; thence go South 52 degrees 41 minutes 27 seconds West a distance of 47.37 feet to a point of curvature; thence go along the arc of a curve to the right having a radius of 70.00 feet (Delta Angle = 76 degrees 33 minutes 41 seconds, Chord Bearing = North 89 degrees 01 minutes 42 seconds West, Chord Distance = 86.73 feet) for an arc length of 93.54 feet to the point of tangency; thence go North 50 degrees 44 minutes 51 seconds West a distance of 58.25 feet to a point of curvature; thence go along the arc of a curve to the left having a radius of 1515.00 feet (Delta Angle = 11 degrees 12 minutes 35 seconds, Chord Bearing</w:t>
      </w:r>
    </w:p>
    <w:p>
      <w:pPr>
        <w:ind w:right="20" w:firstLine="8"/>
        <w:spacing w:after="0" w:line="258" w:lineRule="auto"/>
        <w:tabs>
          <w:tab w:leader="none" w:pos="176" w:val="left"/>
        </w:tabs>
        <w:numPr>
          <w:ilvl w:val="0"/>
          <w:numId w:val="27"/>
        </w:numPr>
        <w:rPr>
          <w:rFonts w:ascii="Arial" w:cs="Arial" w:eastAsia="Arial" w:hAnsi="Arial"/>
          <w:sz w:val="21"/>
          <w:szCs w:val="21"/>
          <w:color w:val="auto"/>
        </w:rPr>
      </w:pPr>
      <w:r>
        <w:rPr>
          <w:rFonts w:ascii="Arial" w:cs="Arial" w:eastAsia="Arial" w:hAnsi="Arial"/>
          <w:sz w:val="21"/>
          <w:szCs w:val="21"/>
          <w:color w:val="auto"/>
        </w:rPr>
        <w:t xml:space="preserve">North 56 degrees 21 minutes 09 seconds West, Chord Distance = 295.93 feet ) for an arc length of 296.40 feet to the point of tangency; thence go North 61 degrees 57 minutes 26 seconds West a distance of 48.83 feet to the </w:t>
      </w:r>
      <w:r>
        <w:rPr>
          <w:rFonts w:ascii="Arial" w:cs="Arial" w:eastAsia="Arial" w:hAnsi="Arial"/>
          <w:sz w:val="21"/>
          <w:szCs w:val="21"/>
          <w:b w:val="1"/>
          <w:bCs w:val="1"/>
          <w:color w:val="auto"/>
        </w:rPr>
        <w:t>POINT OF BEGINNING</w:t>
      </w:r>
      <w:r>
        <w:rPr>
          <w:rFonts w:ascii="Arial" w:cs="Arial" w:eastAsia="Arial" w:hAnsi="Arial"/>
          <w:sz w:val="21"/>
          <w:szCs w:val="21"/>
          <w:color w:val="auto"/>
        </w:rPr>
        <w:t xml:space="preserve">; thence continue North 61 degrees 57 minutes 26 seconds west along the aforesaid private right of way line a distance of 63.00 feet; thence, departing the aforesaid private right of way line, go North 28 degrees 02 minutes 34 seconds East a distance of 100.00 feet; thence go South 61 degrees 57 minutes 26 seconds East a distance of 63.00 feet; thence go South 28 degrees 02 minutes 34 seconds West a distance of 100.00 feet to the </w:t>
      </w:r>
      <w:r>
        <w:rPr>
          <w:rFonts w:ascii="Arial" w:cs="Arial" w:eastAsia="Arial" w:hAnsi="Arial"/>
          <w:sz w:val="21"/>
          <w:szCs w:val="21"/>
          <w:b w:val="1"/>
          <w:bCs w:val="1"/>
          <w:color w:val="auto"/>
        </w:rPr>
        <w:t>POINT OF BEGINNING.</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TRACT “A-3”</w:t>
      </w:r>
    </w:p>
    <w:p>
      <w:pPr>
        <w:spacing w:after="0" w:line="226" w:lineRule="exact"/>
        <w:rPr>
          <w:sz w:val="20"/>
          <w:szCs w:val="20"/>
          <w:color w:val="auto"/>
        </w:rPr>
      </w:pPr>
    </w:p>
    <w:p>
      <w:pPr>
        <w:ind w:right="100"/>
        <w:spacing w:after="0" w:line="247" w:lineRule="auto"/>
        <w:rPr>
          <w:sz w:val="20"/>
          <w:szCs w:val="20"/>
          <w:color w:val="auto"/>
        </w:rPr>
      </w:pPr>
      <w:r>
        <w:rPr>
          <w:rFonts w:ascii="Arial" w:cs="Arial" w:eastAsia="Arial" w:hAnsi="Arial"/>
          <w:sz w:val="22"/>
          <w:szCs w:val="22"/>
          <w:color w:val="auto"/>
        </w:rPr>
        <w:t>A 0.145 acre parcel of land designated as Tract “A-3” the record map showing "PNK (Baton Rouge) Partnership Subdivision, Exchange of Property between Tract ‘A-2’ and Lot ‘F ‘ into Tracts ‘A-2-A’ and ‘A-2-B’ located in Sections 40, 41, 43, 44, 77 &amp; 78, T-8-S, R-1-E, Greensburg Land District, East Baton Rouge Parish, Louisiana, for PNK (Baton Rouge) Partnership”, by Stantec Consulting Services, Inc., signed by Sam M. Holladay, III, PLS No. 4760 on November 30, 2015 and recorded in Original 567, Bundle 12709 of the Office of the Clerk and Recorder on February 1, 2016 of said Parish, being more particularly described as follows:</w:t>
      </w:r>
    </w:p>
    <w:p>
      <w:pPr>
        <w:spacing w:after="0" w:line="188" w:lineRule="exact"/>
        <w:rPr>
          <w:sz w:val="20"/>
          <w:szCs w:val="20"/>
          <w:color w:val="auto"/>
        </w:rPr>
      </w:pPr>
    </w:p>
    <w:p>
      <w:pPr>
        <w:ind w:right="20"/>
        <w:spacing w:after="0" w:line="283" w:lineRule="auto"/>
        <w:rPr>
          <w:sz w:val="20"/>
          <w:szCs w:val="20"/>
          <w:color w:val="auto"/>
        </w:rPr>
      </w:pPr>
      <w:r>
        <w:rPr>
          <w:rFonts w:ascii="Arial" w:cs="Arial" w:eastAsia="Arial" w:hAnsi="Arial"/>
          <w:sz w:val="19"/>
          <w:szCs w:val="19"/>
          <w:b w:val="1"/>
          <w:bCs w:val="1"/>
          <w:color w:val="auto"/>
        </w:rPr>
        <w:t xml:space="preserve">COMMENCE </w:t>
      </w:r>
      <w:r>
        <w:rPr>
          <w:rFonts w:ascii="Arial" w:cs="Arial" w:eastAsia="Arial" w:hAnsi="Arial"/>
          <w:sz w:val="19"/>
          <w:szCs w:val="19"/>
          <w:color w:val="auto"/>
        </w:rPr>
        <w:t>at an iron rod on the south side of the intersection of L’Auberge Crossing Drive and River Road (La Hwy 327)</w:t>
      </w:r>
      <w:r>
        <w:rPr>
          <w:rFonts w:ascii="Arial" w:cs="Arial" w:eastAsia="Arial" w:hAnsi="Arial"/>
          <w:sz w:val="19"/>
          <w:szCs w:val="19"/>
          <w:b w:val="1"/>
          <w:bCs w:val="1"/>
          <w:color w:val="auto"/>
        </w:rPr>
        <w:t xml:space="preserve"> </w:t>
      </w:r>
      <w:r>
        <w:rPr>
          <w:rFonts w:ascii="Arial" w:cs="Arial" w:eastAsia="Arial" w:hAnsi="Arial"/>
          <w:sz w:val="19"/>
          <w:szCs w:val="19"/>
          <w:color w:val="auto"/>
        </w:rPr>
        <w:t>where the line common to Sections 41 &amp; 43, Township 8 South, Range 1 East, Greensburg Land District, East Baton Rouge Parish, Louisiana, intersects the southern- most existing right of way of L’Auberge Crossing Drive; thence go North 42 degrees 09 minutes 44 seconds West along the aforesaid southern- most existing right of way of L’Auberge Crossing Drive a distance of 10.16 feet to the westerly right of way line of L’Auberge Crossing Drive (now 30’ private R/W); thence, for the following six courses along the aforesaid private right of way line, go along the arc of a curve to the right having a radius of 285.00 feet (Delta Angle = 04 degrees 51 minutes 11 seconds, Chord Bearing = South 50 degrees 15 minutes 52 seconds West, Chord distance = 24.13 feet) for an arc length of 24.14 feet to the point of tangency; thence go South 52 degrees 41 minutes 27 seconds West a distance of 47.37 feet to a point of curvature; thence go along the arc of a curve to the right having a radius of 70.00 feet (Delta Angle = 76 degrees 33 minutes 41 seconds, Chord Bearing = North 89 degrees 01 minutes 42 seconds West, Chord Distance = 86.73 feet) for an arc length of 93.54 feet to the point of tangency; thence go North 50 degrees 44 minutes 51 seconds West a distance of 58.25 feet to a point of curvature; thence go along the arc of a curve to the left having a radius of 1515.00 feet (Delta Angle = 11 degrees 12 minutes 35 seconds, Chord Bearing = North 56 degrees 21 minutes 09 seconds West, Chord Distance = 295.93 feet ) for an arc length of</w:t>
      </w:r>
    </w:p>
    <w:p>
      <w:pPr>
        <w:spacing w:after="0" w:line="11" w:lineRule="exact"/>
        <w:rPr>
          <w:sz w:val="20"/>
          <w:szCs w:val="20"/>
          <w:color w:val="auto"/>
        </w:rPr>
      </w:pPr>
    </w:p>
    <w:p>
      <w:pPr>
        <w:spacing w:after="0" w:line="245" w:lineRule="auto"/>
        <w:rPr>
          <w:sz w:val="20"/>
          <w:szCs w:val="20"/>
          <w:color w:val="auto"/>
        </w:rPr>
      </w:pPr>
      <w:r>
        <w:rPr>
          <w:rFonts w:ascii="Arial" w:cs="Arial" w:eastAsia="Arial" w:hAnsi="Arial"/>
          <w:sz w:val="22"/>
          <w:szCs w:val="22"/>
          <w:color w:val="auto"/>
        </w:rPr>
        <w:t xml:space="preserve">296.40 feet to the point of tangency; thence go North 61 degrees 57 minutes 26 seconds West a distance of 48.83 feet to the </w:t>
      </w:r>
      <w:r>
        <w:rPr>
          <w:rFonts w:ascii="Arial" w:cs="Arial" w:eastAsia="Arial" w:hAnsi="Arial"/>
          <w:sz w:val="22"/>
          <w:szCs w:val="22"/>
          <w:b w:val="1"/>
          <w:bCs w:val="1"/>
          <w:color w:val="auto"/>
        </w:rPr>
        <w:t>POINT</w:t>
      </w:r>
      <w:r>
        <w:rPr>
          <w:rFonts w:ascii="Arial" w:cs="Arial" w:eastAsia="Arial" w:hAnsi="Arial"/>
          <w:sz w:val="22"/>
          <w:szCs w:val="22"/>
          <w:color w:val="auto"/>
        </w:rPr>
        <w:t xml:space="preserve"> </w:t>
      </w:r>
      <w:r>
        <w:rPr>
          <w:rFonts w:ascii="Arial" w:cs="Arial" w:eastAsia="Arial" w:hAnsi="Arial"/>
          <w:sz w:val="22"/>
          <w:szCs w:val="22"/>
          <w:b w:val="1"/>
          <w:bCs w:val="1"/>
          <w:color w:val="auto"/>
        </w:rPr>
        <w:t>OF BEGINNING</w:t>
      </w:r>
      <w:r>
        <w:rPr>
          <w:rFonts w:ascii="Arial" w:cs="Arial" w:eastAsia="Arial" w:hAnsi="Arial"/>
          <w:sz w:val="22"/>
          <w:szCs w:val="22"/>
          <w:color w:val="auto"/>
        </w:rPr>
        <w:t>; thence continue North 61 degrees 57 minutes 26 seconds west along the aforesaid private right of way line a</w:t>
      </w:r>
      <w:r>
        <w:rPr>
          <w:rFonts w:ascii="Arial" w:cs="Arial" w:eastAsia="Arial" w:hAnsi="Arial"/>
          <w:sz w:val="22"/>
          <w:szCs w:val="22"/>
          <w:b w:val="1"/>
          <w:bCs w:val="1"/>
          <w:color w:val="auto"/>
        </w:rPr>
        <w:t xml:space="preserve"> </w:t>
      </w:r>
      <w:r>
        <w:rPr>
          <w:rFonts w:ascii="Arial" w:cs="Arial" w:eastAsia="Arial" w:hAnsi="Arial"/>
          <w:sz w:val="22"/>
          <w:szCs w:val="22"/>
          <w:color w:val="auto"/>
        </w:rPr>
        <w:t>distance of 63.00 feet; thence,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 B - 26</w:t>
      </w:r>
    </w:p>
    <w:p>
      <w:pPr>
        <w:sectPr>
          <w:pgSz w:w="11900" w:h="16838" w:orient="portrait"/>
          <w:cols w:equalWidth="0" w:num="1">
            <w:col w:w="11420"/>
          </w:cols>
          <w:pgMar w:left="240" w:top="591" w:right="239" w:bottom="1440" w:gutter="0" w:footer="0" w:header="0"/>
        </w:sectPr>
      </w:pPr>
    </w:p>
    <w:bookmarkStart w:id="76" w:name="page77"/>
    <w:bookmarkEnd w:id="76"/>
    <w:p>
      <w:pPr>
        <w:spacing w:after="0" w:line="253" w:lineRule="auto"/>
        <w:rPr>
          <w:sz w:val="20"/>
          <w:szCs w:val="20"/>
          <w:color w:val="auto"/>
        </w:rPr>
      </w:pPr>
      <w:r>
        <w:rPr>
          <w:rFonts w:ascii="Arial" w:cs="Arial" w:eastAsia="Arial" w:hAnsi="Arial"/>
          <w:sz w:val="22"/>
          <w:szCs w:val="22"/>
          <w:color w:val="auto"/>
        </w:rPr>
        <w:t xml:space="preserve">departing the aforesaid private right of way line, go North 28 degrees 02 minutes 34 seconds East a distance of 100.00 feet; thence go South 61 degrees 57 minutes 26 seconds East a distance of 63.00 feet; thence go South 28 degrees 02 minutes 34 seconds West a distance of 100.00 feet to the </w:t>
      </w:r>
      <w:r>
        <w:rPr>
          <w:rFonts w:ascii="Arial" w:cs="Arial" w:eastAsia="Arial" w:hAnsi="Arial"/>
          <w:sz w:val="22"/>
          <w:szCs w:val="22"/>
          <w:b w:val="1"/>
          <w:bCs w:val="1"/>
          <w:color w:val="auto"/>
        </w:rPr>
        <w:t>POINT OF BEGINNING.</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 B - 27</w:t>
      </w:r>
    </w:p>
    <w:p>
      <w:pPr>
        <w:sectPr>
          <w:pgSz w:w="11900" w:h="16838" w:orient="portrait"/>
          <w:cols w:equalWidth="0" w:num="1">
            <w:col w:w="11420"/>
          </w:cols>
          <w:pgMar w:left="240" w:top="591"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22"/>
          <w:szCs w:val="22"/>
          <w:b w:val="1"/>
          <w:bCs w:val="1"/>
          <w:u w:val="single" w:color="auto"/>
          <w:color w:val="auto"/>
        </w:rPr>
        <w:t>L’Auberge Lake Charles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TRACT 1 - LEASEHOLD ESTATE</w:t>
      </w:r>
    </w:p>
    <w:p>
      <w:pPr>
        <w:spacing w:after="0" w:line="226" w:lineRule="exact"/>
        <w:rPr>
          <w:sz w:val="20"/>
          <w:szCs w:val="20"/>
          <w:color w:val="auto"/>
        </w:rPr>
      </w:pPr>
    </w:p>
    <w:p>
      <w:pPr>
        <w:jc w:val="both"/>
        <w:ind w:right="20"/>
        <w:spacing w:after="0" w:line="263" w:lineRule="auto"/>
        <w:rPr>
          <w:sz w:val="20"/>
          <w:szCs w:val="20"/>
          <w:color w:val="auto"/>
        </w:rPr>
      </w:pPr>
      <w:r>
        <w:rPr>
          <w:rFonts w:ascii="Arial" w:cs="Arial" w:eastAsia="Arial" w:hAnsi="Arial"/>
          <w:sz w:val="21"/>
          <w:szCs w:val="21"/>
          <w:color w:val="auto"/>
        </w:rPr>
        <w:t>THAT CERTAIN TRACT OR PARCEL OF LAND LYING IN SECTION ELEVEN (11), AND BEING ALL OF LOT TEN (10) AND A PORTION OF LOTS SIX (6), SEVEN (7), EIGHT (8), NINE (9), ELEVEN (11), FOURTEEN (14), FIFTEEN (15), AND SIXTEEN (16) OF SAID SECTION ELEVEN (11), AND ALSO IN THE WEST HALF (W/2) OF THE BARTHELEMEW LEBLEU CLAIM OF IRREGULAR SECTION THIRTY-EIGHT (38), ALL IN TOWNSHIP TEN (10) SOUTH, RANGE NINE (9) WEST, CALCASIEU PARISH, LOUISIANA, BEING MORE PARTICULARLY DESCRIBED AS FOLLOWS TO-WIT:</w:t>
      </w:r>
    </w:p>
    <w:p>
      <w:pPr>
        <w:spacing w:after="0" w:line="176" w:lineRule="exact"/>
        <w:rPr>
          <w:sz w:val="20"/>
          <w:szCs w:val="20"/>
          <w:color w:val="auto"/>
        </w:rPr>
      </w:pPr>
    </w:p>
    <w:p>
      <w:pPr>
        <w:jc w:val="both"/>
        <w:ind w:right="20"/>
        <w:spacing w:after="0" w:line="287" w:lineRule="auto"/>
        <w:rPr>
          <w:sz w:val="20"/>
          <w:szCs w:val="20"/>
          <w:color w:val="auto"/>
        </w:rPr>
      </w:pPr>
      <w:r>
        <w:rPr>
          <w:rFonts w:ascii="Arial" w:cs="Arial" w:eastAsia="Arial" w:hAnsi="Arial"/>
          <w:sz w:val="21"/>
          <w:szCs w:val="21"/>
          <w:color w:val="auto"/>
        </w:rPr>
        <w:t>COMMENCING AT THE SOUTHWEST CORNER OF THE BARTHELEMEW LEBLEU CLAIM OF IRREGULAR SECTION THIRTY-EIGHT (38), TOWNSHIP TEN (10) SOUTH, RANGE NINE (9) WEST, CALCASIEU PARISH, LOUISIANA;</w:t>
      </w:r>
    </w:p>
    <w:p>
      <w:pPr>
        <w:spacing w:after="0" w:line="15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THENCE NORTH 88° 15' 23" WEST, FOR A DISTANCE OF 170.20 FEET TO THE EAST LINE OF THE NORTHWEST QUARTER OF THE NORTHEAST QUARTER (NW/4-NE/4) OF SECTION 14;</w:t>
      </w:r>
    </w:p>
    <w:p>
      <w:pPr>
        <w:spacing w:after="0" w:line="175"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THENCE NORTH 00° 54' 47" EAST, ALONG SAID EAST LINE OF THE NORTHWEST QUARTER OF THE NORTHEAST QUARTER (NW/4-NE/4) OF SECTION 14, FOR A DISTANCE OF 30.00 FEET, THE POINT OF BEGINNING OF HEREIN DESCRIBED TRACT;</w:t>
      </w:r>
    </w:p>
    <w:p>
      <w:pPr>
        <w:spacing w:after="0" w:line="18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THENCE CONTINUING NORTH 00° 54' 47" EAST, ALONG SAID EAST LINE OF THE NORTHWEST QUARTER OF THE NORTHEAST QUARTER (NW/4-NE/4) OF SECTION 14, FOR A DISTANCE OF 203.97 FEET TO AN EXISTING 1" ROD MARKING THE CORNER COMMON TO THE NORTHEAST CORNER OF THE NORTHWEST QUARTER OF THE NORTHEAST QUARTER (NW/4-NE/4) OF SECTION 14 AND THE SOUTHWEST CORNER OF THE SOUTHEAST QUARTER OF THE SOUTHEAST QUARTER (SE/4-SE/4) OF THE AFORESAID SECTION 11;</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THENCE NORTH 00° 46' 32" EAST, ALONG THE WEST LINE OF SAID SOUTHEAST QUARTER OF THE SOUTHEAST QUARTER (SE/4-SE/4) OF SECTION 11, FOR A DISTANCE OF 120.00 FEET;</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THENCE NORTH 89° 11' 50" WEST, PARALLEL WITH AND 120.0 FEET NORTH OF THE SOUTH LINE OF SAID SECTION ELEVEN (11), FOR A DISTANCE OF 1735.47 FEET TO A POINT 396.82 FEET WEST OF THE EAST LINE OF LOT FOURTEEN (14) OF SAID SECTION ELEVEN (11), THE SOUTHWEST CORNER OF HEREIN DESCRIBED TRACT;</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THENCE NORTH 00° 53' 19" EAST, PARALLEL WITH AND 396.82 FEET WEST OF SAID EAST LINE OF LOT FOURTEEN (14) AND THE WEST LINE OF LOT TEN (10), FOR A DISTANCE OF 1671.72 FEET TO A POINT LYING 463.74 FEET NORTH OF THE SOUTH LINE OF LOT ELEVEN (11) OF SAID SECTION ELEVEN (11);</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THENCE NORTH 89° 11' 50" WEST, PARALLEL WITH THE SOUTH LINE OF THE AFORESAID SECTION ELEVEN (11), FOR A DISTANCE OF 200.00 FEET TO A POINT LYING 596.82 FEET WEST OF THE EAST LINE OF LOT ELEVEN (11) OF SAID SECTION ELEVEN (11);</w:t>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THENCE NORTH 00° 53' 19" EAST, PARALLEL WITH AND 596.82 FEET WESTERLY OF THE EAST LINE OF SAID LOT ELEVEN (11), FOR A DISTANCE OF 553.77 FEET;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B - 28</w:t>
      </w:r>
    </w:p>
    <w:p>
      <w:pPr>
        <w:sectPr>
          <w:pgSz w:w="11900" w:h="16838" w:orient="portrait"/>
          <w:cols w:equalWidth="0" w:num="1">
            <w:col w:w="11420"/>
          </w:cols>
          <w:pgMar w:left="240" w:top="801" w:right="239" w:bottom="1440" w:gutter="0" w:footer="0" w:header="0"/>
        </w:sectPr>
      </w:pPr>
    </w:p>
    <w:bookmarkStart w:id="78" w:name="page79"/>
    <w:bookmarkEnd w:id="78"/>
    <w:p>
      <w:pPr>
        <w:jc w:val="both"/>
        <w:spacing w:after="0" w:line="343" w:lineRule="auto"/>
        <w:rPr>
          <w:sz w:val="20"/>
          <w:szCs w:val="20"/>
          <w:color w:val="auto"/>
        </w:rPr>
      </w:pPr>
      <w:r>
        <w:rPr>
          <w:rFonts w:ascii="Arial" w:cs="Arial" w:eastAsia="Arial" w:hAnsi="Arial"/>
          <w:sz w:val="19"/>
          <w:szCs w:val="19"/>
          <w:color w:val="auto"/>
        </w:rPr>
        <w:t>THENCE NORTH 89° 06' 42" WEST, FOR A DISTANCE OF 163.48 FEET TO A POINT LYING 105.00 FEET WESTERLY OF AND PERPENDICULAR TO THE ORIGINAL WEST BOUNDARY LINE OF L'AUBERGE DU LAC HOTEL AND CASINO;</w:t>
      </w:r>
    </w:p>
    <w:p>
      <w:pPr>
        <w:spacing w:after="0" w:line="10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THENCE NORTH 49° 09' 02" WEST, PARALLEL WITH AND 105.00 FEET WESTERLY OF SAID ORIGINAL WEST BOUNDARY LINE OF L'AUBERGE DU LAC HOTEL AND CASINO, FOR A DISTANCE OF 867.43 FEET, TO A POINT ON THE LEFT DESCENDING BANK OF THE CALCASIEU RIVER, THE NORTHWEST CORNER OF HEREIN DESCRIBED TRACT;</w:t>
      </w:r>
    </w:p>
    <w:p>
      <w:pPr>
        <w:spacing w:after="0" w:line="188"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THENCE MEANDERING ALONG SAID LEFT DESCENDING BANK OF THE CALCASIEU RIVER, IN A GENERAL DIRECTION OF NORTH 63° 49' 10" EAST, FOR A DISTANCE OF 114.04 FEET;</w:t>
      </w:r>
    </w:p>
    <w:p>
      <w:pPr>
        <w:spacing w:after="0" w:line="175"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THENCE MEANDERING ALONG SAID LEFT DESCENDING BANK OF THE CALCASIEU RIVER, IN A GENERAL DIRECTION OF NORTH 57° 18' 13" EAST, FOR A DISTANCE OF 325.84 FEET;</w:t>
      </w:r>
    </w:p>
    <w:p>
      <w:pPr>
        <w:spacing w:after="0" w:line="175"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THENCE MEANDERING ALONG SAID LEFT DESCENDING BANK OF THE CALCASIEU RIVER, IN A GENERAL DIRECTION OF NORTH 51° 38' 18" EAST, FOR A DISTANCE OF 330.17 FEET;</w:t>
      </w:r>
    </w:p>
    <w:p>
      <w:pPr>
        <w:spacing w:after="0" w:line="175"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THENCE MEANDERING ALONG SAID LEFT DESCENDING BANK OF THE CALCASIEU RIVER, IN A GENERAL DIRECTION OF NORTH 56° 19' 43" EAST, FOR A DISTANCE OF 441.64 FEET;</w:t>
      </w:r>
    </w:p>
    <w:p>
      <w:pPr>
        <w:spacing w:after="0" w:line="175"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THENCE MEANDERING ALONG SAID LEFT DESCENDING BANK OF THE CALCASIEU RIVER, IN A GENERAL DIRECTION OF NORTH 43° 18' 27" EAST, FOR A DISTANCE OF 350.17 FEET;</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THENCE MEANDERING ALONG SAID LEFT DESCENDING BANK OF THE CALCASIEU RIVER, IN A GENERAL DIRECTION OF NORTH 41° 45' 57" EAST, FOR A DISTANCE OF 271.08 FEET TO A POINT LYING 600.0 FEET SOUTH OF AND PARALLEL WITH THE FACE OF THE EXISTING FENDER SYSTEM AT BERTH NINE OF THE PORT OF LAKE CHARLES FACILITY;</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THENCE SOUTH 70° 45' 08" EAST, 600.0 FEET SOUTH OF AND PARALLEL WITH THE FACE OF SAID FENDER SYSTEM, FOR A DISTANCE OF 2703.03 FEET TO A POINT LYING 20.07 FEET EASTERLY OF THE ORIGINAL EAST LINE OF THE PINNACLE PARCEL 1 LEASE PROPERTY, THE NORTHEAST CORNER OF HEREIN DESCRIBED TRACT;</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THENCE SOUTH 14° 17' 53" WEST, 20.00 FEET EASTERLY OF AND PARALLEL WITH SAID ORIGINAL EAST LINE OF THE PINNACLE PARCEL 1 LEASE PROPERTY, FOR A DISTANCE OF 629.22 FEET;</w:t>
      </w:r>
    </w:p>
    <w:p>
      <w:pPr>
        <w:spacing w:after="0" w:line="175"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THENCE SOUTH 75° 42' 07" EAST, FOR A DISTANCE OF 40.00 FEET TO A POINT LYING 100.00 FEET EAST OF SAID ORIGINAL EAST LINE OF THE PINNACLE PARCEL 1 LEASE PROPERTY;</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THENCE SOUTH 14° 17' 53" WEST, 100.00 FEET EAST OF AND PARALLEL WITH SAID ORIGINAL EAST LINE OF THE PINNACLE PARCEL 1 LEASE PROPERTY, FOR A DISTANCE OF 389.36 FEET TO THE POINT OF CURVATURE OF A TANGENT CURVE TO THE LEFT HAVING A RADIUS OF 954.93 FEET AND A CENTRAL ANGLE OF 35° 29' 11";</w:t>
      </w:r>
    </w:p>
    <w:p>
      <w:pPr>
        <w:spacing w:after="0" w:line="168"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THENCE SOUTHERLY, ALONG SAID TANGENT CURVE TO THE LEFT AND 100.00 FEET EAST OF AND PARALLEL WITH SAID ORIGINAL EAST LINE OF THE PINNACLE PARCEL 1 LEASE PROPERTY, THROUGH AN ANGLE OF 17° 43' 41", FOR AN ARC LENGTH DISTANCE OF 295.47 FEET, SAID CURVE HAVING A CHORD WHICH BEARS SOUTH 05° 26' 03" WEST, FOR A DISTANCE OF 294.29 FEET TO THE NORTH RIGHT-OF-WAY LINE OF SAID NELSON ROAD EXTENSION;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B - 29</w:t>
      </w:r>
    </w:p>
    <w:p>
      <w:pPr>
        <w:sectPr>
          <w:pgSz w:w="11900" w:h="16838" w:orient="portrait"/>
          <w:cols w:equalWidth="0" w:num="1">
            <w:col w:w="11420"/>
          </w:cols>
          <w:pgMar w:left="240" w:top="591" w:right="239" w:bottom="1440" w:gutter="0" w:footer="0" w:header="0"/>
        </w:sectPr>
      </w:pPr>
    </w:p>
    <w:bookmarkStart w:id="79" w:name="page80"/>
    <w:bookmarkEnd w:id="79"/>
    <w:p>
      <w:pPr>
        <w:jc w:val="both"/>
        <w:spacing w:after="0" w:line="302" w:lineRule="auto"/>
        <w:rPr>
          <w:sz w:val="20"/>
          <w:szCs w:val="20"/>
          <w:color w:val="auto"/>
        </w:rPr>
      </w:pPr>
      <w:r>
        <w:rPr>
          <w:rFonts w:ascii="Arial" w:cs="Arial" w:eastAsia="Arial" w:hAnsi="Arial"/>
          <w:sz w:val="19"/>
          <w:szCs w:val="19"/>
          <w:color w:val="auto"/>
        </w:rPr>
        <w:t>THENCE SOUTH 85° 04' 12" WEST, ALONG SAID NORTH RIGHT-OF-WAY LINE OF NELSON ROAD EXTENSION, FOR A DISTANCE OF 100.03 FEET TO THE NORTHWEST CORNER OF NELSON ROAD EXTENSION RIGHT-OF-WAY, SAID POINT ALSO LYING ON THE ORIGINAL EAST LINE OF THE PINNACLE PARCEL 1 LEASE PROPERTY AND LYING IN A TANGENT CURVE TO THE LEFT HAVING A RADIUS OF 1054.93 FEET AND A CENTRAL ANGLE OF 35° 29' 11";</w:t>
      </w:r>
    </w:p>
    <w:p>
      <w:pPr>
        <w:spacing w:after="0" w:line="14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THENCE SOUTHERLY, ALONG SAID TANGENT CURVE TO THE LEFT, ALONG THE WEST RIGHT-OF-WAY LINE OF NELSON ROAD EXTENSION, THROUGH AN ANGLE OF 17° 36' 57", FOR AN ARC LENGTH DISTANCE OF 324.34 FEET TO THE POINT OF TANGENT OF SAID CURVE, SAID CURVE HAVING A CHORD WHICH BEARS SOUTH 12° 22' 49" EAST A DISTANCE OF 323.07 FEET;</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THENCE SOUTH 21° 11' 18" EAST, ALONG SAID WEST RIGHT-OF-WAY LINE OF NELSON ROAD EXTENSION, FOR A DISTANCE OF 398.53 FEET;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THENCE NORTH 65° 51' 57" WEST, FOR A DISTANCE OF 71.11 FEET;</w:t>
      </w:r>
    </w:p>
    <w:p>
      <w:pPr>
        <w:spacing w:after="0" w:line="220"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THENCE SOUTH 69° 27' 24" WEST, FOR A DISTANCE OF 134.18 FEET TO THE POINT OF CURVATURE OF A TANGENT CURVE TO THE RIGHT, HAVING A RADIUS OF 400.00 FEET AND A CENTRAL ANGLE OF 50° 25' 21";</w:t>
      </w:r>
    </w:p>
    <w:p>
      <w:pPr>
        <w:spacing w:after="0" w:line="15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THENCE EASTERLY, ALONG SAID TANGENT CURVE TO THE RIGHT, THROUGH AN ANGLE OF 41° 26' 10" FOR AN ARC LENGTH DISTANCE OF 289.28 FEET, SAID CURVE HAVING A CHORD WHICH BEARS SOUTH 89° 38' 24" EAST A DISTANCE OF 285.43 FEET;</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THENCE SOUTH 22° 21' 49" WEST, 90.00 FEET WEST OF AND PARALLEL WITH THE WEST LINE OF BARTHELEMEW LEBLEU CLAIM OF IRREGULAR SECTION 38, AND THE EAST LINE OF EXHIBIT "AM-1" AND "AM-2" TO AMENDMENT NUMBER (2) TO PNK, LLC GROUND RELEASE, FOR A DISTANCE OF 364.79 FEET;</w:t>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THENCE SOUTH 67° 38' 10" EAST, FOR A DISTANCE OF 58.81 FEET TO THE POINT OF CURVATURE OF A TANGENT CURVE TO THE LEFT HAVING A RADIUS OF 690.00 FEET AND A CENTRAL ANGLE OF 42° 54' 26"</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THENCE EASTERLY, ALONG SAID TANGENT CURVE TO THE LEFT, THROUGH AN ANGLE OF 02° 35' 26", FOR AN ARC LENGTH DISTANCE OF 31.20 FEET TO THE WEST LINE OF THE AFORESAID BARTHELEMEW LEBLEU CLAIM IRREGULAR SECTION 38 AND THE EAST LINE OF THE AFORESAID EXHIBIT "AM-1" AND "AM-2" TO AMENDMENT NUMBER (2) TO PNK, LLC GROUND RELEASE;</w:t>
      </w:r>
    </w:p>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THENCE SOUTH 22° 21' 49" WEST, ALONG THE WEST LINE OF SAID BARTHELEMEW LEBLEU CLAIM OF IRREGULAR SECTION 38, AND THE EAST LINE OF THE SAID EXHIBIT "AM-1" AND "AM-2" TO AMENDMENT NUMBER (2) TO PNK, LLC GROUND RELEASE, FOR A DISTANCE OF 1071.95 FEET TO THE NORTH RIGHT-OF-WAY LINE OF CAGLE LANE, SAID POINT BEING THE SOUTHEAST CORNER OF THE PINNACLE PARCEL 2 LEASE PROPERTY;</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THENCE NORTH 88° 15' 23" WEST, ALONG SAID NORTH RIGHT-OF-WAY LINE OF CAGLE LANE AND THE SOUTH LINE OF SAID PINNACLE PARCEL 2 LEASE PROPERTY, FOR A DISTANCE OF 58.83 FEET TO A POINT LYING IN A TANGENT CURVE TO THE LEFT HAVING A RADIUS OF 280.00 FEET AND A CENTRAL ANGLE OF 112° 25' 55";</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B - 30</w:t>
      </w:r>
    </w:p>
    <w:p>
      <w:pPr>
        <w:sectPr>
          <w:pgSz w:w="11900" w:h="16838" w:orient="portrait"/>
          <w:cols w:equalWidth="0" w:num="1">
            <w:col w:w="11420"/>
          </w:cols>
          <w:pgMar w:left="240" w:top="807" w:right="239" w:bottom="1440" w:gutter="0" w:footer="0" w:header="0"/>
        </w:sectPr>
      </w:pPr>
    </w:p>
    <w:bookmarkStart w:id="80" w:name="page81"/>
    <w:bookmarkEnd w:id="80"/>
    <w:p>
      <w:pPr>
        <w:jc w:val="both"/>
        <w:spacing w:after="0" w:line="253" w:lineRule="auto"/>
        <w:rPr>
          <w:sz w:val="20"/>
          <w:szCs w:val="20"/>
          <w:color w:val="auto"/>
        </w:rPr>
      </w:pPr>
      <w:r>
        <w:rPr>
          <w:rFonts w:ascii="Arial" w:cs="Arial" w:eastAsia="Arial" w:hAnsi="Arial"/>
          <w:sz w:val="22"/>
          <w:szCs w:val="22"/>
          <w:color w:val="auto"/>
        </w:rPr>
        <w:t>THENCE SOUTHERLY, ALONG SAID TANGENT CURVE TO THE LEFT, THROUGH AN ANGLE OF 06° 11' 05" FOR AN ARC LENGTH DISTANCE OF 30.22 FEET, SAID CURVE HAVING A CHORD WHICH BEARS SOUTH 08° 29' 30" WEST A DISTANCE OF 30.21 FEET;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THENCE NORTH 88° 15' 23" WEST, FOR A DISTANCE OF 130.84 FEET TO THE POINT OF BEGINNING.</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LESS AND EXCEPT: THAT PORTION OF TRACT 1 LYING WITHIN THE FOLLOWING DESCRIBED I-210 ENTRY ROAD DEDICATION AS RECORDED IN CONVEYANCE BOOK 3779, PAGE 268, RECORDS OF CALCASIEU PARISH, LOUISIANA:</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THAT CERTAIN TRACT OR PARCEL OF LAND LYING IN BARTHELEMEW LEBLEU CLAIM OF IRREGULAR SECTION 38, THE NORTHEAST QUARTER (NE/4) OF SECTION 14 AND THE SOUTHEAST QUARTER (SE/4) OF SECTION 11, ALL IN TOWNSHIP TEN (10) SOUTH, RANGE NINE (9) WEST, CALCASIEU PARISH, LOUISIANA, BEING MORE PARTICULARLY DESCRIBED AS FOLLOWS TO-WIT:</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COMMENCING AT THE SOUTHWEST CORNER OF THE BARTHELEMEW LEBLEU CLAIM OF IRREGULAR SECTION THIRTY-EIGHT (38), TOWNSHIP TEN (10) SOUTH, RANGE NINE (9) WEST, CALCASIEU PARISH, LOUISIANA, SAID POINT ALSO BEING ON THE SOUTH RIGHT-OF-WAY LINE OF CAGLE LANE;</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THENCE SOUTH 88° 15' 23" EAST, ALONG SAID SOUTH RIGHT OF WAY LINE OF CAGLE LANE AND THE SOUTH LINE OF THE BARTHELEMEW LEBLEU CLAIM OF IRREGULAR SECTION THIRTY-EIGHT (38), FOR A DISTANCE OF 347.41 FEET;</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THENCE SOUTH 01° 44' 37" WEST, PERPENDICULAR TO SAID SOUTH RIGHT-OF-WAY LINE OF CAGLE LANE AND THE SOUTH LINE OF THE BARTHELEMEW LEBLEU CLAIM OF IRREGULAR SECTION THIRTY-EIGHT (38), FOR A DISTANCE OF 264.58 FEET TO THE NORTH RIGHT-OF-WAY LINE OF THE LOUISIANA INTERSTATE 210 LOOP, THE POINT OF BEGINNING OF HEREIN DESCRIBED TRACT;</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THENCE SOUTH 00° 55' 49" WEST, ALONG SAID NORTH RIGHT-OF-WAY LINE OF THE LOUISIANA INTERSTATE 210 LOOP, FOR A DISTANCE OF 11.66 FEET;</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THENCE NORTH 89° 53' 45" WEST, ALONG SAID NORTH RIGHT-OF-WAY LINE OF THE LOUISIANA INTERSTATE 210 LOOP, FOR A DISTANCE OF 240.43 FEET;</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THENCE SOUTH 80° 53' 11" WEST, ALONG SAID NORTH RIGHT-OF-WAY LINE OF THE LOUISIANA INTERSTATE 210 LOOP, FOR A DISTANCE OF 50.78 FEET;</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THENCE NORTH 87° 22' 07" WEST, ALONG SAID NORTH RIGHT-OF-WAY LINE OF THE LOUISIANA INTERSTATE 210 LOOP, FOR A DISTANCE OF 28.08 FEET TO THE INTERSECTION WITH THE WEST RIGHT-OF-WAY LINE OF THE SOUTH ACCESS ROAD, SAID POINT BEING IN A CURVE TO THE RIGHT HAVING A RADIUS OF 370.00 FEET AND A CENTRAL ANGLE OF 112° 25' 55";</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THENCE NORTHERLY, ALONG SAID CURVE TO THE RIGHT AND SAID WEST RIGHT-OF-WAY LINE OF THE SOUTH ACCESS ROAD, THROUGH AN ANGLE OF 75° 58' 34", FOR AN ARC LENGTH DISTANCE OF 490.63 FEET TO THE POINT OF TANGENT OF SAID CURVE;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B - 31</w:t>
      </w:r>
    </w:p>
    <w:p>
      <w:pPr>
        <w:sectPr>
          <w:pgSz w:w="11900" w:h="16838" w:orient="portrait"/>
          <w:cols w:equalWidth="0" w:num="1">
            <w:col w:w="11420"/>
          </w:cols>
          <w:pgMar w:left="240" w:top="591" w:right="239" w:bottom="1440" w:gutter="0" w:footer="0" w:header="0"/>
        </w:sectPr>
      </w:pPr>
    </w:p>
    <w:bookmarkStart w:id="81" w:name="page82"/>
    <w:bookmarkEnd w:id="81"/>
    <w:p>
      <w:pPr>
        <w:jc w:val="both"/>
        <w:spacing w:after="0" w:line="263" w:lineRule="auto"/>
        <w:rPr>
          <w:sz w:val="20"/>
          <w:szCs w:val="20"/>
          <w:color w:val="auto"/>
        </w:rPr>
      </w:pPr>
      <w:r>
        <w:rPr>
          <w:rFonts w:ascii="Arial" w:cs="Arial" w:eastAsia="Arial" w:hAnsi="Arial"/>
          <w:sz w:val="22"/>
          <w:szCs w:val="22"/>
          <w:color w:val="auto"/>
        </w:rPr>
        <w:t>THENCE NORTH 22° 21' 49" EAST, 150.00 FEET WESTERLY OF AND PARALLEL WITH THE WEST LINE OF THE BARTHELEMEW LEBLEU CLAIM OF IRREGULAR SECTION 38, FOR A DISTANCE OF 1039.60 FEET;</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THENCE SOUTH 67° 38' 10" EAST, FOR A DISTANCE OF 90.00 FEET TO A POINT LYING 60.00 FEET WESTERLY OF THE WEST LINE OF SAID BARTHELEMEW LEBLEU CLAIM OF IRREGULAR SECTION 38;</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THENCE SOUTH 22° 21' 49" WEST, 60.0 FEET WESTERLY OF AND PARALLEL WITH THE WEST LINE OF SAID BARTHELEMEW LEBLEU CLAIM OF IRREGULAR SECTION 38, FOR A DISTANCE OF 1039.60 FEET TO THE POINT OF CURVATURE OF A CURVE TO THE LEFT HAVING A RADIUS OF 280.00 FEET AND A CENTRAL ANGLE OF 112° 25' 55";</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THENCE SOUTHERLY, ALONG SAID CURVE TO THE LEFT AND EAST RIGHT-OF-WAY LINE OF THE AFORESAID SOUTH ACCESS ROAD, FOR AN ARC LENGTH DISTANCE OF 549.45 FEET TO THE POINT OF TANGENT OF SAID CURVE;</w:t>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THENCE NORTH 89° 55' 55" EAST, ALONG SAID RIGHT-OF-WAY LINE OF THE SOUTH ACCESS ROAD, FOR A DISTANCE OF 98.97 FEET TO THE POINT OF BEGINNING.</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TRACT 2 - LEASEHOLD ESTATE</w:t>
      </w:r>
    </w:p>
    <w:p>
      <w:pPr>
        <w:spacing w:after="0" w:line="200" w:lineRule="exact"/>
        <w:rPr>
          <w:sz w:val="20"/>
          <w:szCs w:val="20"/>
          <w:color w:val="auto"/>
        </w:rPr>
      </w:pPr>
    </w:p>
    <w:p>
      <w:pPr>
        <w:spacing w:after="0" w:line="242"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THAT CERTAIN TRACT OR PARCEL OF LAND LYING IN THE NORTHEAST QUARTER OF THE SOUTHWEST QUARTER (NE/4-SW/4) OF SECTION 11, TOWNSHIP 10 SOUTH, RANGE 9 WEST, CALCASIEU PARISH, LOUISIANA:</w:t>
      </w:r>
    </w:p>
    <w:p>
      <w:pPr>
        <w:spacing w:after="0" w:line="15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COMMENCING AT AN EXISTING 1" ROD MARKING THE SOUTHEAST CORNER OF THE SOUTHWEST QUARTER OF THE SOUTHEAST QUARTER (SW/4-SE/4) OF SECTION 11, TOWNSHIP 10 SOUTH, RANGE 9 WEST, CALCASIEU PARISH, LOUISIANA;</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THENCE NORTH 89° 11' 50" WEST, ALONG THE SOUTH LINE OF THE SOUTHWEST QUARTER OF THE SOUTHEAST QUARTER (SW/4-SE/4) OF SAID SECTION 11, FOR A DISTANCE OF 1735.52 FEET TO THE ORIGINAL WEST BOUNDARY LINE OF L'AUBERGE DU LAC HOTEL AND CASINO;</w:t>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THENCE NORTH 00° 53' 19" EAST, ALONG SAID ORIGINAL WEST BOUNDARY LINE OF L'AUBERGE DU LAC HOTEL AND CASINO, FOR A DISTANCE OF 1791.72 FEET;</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THENCE NORTH 89° 11' 50" WEST, PARALLEL WITH THE SOUTH LINE OF THE AFORESAID SECTION 11 AND ALONG SAID ORIGINAL WEST BOUNDARY LINE OF L'AUBERGE DU LAC HOTEL AND CASINO, FOR A DISTANCE OF 200.00 FEET;</w:t>
      </w:r>
    </w:p>
    <w:p>
      <w:pPr>
        <w:spacing w:after="0" w:line="186"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THENCE NORTH 00° 53' 19" EAST, ALONG SAID ORIGINAL WEST BOUNDARY LINE OF L'AUBERGE DU LAC HOTEL AND CASINO, FOR A DISTANCE OF 125.97 FEET, THE POINT OF BEGINNING OF HEREIN DESCRIBED TRACT;</w:t>
      </w:r>
    </w:p>
    <w:p>
      <w:pPr>
        <w:spacing w:after="0" w:line="105"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THENCE NORTH 49° 09' 02" WEST, ALONG PROPERTY LINE CONTIGUOUS WITH GOLDEN NUGGET EXCLUSIVE, FOR A DISTANCE OF 448.00 FEET TO PROPERTY LINE CONTIGUOUS WITH GOLDEN NUGGET COMMON;</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THENCE NORTH 64° 45' 00" EAST, ALONG PROPERTY LINES CONTIGUOUS WITH SAID GOLDEN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B - 32</w:t>
      </w:r>
    </w:p>
    <w:p>
      <w:pPr>
        <w:sectPr>
          <w:pgSz w:w="11900" w:h="16838" w:orient="portrait"/>
          <w:cols w:equalWidth="0" w:num="1">
            <w:col w:w="11420"/>
          </w:cols>
          <w:pgMar w:left="240" w:top="591" w:right="239" w:bottom="1440" w:gutter="0" w:footer="0" w:header="0"/>
        </w:sectPr>
      </w:pPr>
    </w:p>
    <w:bookmarkStart w:id="82" w:name="page83"/>
    <w:bookmarkEnd w:id="82"/>
    <w:p>
      <w:pPr>
        <w:jc w:val="both"/>
        <w:spacing w:after="0" w:line="263" w:lineRule="auto"/>
        <w:rPr>
          <w:sz w:val="20"/>
          <w:szCs w:val="20"/>
          <w:color w:val="auto"/>
        </w:rPr>
      </w:pPr>
      <w:r>
        <w:rPr>
          <w:rFonts w:ascii="Arial" w:cs="Arial" w:eastAsia="Arial" w:hAnsi="Arial"/>
          <w:sz w:val="22"/>
          <w:szCs w:val="22"/>
          <w:color w:val="auto"/>
        </w:rPr>
        <w:t>NUGGET COMMON AND PNK COMMON, FOR A DISTANCE OF 317.95 FEET TO THE ORIGINAL WEST BOUNDARY LINE OF L'AUBERGE DU LAC HOTEL AND CASINO;</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THENCE SOUTH 89° 06' 42" EAST, ALONG THE SAID ORIGINAL WEST BOUNDARY LINE OF L'AUBERGE DU LAC HOTEL AND CASINO, FOR A DISTANCE OF 57.95 FEET TO AN EXISTING 5/8" REBAR;</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THENCE SOUTH 00° 53' 19" EAST, ALONG SAID ORIGINAL WEST BOUNDARY LINE OF L'AUBERGE DU LAC HOTEL AND CASINO, FOR A DISTANCE OF 427.80 FEET TO THE POINT OF BEGINNING.</w:t>
      </w: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TRACT 3 - LEASEHOLD ESTATE</w:t>
      </w:r>
    </w:p>
    <w:p>
      <w:pPr>
        <w:spacing w:after="0" w:line="226"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THAT CERTAIN TRACT OR PARCEL OF LAND LYING IN THE NORTHEAST QUARTER OF THE SOUTHWEST QUARTER (NE/4-SW/4) OF SECTION 11, TOWNSHIP 10 SOUTH, RANGE 9 WEST, CALCASIEU PARISH, LOUISIANA:</w:t>
      </w:r>
    </w:p>
    <w:p>
      <w:pPr>
        <w:spacing w:after="0" w:line="15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COMMENCING AT AN EXISTING 1" ROD MARKING THE SOUTHEAST CORNER OF THE SOUTHWEST QUARTER OF THE SOUTHEAST QUARTER (SW/4-SE/4) OF SECTION 11, TOWNSHIP 10 SOUTH, RANGE 9 WEST, CALCASIEU PARISH, LOUISIANA;</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THENCE NORTH 89° 11' 50" WEST, ALONG THE SOUTH LINE OF THE SOUTHWEST QUARTER OF THE SOUTHEAST QUARTER (SW/4-SE/4) OF SAID SECTION 11, FOR A DISTANCE OF 1735.52 FEET TO THE ORIGINAL WEST BOUNDARY LINE OF L'AUBERGE DU LAC HOTEL AND CASINO;</w:t>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THENCE NORTH 00° 53' 19" EAST, ALONG SAID ORIGINAL WEST BOUNDARY LINE OF L'AUBERGE DU LAC HOTEL AND CASINO, FOR A DISTANCE OF 1791.72 FEET;</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THENCE NORTH 89° 11' 50" WEST, PARALLEL WITH THE SOUTH LINE OF THE AFORESAID SECTION 11 AND ALONG SAID ORIGINAL WEST BOUNDARY LINE OF L'AUBERGE DU LAC HOTEL AND CASINO, FOR A DISTANCE OF 200.00 FEET;</w:t>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THENCE NORTH 00° 53' 19" EAST, ALONG SAID ORIGINAL WEST BOUNDARY LINE OF L'AUBERGE DU LAC HOTEL AND CASINO, FOR A DISTANCE OF 553.77 FEET;</w:t>
      </w:r>
    </w:p>
    <w:p>
      <w:pPr>
        <w:spacing w:after="0" w:line="175"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THENCE NORTH 89° 06' 42" WEST, FOR A DISTANCE OF 57.95 FEET, THE POINT OF BEGINNING OF HEREIN DESCRIBED TRACT;</w:t>
      </w:r>
    </w:p>
    <w:p>
      <w:pPr>
        <w:spacing w:after="0" w:line="175"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THENCE SOUTH 64° 45' 00" WEST, ALONG PROPERTY LINE CONTIGUOUS WITH PNK EXCLUSIVE, FOR A DISTANCE OF 268.54 FEET TO PROPERTY LINE CONTIGUOUS WITH GOLDEN NUGGET COMMON;</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THENCE NORTH 22° 00' 02" WEST, ALONG PROPERTY LINE CONTIGUOUS WITH SAID GOLDEN NUGGET COMMON, FOR A DISTANCE OF 165.52 FEET;</w:t>
      </w:r>
    </w:p>
    <w:p>
      <w:pPr>
        <w:spacing w:after="0" w:line="175"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THENCE NORTH 58° 02' 34" EAST, FOR A DISTANCE OF 106.98 FEET TO A POINT LYING 105.00 FEET PERPENDICULAR TO THE ORIGINAL WEST BOUNDARY LINE OF L'AUBERGE DU LAC HOTEL AND CASINO;</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THENCE SOUTH 49° 09' 02" EAST, 105.00 FEET WESTERLY OF AND PARALLEL WITH SAID</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B - 33</w:t>
      </w:r>
    </w:p>
    <w:p>
      <w:pPr>
        <w:sectPr>
          <w:pgSz w:w="11900" w:h="16838" w:orient="portrait"/>
          <w:cols w:equalWidth="0" w:num="1">
            <w:col w:w="11420"/>
          </w:cols>
          <w:pgMar w:left="240" w:top="591" w:right="239" w:bottom="1440" w:gutter="0" w:footer="0" w:header="0"/>
        </w:sectPr>
      </w:pPr>
    </w:p>
    <w:bookmarkStart w:id="83" w:name="page84"/>
    <w:bookmarkEnd w:id="83"/>
    <w:p>
      <w:pPr>
        <w:spacing w:after="0" w:line="263" w:lineRule="auto"/>
        <w:rPr>
          <w:sz w:val="20"/>
          <w:szCs w:val="20"/>
          <w:color w:val="auto"/>
        </w:rPr>
      </w:pPr>
      <w:r>
        <w:rPr>
          <w:rFonts w:ascii="Arial" w:cs="Arial" w:eastAsia="Arial" w:hAnsi="Arial"/>
          <w:sz w:val="22"/>
          <w:szCs w:val="22"/>
          <w:color w:val="auto"/>
        </w:rPr>
        <w:t>ORIGINAL WEST BOUNDARY LINE OF L'AUBERGE DU LAC HOTEL AND CASINO, FOR A DISTANCE OF 143.56 FEET;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THENCE SOUTH 89° 06' 42" EAST, FOR A DISTANCE OF 105.54 FEET TO THE POINT OF BEGINNING.</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 B - 34</w:t>
      </w:r>
    </w:p>
    <w:p>
      <w:pPr>
        <w:sectPr>
          <w:pgSz w:w="11900" w:h="16838" w:orient="portrait"/>
          <w:cols w:equalWidth="0" w:num="1">
            <w:col w:w="11420"/>
          </w:cols>
          <w:pgMar w:left="240" w:top="591"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22"/>
          <w:szCs w:val="22"/>
          <w:b w:val="1"/>
          <w:bCs w:val="1"/>
          <w:u w:val="single" w:color="auto"/>
          <w:color w:val="auto"/>
        </w:rPr>
        <w:t>Boomtown Bossier City</w:t>
      </w:r>
    </w:p>
    <w:p>
      <w:pPr>
        <w:spacing w:after="0" w:line="200" w:lineRule="exact"/>
        <w:rPr>
          <w:sz w:val="20"/>
          <w:szCs w:val="20"/>
          <w:color w:val="auto"/>
        </w:rPr>
      </w:pP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LAND REFERRED TO HEREIN BELOW IS SITUATED IN THE PARISHES OF BOSSIER AND CADDO, STATE OF LOUISIANA, AND IS DESCRIBED AS FOLLOWS: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TRACT 1:</w:t>
      </w:r>
    </w:p>
    <w:p>
      <w:pPr>
        <w:spacing w:after="0" w:line="226"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A tract of land located in Section 32, Township 18 North, Range 13 West, Bossier City, Bossier Parish, and/or Section 31, 32 or 33, Township 18 North, Range 13 West, Caddo Parish, Louisiana, being more fully described as follows: Beginning at a found one-half inch (1/2”) diameter iron rod being the southwest corner of Lot 34, Cook Subdivision as recorded in Book 141, Page 11 of the records of Bossier Parish, Louisiana; Run thence along the west line of said Lot 34 North 29°36’53” East a distance of 165.24 feet to a point on the south right of way line of Interstate 20; Run thence along said south right of way line South 82°30’55” East a distance of 58.03 feet; Continue thence along said right of way line South 77°46’57” East a distance of 48.93 feet; Continue thence along said right of way line South 83°56’33” East a distance of 91.17 feet to the point of intersection with the southerly right of way line of Riverside Drive; Run thence along said right of way line South 60°59’55” East a distance of 15.0 feet to the common front corner of Lots 36 and 37 of said Cook Subdivision; Run thence along said common line South 28°35’07” West a distance of 228.77 feet to the common rear corner of said Lots 36 and 37; Run thence along the rear property line of Lots 37 through 44 of said Cook Subdivision South 64° 50’ 08” East a distance of 285.30 feet and South 66°27’14” East a distance of 112.92 feet to the common rear corner of Lots 44 and 45 of said Cook Subdivision, run thence along the common line of said Lots 44 and 45 North 29°39’20” East a distance of 198.95 feet to the front common corner of said Lots 44 and 45 said point also being on the southerly right of way of Riverside Drive; Run thence along said right of way and front property line of Lot 45 South 60°49’57” East a distance of 50.14 feet to the front common corner of Lots 45 and 46 of said Cook Subdivision; Run thence along the common line of said Lots 45 and 46 South 29°42’00” West a distance of 194.03 feet to the rear common corner of said Lots 45 and 46; Run thence along the rear property line of Lot 46 of said Cook Subdivision South 66°27’14” East a distance of 53.40 feet; Run thence South 31°17’22” West a distance of 18.33 feet to the southwest corner of Lot 114 Riverside Subdivision as recorded in Book 60, Page 157 of the records of Bossier Parish, Louisiana; Run thence along the rear property line of said Lot 114, South 70°11’51” East a distance of 66.84 feet to the common rear corner of Lots 114 and 113 of said Riverside Subdivision; Run thence along the common line of Lots 114 and 113 of said Riverside Subdivision North 29°03’49” East a distance of 197.08 feet to the common front corner of said Lots 114 and 113, Riverside Subdivision, said point lying on the southerly right of way of Riverside Drive; Run thence along said right of way line and the front property line of Lots 113, 112, 111 and a portion of Lot 110 of said Riverside Subdivision South, 60°51’53” East a distance of 192.75 feet; Thence leaving said southerly right of way line of Riverside Drive, run South 29°07’29” West a distance of 165.43 feet, Run thence North 70°11’51” West a distance of 13.30 feet; Run thence South 28°57’00” West a distance of 1,021.25 feet; Run thence North 62°23’39” West a distance of 127.28 feet; Run thence North 64°12’33” West a distance of 101.11 feet; Run thence North 55°10’08” West a distance of 614.30 feet; Run thence North 24°48’49” East a distance of 897.25 feet to a point on the rear property line of Lot 34 of said Cook Subdivision; Run thence along said rear property line North 55°33’16” West a distance of 44.49 feet to the point of beginning of tract containing 21.263 acres more or less, TOGETHER WITH all batture, alluvion or riparian rights inuring to the above described property.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TRACT 2:</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 tract located in Section 32, Township 18 North, Range 13 West, Bossier Parish and/or Sections 31, 32 and 33, Township 18 North, Range 13 West, Caddo Parish, Louisiana, said tract being more fully described as follows: Beginning at the common front corner of Lots 114 and 113, Riverside Subdivision, as recorded in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B - 35</w:t>
      </w:r>
    </w:p>
    <w:p>
      <w:pPr>
        <w:sectPr>
          <w:pgSz w:w="11900" w:h="16838" w:orient="portrait"/>
          <w:cols w:equalWidth="0" w:num="1">
            <w:col w:w="11420"/>
          </w:cols>
          <w:pgMar w:left="240" w:top="585" w:right="239" w:bottom="1440" w:gutter="0" w:footer="0" w:header="0"/>
        </w:sectPr>
      </w:pPr>
    </w:p>
    <w:bookmarkStart w:id="85" w:name="page86"/>
    <w:bookmarkEnd w:id="85"/>
    <w:p>
      <w:pPr>
        <w:jc w:val="both"/>
        <w:spacing w:after="0" w:line="286" w:lineRule="auto"/>
        <w:rPr>
          <w:sz w:val="20"/>
          <w:szCs w:val="20"/>
          <w:color w:val="auto"/>
        </w:rPr>
      </w:pPr>
      <w:r>
        <w:rPr>
          <w:rFonts w:ascii="Arial" w:cs="Arial" w:eastAsia="Arial" w:hAnsi="Arial"/>
          <w:sz w:val="19"/>
          <w:szCs w:val="19"/>
          <w:color w:val="auto"/>
        </w:rPr>
        <w:t>Book 60, page 157 of the Records of Bossier Parish, Louisiana, said point lying on the Southerly right of way line of Riverside Drive; Run thence along said right of way line and the front property line of Lots 113, 112, 111 and a portion of Lot 110 of said Riverside Subdivision South 60°51’53” East a distance of 192.75 feet; Thence leaving said Southerly right of way line of Riverside Drive, run South 29°07’29” West a distance of 165.43 feet; Run thence North 70°11’51” West a distance of 13.30 feet; Run thence South 28°57’00” West a distance of 1,021.25 feet to a point being the most Southeasterly corner of a tract of land owned by Casino Magic of Louisiana Corp., said point also being the point of beginning of the tract herein described; Run thence South 28°57’00” West a distance of 58.09 feet to a point on the high bank of the Red River; Run thence along said high bank the following courses and distances: North 58°06’50” West a distance of 99.46 feet; North 68°39’18” West a distance of 107.65 feet; North 64°46’01” West a distance of 59.95 feet; North 54°59’20” West a distance of 55.60 feet; North 71°05’21” West a distance of 44.44 feet; North 58°35’49” West a distance of 59.16 feet; North 58°34’22” West a distance of 63.52 feet; North 48°22’26” West a distance of 43.01 feet; North 55°16’36” West a distance of 71.06 feet; North 51°27’28” West a distance of 83.50 feet; North 53°26’45” West a distance of 48.28 feet; North 54°43’33” West a distance of 45.27 feet; North 29°51’48” West a distance of 13.25 feet; North 61°25’01” West a distance of 21.70 feet and North 41°39’41” West a distance of 27.81 feet; Thence leaving said high bank run North 24°48’49” East a distance of 64.52 feet; Run thence South 55°10’08” East a distance of 614.30 feet; Run thence South 64°12’33” East a distance of 101.11 feet; Run thence South 62°23’39” East a distance of 127.28 feet to the point of beginning of tract, containing 1.348 acres, more or less.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The following described property described in that certain Act of Exchange recorded in Conveyance Book 1445, Page 337 as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Instrument No. 931523 of the Records of Bossier Parish, Louisiana:</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Tract 1</w:t>
      </w:r>
    </w:p>
    <w:p>
      <w:pPr>
        <w:spacing w:after="0" w:line="28"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A tract of land located on Lot 37 and the west 45.4 feet of Lot 38, Cook Subdivision, a subdivision of Bossier City, Bossier Parish, Louisiana, as recorded in Book 141, Page 11 of the Conveyance Records of Bossier Parish, Louisiana, being more particularly described as follows: all that portion of the remainder of Lot 37 and the west 45.4 feet of Lot 38, Cook Subdivision, less Parcel 1-5, as dedicated to the right-of-way of the Arthur Ray Teague Parkway; containing 19,992.568 square feet, more or less, as more fully shown on plat of survey by Aillett, Fenner, Jolly &amp; McClelland, Inc., dated September 2007, last revised October 25, 2007, a copy of which is attached to the Deed recorded in Conveyance Book 1445, Page 337 as Instrument No. 931523 of the Records of Bossier Parish, Louisiana (the “Survey”).</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Tract 2:</w:t>
      </w:r>
    </w:p>
    <w:p>
      <w:pPr>
        <w:spacing w:after="0" w:line="374"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A tract of land located on the east 4.6 feet of Lot 38 and the west 40 feet of Lot 39, Cook Subdivision, a subdivision of Bossier City, Bossier Parish, Louisiana, as recorded in Book 141, Page 11 of the Conveyance Records of Bossier Parish, Louisiana, being more particularly described as follows: all that portion of the remainder of the east 4.6 feet of Lot 38 and the west 40 feet of Lot 39, Cook Subdivision, less Parcel 1-8, as dedicated to the right-of-way of the Arthur Ray Teague Parkway; containing 9,114.047 square feet, more or less, as more fully shown on the Survey.</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Tract 3:</w:t>
      </w:r>
    </w:p>
    <w:p>
      <w:pPr>
        <w:spacing w:after="0" w:line="388"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A tract of land located on the east 10 feet of Lot 39 and Lot 40, Cook Subdivision, a subdivision of Bossier City, Bossier Parish, Louisiana, as recorded in Book 141, Page 11 of the Conveyance Records of Bossier Parish, Louisiana, being more particularly described as follows: all that portion of the remainder of the east 10 feet of Lot 39 and Lot 40, Cook Subdivision, less Parcel 1-9, as dedicated to the right-of-way of the Arthur Ray Teague Parkway; containing 12,047.080 square feet, more or less, as more fully shown on the Survey.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B - 36</w:t>
      </w:r>
    </w:p>
    <w:p>
      <w:pPr>
        <w:sectPr>
          <w:pgSz w:w="11900" w:h="16838" w:orient="portrait"/>
          <w:cols w:equalWidth="0" w:num="1">
            <w:col w:w="11420"/>
          </w:cols>
          <w:pgMar w:left="240" w:top="591" w:right="239" w:bottom="1440" w:gutter="0" w:footer="0" w:header="0"/>
        </w:sectPr>
      </w:pPr>
    </w:p>
    <w:bookmarkStart w:id="86" w:name="page87"/>
    <w:bookmarkEnd w:id="86"/>
    <w:p>
      <w:pPr>
        <w:spacing w:after="0"/>
        <w:rPr>
          <w:sz w:val="20"/>
          <w:szCs w:val="20"/>
          <w:color w:val="auto"/>
        </w:rPr>
      </w:pPr>
      <w:r>
        <w:rPr>
          <w:rFonts w:ascii="Arial" w:cs="Arial" w:eastAsia="Arial" w:hAnsi="Arial"/>
          <w:sz w:val="22"/>
          <w:szCs w:val="22"/>
          <w:b w:val="1"/>
          <w:bCs w:val="1"/>
          <w:u w:val="single" w:color="auto"/>
          <w:color w:val="auto"/>
        </w:rPr>
        <w:t>Tract 4:</w:t>
      </w:r>
    </w:p>
    <w:p>
      <w:pPr>
        <w:spacing w:after="0" w:line="22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A tract of land located on Lot 41 and the west one-half of Lot 42, Cook Subdivision, a subdivision of Bossier City, Bossier Parish, Louisiana, as recorded in Book 141, Page 11 of the Conveyance Records of Bossier Parish, Louisiana, being more particularly described as follows: all that portion of the remainder of Lot 41 and the West one-half of Lot 42, Cook Subdivision, less Parcel 1-11, as dedicated to the right-of-way of the Arthur Ray Teague Parkway; containing 14,667.508 square feet, more or less, as more fully shown on the Survey.</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Tract 5:</w:t>
      </w:r>
    </w:p>
    <w:p>
      <w:pPr>
        <w:spacing w:after="0" w:line="22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A tract of land located on the east one-half of Lot 42 and Lot 43, Cook Subdivision, a subdivision of Bossier City, Bossier Parish, Louisiana, as recorded in Book 141, Page 11 of the Conveyance Records of Bossier Parish, Louisiana, being more particularly described as follows: all that portion of the remainder of the east one-half of Lot 42 and Lot 43, Cook Subdivision, less Parcel 1-13, as dedicated to the right-of-way of the Arthur Ray Teague Parkway; containing 14,239.267 square feet, more or less, as more fully shown on the Survey.</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Tract 6:</w:t>
      </w:r>
    </w:p>
    <w:p>
      <w:pPr>
        <w:spacing w:after="0" w:line="226"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A tract of land located on Lot 44, Cook Subdivision, a subdivision of Bossier City, Bossier Parish, Louisiana, as recorded in Book 141, Page 11 of the Conveyance ‘Records of Bossier Parish, Louisiana, being more particularly described as fellows: all that portion of the remainder of Lot 44, Cook Subdivision, less Parcel 1-15, as dedicated to the right-of-way of the Arthur Ray Teague Parkway; containing 9,249.384 square feet, more or less, as more fully shown on the Survey.</w:t>
      </w:r>
    </w:p>
    <w:p>
      <w:pPr>
        <w:spacing w:after="0" w:line="3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LESS AND EXCEPT FROM ALL OF THE ABOVE DESCRIBED PROPERTY:</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following described parcels described in that certain Act of Conveyance and Servitude Grant recorded in Conveyance Book 1445, Page 319 as Instrument No. 931522 of the Records of Bossier Parish, Louisiana:</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PARCEL 1-3:</w:t>
      </w:r>
    </w:p>
    <w:p>
      <w:pPr>
        <w:spacing w:after="0" w:line="38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Being located on Lots 35 and 36, Cook Subdivision, as recorded in Book 141, Page 11 in the Conveyance Records of Bossier Parish, Louisiana, being more particularly described as follows:</w:t>
      </w:r>
    </w:p>
    <w:p>
      <w:pPr>
        <w:spacing w:after="0" w:line="121"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From the Northeast Comer of Lot 36 at intersection of existing right of way known as Riverside Drive, run south 27 degrees 39 minutes 23 seconds West, a distance of 16.30 feet; run thence North 61 degrees 46 minutes 26 seconds West, a distance of 0.67 feet; run thence along a right curve having a radius of 341.97 feet, whose length is 77.54 feet and whose chord length is 77.37 feet and bears North 68 degrees 16 minutes 10 seconds West; run thence south 83 degrees 39 minutes 02 seconds East, a distance of 67.23 feet, run thence South 61 degrees 46 minutes 41 seconds East, a distance of 15.00 feet back to the Northeast Corner of Lot</w:t>
      </w:r>
    </w:p>
    <w:p>
      <w:pPr>
        <w:spacing w:after="0" w:line="4" w:lineRule="exact"/>
        <w:rPr>
          <w:sz w:val="20"/>
          <w:szCs w:val="20"/>
          <w:color w:val="auto"/>
        </w:rPr>
      </w:pPr>
    </w:p>
    <w:p>
      <w:pPr>
        <w:jc w:val="both"/>
        <w:ind w:firstLine="8"/>
        <w:spacing w:after="0" w:line="260" w:lineRule="auto"/>
        <w:tabs>
          <w:tab w:leader="none" w:pos="325" w:val="left"/>
        </w:tabs>
        <w:numPr>
          <w:ilvl w:val="0"/>
          <w:numId w:val="28"/>
        </w:numPr>
        <w:rPr>
          <w:rFonts w:ascii="Arial" w:cs="Arial" w:eastAsia="Arial" w:hAnsi="Arial"/>
          <w:sz w:val="21"/>
          <w:szCs w:val="21"/>
          <w:color w:val="auto"/>
        </w:rPr>
      </w:pPr>
      <w:r>
        <w:rPr>
          <w:rFonts w:ascii="Arial" w:cs="Arial" w:eastAsia="Arial" w:hAnsi="Arial"/>
          <w:sz w:val="21"/>
          <w:szCs w:val="21"/>
          <w:color w:val="auto"/>
        </w:rPr>
        <w:t>All of which comprises Parcel 1 -3, Bossier City Project No. 8-00, containing 0.022 acres or 976.88 square feet, more or less, as more-fully shown on plat of Survey by Aillett, Fenner, Jolly &amp; McClelland, Inc., dated September, 2007, last revised October 25, 2007, a copy of which is attached to Act of Conveyance and Servitude Grant recorded in Conveyance Book 1445, Page 319 as Instrument No. 931522, Records of Bossier Parish, Louisiana (the “Survey”).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B - 37</w:t>
      </w:r>
    </w:p>
    <w:p>
      <w:pPr>
        <w:sectPr>
          <w:pgSz w:w="11900" w:h="16838" w:orient="portrait"/>
          <w:cols w:equalWidth="0" w:num="1">
            <w:col w:w="11420"/>
          </w:cols>
          <w:pgMar w:left="240" w:top="585" w:right="239" w:bottom="1440" w:gutter="0" w:footer="0" w:header="0"/>
        </w:sectPr>
      </w:pPr>
    </w:p>
    <w:bookmarkStart w:id="87" w:name="page88"/>
    <w:bookmarkEnd w:id="87"/>
    <w:p>
      <w:pPr>
        <w:spacing w:after="0"/>
        <w:rPr>
          <w:sz w:val="20"/>
          <w:szCs w:val="20"/>
          <w:color w:val="auto"/>
        </w:rPr>
      </w:pPr>
      <w:r>
        <w:rPr>
          <w:rFonts w:ascii="Arial" w:cs="Arial" w:eastAsia="Arial" w:hAnsi="Arial"/>
          <w:sz w:val="22"/>
          <w:szCs w:val="22"/>
          <w:b w:val="1"/>
          <w:bCs w:val="1"/>
          <w:u w:val="single" w:color="auto"/>
          <w:color w:val="auto"/>
        </w:rPr>
        <w:t>PARCEL 1-17:</w:t>
      </w:r>
    </w:p>
    <w:p>
      <w:pPr>
        <w:spacing w:after="0" w:line="38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Being located on Lot 45, Cook Subdivision, as recorded in Book 141, Page 11 in the Conveyance Records of Bossier Parish, Louisiana, being more particularly described as follows:</w:t>
      </w:r>
    </w:p>
    <w:p>
      <w:pPr>
        <w:spacing w:after="0" w:line="175"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From the Northwest Corner of Lot 45 at intersection of Northeast Corner of Lot 44 and existing right of way known as Riverside Drive, run South 61 degrees 46 minutes 41 seconds East, a distance of 50.17 feet; run thence South 28 degrees 46 minutes 38 seconds West, a distance of 16.33 feet; run thence North 61 degrees 46 minutes 26 seconds West a distance of 50.14 feet; run thence North 28 degrees 39 minutes 32 seconds East, a distance of 16.33 feet, back to the Northwest Corner of Lot 45. All of which comprises Parcel 1-17, Bossier City Project No 8-00 containing 0.0188 acres or 818.974 square feet; more or less, as more fully shown on the Survey.</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PARCEL 1-22:</w:t>
      </w:r>
    </w:p>
    <w:p>
      <w:pPr>
        <w:spacing w:after="0" w:line="38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Being a portion of Lot 34, Cook Subdivision, as recorded in Book 141, Page 11 in the Conveyance Records of Bossier Parish, Louisiana, being more particularly described as follows:</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From the point of intersection of the South right of way line of Riverside Drive and the West right of way line of Kaywood Court, said point and comer being the point of beginning of the tract herein described, run South 27 degrees 39 minutes 23 seconds West, along said West right of way line of Kaywood Court, a distance of 20.44 feet; run thence North 82 degrees 24 minutes 22 seconds West, a distance of 45.80 feet, to the point of curvature of a curve to the right, having the following data: radius=439.78 feet, chord=North 81 degrees 54 minutes 05 seconds West, a distance of 7.75 feet; run thence in a Northwesterly direction, along said curve, a distance of 7.75 feet, to the point of intersection with the West line of said Lot 34; run thence North 28 degrees 49 minutes 59 seconds East, along said Lot line, a distance of 19.28 feet, to the point of intersection with the South right of way line of said Riverside Drive; run thence South 83 degrees 39 minutes 02 seconds East, a distance of 53.59 feet, to the point of beginning. Containing 0.0228 acres (993.177 square feet), more or less, as more fully shown on the Survey.</w:t>
      </w:r>
    </w:p>
    <w:p>
      <w:pPr>
        <w:spacing w:after="0" w:line="8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PARCEL 2-4:</w:t>
      </w:r>
    </w:p>
    <w:p>
      <w:pPr>
        <w:spacing w:after="0" w:line="374" w:lineRule="exact"/>
        <w:rPr>
          <w:sz w:val="20"/>
          <w:szCs w:val="20"/>
          <w:color w:val="auto"/>
        </w:rPr>
      </w:pPr>
    </w:p>
    <w:p>
      <w:pPr>
        <w:spacing w:after="0"/>
        <w:rPr>
          <w:sz w:val="20"/>
          <w:szCs w:val="20"/>
          <w:color w:val="auto"/>
        </w:rPr>
      </w:pPr>
      <w:r>
        <w:rPr>
          <w:rFonts w:ascii="Arial" w:cs="Arial" w:eastAsia="Arial" w:hAnsi="Arial"/>
          <w:sz w:val="19"/>
          <w:szCs w:val="19"/>
          <w:color w:val="auto"/>
        </w:rPr>
        <w:t>Being located on Lots 113, 112, 111, and a portion of Lot 110, Riverside Subdivision, as recorded in Book 60, Page 157 of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Conveyance Records of Bossier Parish, Louisiana, being more particularly described as follows:</w:t>
      </w:r>
    </w:p>
    <w:p>
      <w:pPr>
        <w:spacing w:after="0" w:line="148"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From the Northwest Comer of Lot 113 at intersection of Northeast Comer of Lot 114 and existing right of way known as Riverside Drive, run South 61 degrees 46 minutes 41 seconds East, a distance of 192.73 feet; run thence South 28 degrees 13 minutes 19 seconds West, a distance of 16.35 feet; run thence North 61 degrees 46 minutes 26 seconds West a distance of 192.70 feet; run thence North 28 degrees 06 minutes 11 seconds East, a distance of 16.34 feet, back to the Northwest Corner of Lot 113. All of which comprises Parcel 2-4, Bossier City Project No. 8-00, containing 0.0723 acres or 3150.14 square feet, more or less, as more fully shown on the Survey.</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color w:val="auto"/>
        </w:rPr>
        <w:t>AND ALSO LESS AND EXCEPT:</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color w:val="auto"/>
        </w:rPr>
        <w:t>The following described Tract described in that certain Act of Exchange recorded in Conveyance Book 1445, Page 337 as</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Instrument No. 931523 of the Records of Bossier Parish, Louisiana:</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B - 38</w:t>
      </w:r>
    </w:p>
    <w:p>
      <w:pPr>
        <w:sectPr>
          <w:pgSz w:w="11900" w:h="16838" w:orient="portrait"/>
          <w:cols w:equalWidth="0" w:num="1">
            <w:col w:w="11420"/>
          </w:cols>
          <w:pgMar w:left="240" w:top="747" w:right="239" w:bottom="1440" w:gutter="0" w:footer="0" w:header="0"/>
        </w:sectPr>
      </w:pPr>
    </w:p>
    <w:bookmarkStart w:id="88" w:name="page89"/>
    <w:bookmarkEnd w:id="88"/>
    <w:p>
      <w:pPr>
        <w:spacing w:after="0"/>
        <w:rPr>
          <w:sz w:val="20"/>
          <w:szCs w:val="20"/>
          <w:color w:val="auto"/>
        </w:rPr>
      </w:pPr>
      <w:r>
        <w:rPr>
          <w:rFonts w:ascii="Arial" w:cs="Arial" w:eastAsia="Arial" w:hAnsi="Arial"/>
          <w:sz w:val="22"/>
          <w:szCs w:val="22"/>
          <w:b w:val="1"/>
          <w:bCs w:val="1"/>
          <w:u w:val="single" w:color="auto"/>
          <w:color w:val="auto"/>
        </w:rPr>
        <w:t>Tract 7:</w:t>
      </w:r>
    </w:p>
    <w:p>
      <w:pPr>
        <w:spacing w:after="0" w:line="388"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A tract of land located on Lots 110, 111, 112 and 113, Riverside Subdivision, a subdivision of Bossier City, Bossier Parish, Louisiana, as recorded in Book 60, Page 157 of the Conveyance Records of Bossier Parish, Louisiana, being more particularly described as follows: all mat portion of the remainder of Lots 110, 111, 112 and 113, Riverside Subdivision, less Parcel 2-4, as dedicated to the right-of-way of the Arthur Ray Teague Parkway (and subject to the permanent utility servitude over Parcel 2-4A); containing 31,771.125 square feet, more or less, as more fully shown on the Survey described in that certain Act of Exchange recorded in Conveyance Book 1445, Page 337 as Instrument No. 931523 of the Records of Bossier Parish, Louisiana.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 B - 39</w:t>
      </w:r>
    </w:p>
    <w:p>
      <w:pPr>
        <w:sectPr>
          <w:pgSz w:w="11900" w:h="16838" w:orient="portrait"/>
          <w:cols w:equalWidth="0" w:num="1">
            <w:col w:w="11420"/>
          </w:cols>
          <w:pgMar w:left="240" w:top="747"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22"/>
          <w:szCs w:val="22"/>
          <w:b w:val="1"/>
          <w:bCs w:val="1"/>
          <w:u w:val="single" w:color="auto"/>
          <w:color w:val="auto"/>
        </w:rPr>
        <w:t>Boomtown New Orleans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Tract I</w:t>
      </w:r>
    </w:p>
    <w:p>
      <w:pPr>
        <w:spacing w:after="0" w:line="22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A certain piece or portion of ground, together with the buildings and improvements thereon, which is a part of Lot 16, Destrehan Division, Section 56, T14S, R24E, and is identified as Lot 11-A on a plan of resubdivision of Dufrene Surveying &amp; Engineering, dated January 24, 1994, approved by the Parish of Jefferson under Ordinance No. 19026 and recorded April 20, 1994 in COB 2892, Page 609, records of Jefferson Parish, and in accordance with a survey of BFM Corporation, last dated May 24, 2001, Drawing No. M-201-001A, Lot 11-A is more fully described as follows:</w:t>
      </w:r>
    </w:p>
    <w:p>
      <w:pPr>
        <w:spacing w:after="0" w:line="192"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Begin at the intersection of the southerly line of Lot 11-A, the northerly line of Lot 18 and a 30-foot railroad right of way; thence S 72° 20’ 45” W a distance of 1,294.22 feet to a point on the easterly right of way line of the Gulf Intracoastal Waterway; thence N 17° 39’ 15” W a distance of 1,652.33 feet to a point; thence N 72° 20’ 45” E a distance of 1,433.59 feet to a point on the westerly railroad right of way; thence S 16° 12’ 26” E a distance of 650.21 feet to a point; thence S 16° 20’ 32” E a distance of 1,259.00 feet to a point.</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Said Lot 11-A is composed of a portion of Lot 9 and all of Lots 10, 11 and 12 and those portions of Lots 13, 14, 15, 16 and 17, formerly known as Lots X and Y.</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Tract II:</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 following servitudes and agreements as established as follows:</w:t>
      </w:r>
    </w:p>
    <w:p>
      <w:pPr>
        <w:spacing w:after="0" w:line="220" w:lineRule="exact"/>
        <w:rPr>
          <w:sz w:val="20"/>
          <w:szCs w:val="20"/>
          <w:color w:val="auto"/>
        </w:rPr>
      </w:pPr>
    </w:p>
    <w:p>
      <w:pPr>
        <w:ind w:firstLine="8"/>
        <w:spacing w:after="0" w:line="301" w:lineRule="auto"/>
        <w:tabs>
          <w:tab w:leader="none" w:pos="444" w:val="left"/>
        </w:tabs>
        <w:numPr>
          <w:ilvl w:val="0"/>
          <w:numId w:val="29"/>
        </w:numPr>
        <w:rPr>
          <w:rFonts w:ascii="Arial" w:cs="Arial" w:eastAsia="Arial" w:hAnsi="Arial"/>
          <w:sz w:val="21"/>
          <w:szCs w:val="21"/>
          <w:color w:val="auto"/>
        </w:rPr>
      </w:pPr>
      <w:r>
        <w:rPr>
          <w:rFonts w:ascii="Arial" w:cs="Arial" w:eastAsia="Arial" w:hAnsi="Arial"/>
          <w:sz w:val="21"/>
          <w:szCs w:val="21"/>
          <w:color w:val="auto"/>
        </w:rPr>
        <w:t>Servitudes granted by Numa C. Hero to Howard T. Tellepsen for ingress and egress to Peters Road, dated January 05, 1965 recorded January 12, 1965 as COB 606, Page 514, official records of the Parish of Jefferson, State of Louisiana.</w:t>
      </w:r>
    </w:p>
    <w:p>
      <w:pPr>
        <w:spacing w:after="0" w:line="137" w:lineRule="exact"/>
        <w:rPr>
          <w:rFonts w:ascii="Arial" w:cs="Arial" w:eastAsia="Arial" w:hAnsi="Arial"/>
          <w:sz w:val="21"/>
          <w:szCs w:val="21"/>
          <w:color w:val="auto"/>
        </w:rPr>
      </w:pPr>
    </w:p>
    <w:p>
      <w:pPr>
        <w:ind w:right="20" w:firstLine="8"/>
        <w:spacing w:after="0" w:line="301" w:lineRule="auto"/>
        <w:tabs>
          <w:tab w:leader="none" w:pos="527" w:val="left"/>
        </w:tabs>
        <w:numPr>
          <w:ilvl w:val="0"/>
          <w:numId w:val="29"/>
        </w:numPr>
        <w:rPr>
          <w:rFonts w:ascii="Arial" w:cs="Arial" w:eastAsia="Arial" w:hAnsi="Arial"/>
          <w:sz w:val="21"/>
          <w:szCs w:val="21"/>
          <w:color w:val="auto"/>
        </w:rPr>
      </w:pPr>
      <w:r>
        <w:rPr>
          <w:rFonts w:ascii="Arial" w:cs="Arial" w:eastAsia="Arial" w:hAnsi="Arial"/>
          <w:sz w:val="21"/>
          <w:szCs w:val="21"/>
          <w:color w:val="auto"/>
        </w:rPr>
        <w:t>Private Roadway Agreement granted by Southern Pacific Company to Howard T. Tellepsen, dated December 31, 1964, recorded January 12, 1965 as COB 606, Page 516, official records of the Parish of Jefferson, State of Louisiana.</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color w:val="auto"/>
        </w:rPr>
        <w:t>(The “Insured Access Agreements”).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B - 40</w:t>
      </w:r>
    </w:p>
    <w:p>
      <w:pPr>
        <w:sectPr>
          <w:pgSz w:w="11900" w:h="16838" w:orient="portrait"/>
          <w:cols w:equalWidth="0" w:num="1">
            <w:col w:w="11420"/>
          </w:cols>
          <w:pgMar w:left="240" w:top="841" w:right="239" w:bottom="1440" w:gutter="0" w:footer="0" w:header="0"/>
        </w:sectPr>
      </w:pPr>
    </w:p>
    <w:bookmarkStart w:id="90" w:name="page91"/>
    <w:bookmarkEnd w:id="90"/>
    <w:p>
      <w:pPr>
        <w:ind w:left="4740"/>
        <w:spacing w:after="0"/>
        <w:rPr>
          <w:sz w:val="20"/>
          <w:szCs w:val="20"/>
          <w:color w:val="auto"/>
        </w:rPr>
      </w:pPr>
      <w:r>
        <w:rPr>
          <w:rFonts w:ascii="Arial" w:cs="Arial" w:eastAsia="Arial" w:hAnsi="Arial"/>
          <w:sz w:val="22"/>
          <w:szCs w:val="22"/>
          <w:b w:val="1"/>
          <w:bCs w:val="1"/>
          <w:u w:val="single" w:color="auto"/>
          <w:color w:val="auto"/>
        </w:rPr>
        <w:t>Ameristar Vicksburg</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TRACT ONE</w:t>
      </w:r>
      <w:r>
        <w:rPr>
          <w:rFonts w:ascii="Arial" w:cs="Arial" w:eastAsia="Arial" w:hAnsi="Arial"/>
          <w:sz w:val="22"/>
          <w:szCs w:val="22"/>
          <w:b w:val="1"/>
          <w:bCs w:val="1"/>
          <w:color w:val="auto"/>
        </w:rPr>
        <w:t>: Magnolia (Casino) Parcel Fee Simple</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That tract or parcel of land lying and being situate in the City of Vicksburg, County of Warren, State of Mississippi, and being part of Section 32, Township 16 North, Range 3 East, more particularly described as follows, to-wit:</w:t>
      </w:r>
    </w:p>
    <w:p>
      <w:pPr>
        <w:spacing w:after="0" w:line="175"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Beginning at an iron pipe located on the Western right-of-way line of Washington Street (being the same public road known as U.S. Highways 61 and 80 or Warrenton Road) as same existed on November 7, 1992, same lying South 87° 35' East, 25.4 feet from Vicksburg National Military Park Concrete Marker No. 389, and from said point of beginning run thence North 87° 35' West, a distance of 25.4 feet to said Vicksburg National Military Park Marker No. 389, which point marks the Southeast corner of the lands presently occupied by said Vicksburg National Military Park and known as South Fort, same having been conveyed to the United States of America by instrument recorded in Deed Book 93 at Page 268 of the aforesaid land records, and from said marker run thence along the South boundary line of said South Fort, having a published course and distance within deed heretofore executed by Rose Supply, Inc. in favor of Magnolia Hotel Company, recorded in Deed Book 684 at Page 47, of North 74° 55' West, a distance of 421 feet, but having an actual course and distance, as measured between Vicksburg National Military Park Monument Nos. 389 and 388, of North 74° 53' West 417.58 feet, but, nevertheless, to Vicksburg National Military Park Monument No. 388, found at the Southwest Corner of said South Fort parcel, which point further marks the Southeast Corner of lands conveyed to Miss Priscilla Brady by deed dated December 20, 1923, recorded in Deed Book 156 at Page 48 of said land records; run thence along the South line of said Brady parcel and the North line of the lands described herein, North 74° 55' West, 240 feet, more or less, to the water's edge of the Mississippi River as same existed on November 7, 1992; thence continue in a westerly direction to a point where said line intersects the thalweg of the Mississippi River marking the boundary between the States of Mississippi and Louisiana; run thence in Southerly direction following the thalweg of the said Mississippi River and the meanderings thereof marking the boundary line between the States of Mississippi and Louisiana, having a published distance in the aforedescribed deed recorded in Deed Book 684 at Page 47 of 555 feet, but having an actual distance believed to approximate 460 feet, more or less, but, nevertheless, to a point where the Westerly projection of the North line of that certain tract or parcel of land conveyed to Vicksburg Bridge Company by Deed dated June 24, 1944, recorded in Deed Book 242 at Page 443, (being the same parcel subsequently conveyed by Warren County, Mississippi to R. R. Morrison &amp; Son, Inc. by correction deed recorded in Deed Book 968 at Page 707 of the aforesaid Land Records) intersects the thalweg of said Mississippi River; thence leaving the thalweg of said Mississippi River and run South 64° 25' East, a distance sufficient to intersect the water's edge of the Mississippi River at its Easterly bank as same existed on November 7, 1992, which point marks the Northwest Corner of the aforedescribed parcel heretofore conveyed unto Vicksburg Bridge Company by instrument recorded in Deed Book 242 at Page 443 and further described within Correction Deed in favor of R. R. Morrison &amp; Son, Inc., recorded in Deed Book 968 at Page 707, each within the aforesaid Land Records of Warren County; run thence along the North line of said Morrison parcel described in said Deed Book 968 at Page 707, South 64° 25' East, a distance of 435.0 feet, more or less, to a point marking the Northeast Corner of said Morrison parcel described in said Deed Book 968 at Page 707 and the Northwest Corner of another parcel conveyed to R. R. Morrison &amp; Son, Inc. by deed recorded in Deed Book 592 at Page 113 of said land records; continue thence along the North line of said Morrison parcel described in said Deed Book 592 at Page 113 and along the South line of the tract herein described South 64° 17' East a distance of 175.0 feet, more or less, to a point on the West right-of-way line of Washington Street (being the same public roadway sometimes known as Warrenton Road and U.S. Highway Nos. 61 and 80), as same existed on November 7, 1992; thence leaving the North line of said Morrison parcel described in said Deed Book 592 at Page 113 and run along the West right-of-way line of said Washington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B - 41</w:t>
      </w:r>
    </w:p>
    <w:p>
      <w:pPr>
        <w:sectPr>
          <w:pgSz w:w="11900" w:h="16838" w:orient="portrait"/>
          <w:cols w:equalWidth="0" w:num="1">
            <w:col w:w="11420"/>
          </w:cols>
          <w:pgMar w:left="240" w:top="585" w:right="239" w:bottom="1440" w:gutter="0" w:footer="0" w:header="0"/>
        </w:sectPr>
      </w:pPr>
    </w:p>
    <w:bookmarkStart w:id="91" w:name="page92"/>
    <w:bookmarkEnd w:id="91"/>
    <w:p>
      <w:pPr>
        <w:jc w:val="both"/>
        <w:spacing w:after="0" w:line="343" w:lineRule="auto"/>
        <w:rPr>
          <w:sz w:val="20"/>
          <w:szCs w:val="20"/>
          <w:color w:val="auto"/>
        </w:rPr>
      </w:pPr>
      <w:r>
        <w:rPr>
          <w:rFonts w:ascii="Arial" w:cs="Arial" w:eastAsia="Arial" w:hAnsi="Arial"/>
          <w:sz w:val="19"/>
          <w:szCs w:val="19"/>
          <w:color w:val="auto"/>
        </w:rPr>
        <w:t>Street, North 20° 46' East, 580.21 feet, more or less, to a point, which point marks the point of beginning of the parcel herein described, all lying and being situate within Section 32, Township 16 North, Range 3 East, Vicksburg, Warren County, Mississippi.</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TRACT TWO:</w:t>
      </w:r>
      <w:r>
        <w:rPr>
          <w:rFonts w:ascii="Arial" w:cs="Arial" w:eastAsia="Arial" w:hAnsi="Arial"/>
          <w:sz w:val="22"/>
          <w:szCs w:val="22"/>
          <w:b w:val="1"/>
          <w:bCs w:val="1"/>
          <w:color w:val="auto"/>
        </w:rPr>
        <w:t xml:space="preserve"> Lum-Brady (Casino) Fee Simple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Parcel One:</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Those portions of Sections 31 and 32, Township 16 North, Range 3 East, Vicksburg, Warren County, Mississippi, more particularly described as follows, to-wit:</w:t>
      </w:r>
    </w:p>
    <w:p>
      <w:pPr>
        <w:spacing w:after="0" w:line="175"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Beginning at a park stone identified as "Vicksburg National Military Park Monument No. 379", which point further marks the Southeast corner of that certain or parcel of land conveyed unto the Mayor and Aldermen of the City of Vicksburg, Mississippi, and Warren County, Mississippi, by Campbell Development Corporation, et al, within Deed dated December 1, 1989, recorded in Deed Book 882 at Page 233 of the Land Records of Warren County, Mississippi, wherein said point is said to lie North 17° 22' 30" West, 671.54 feet from the Southeast corner of Section 31, Township 16 North, Range 3 East, Vicksburg, Warren County, Mississippi, which point is further described as the Southwest corner of a parcel heretofore described as an old government fort described in Deed Book 92 at Page 248 of the aforesaid Warren County Land Records, same presently occupied by the said Vicksburg National Military Park and known as Louisiana Circle and from said point of beginning run thence along the South line of said Vicksburg National Military Park parcel and the North line of the lands herein described having a published course within instrument recorded in Deed Book 950 at Page 518 of the aforesaid Land Records of South 68° 23' East, but having an actual course of South 69° 40' 37" East, but, nevertheless, a distance of 195.13 feet, more or less, to a point on the West right-of-way line of Washington Street (being the same public roadway sometimes known as Warrenton Road and U.S. Highway Nos. 61 and 80) as same existed on November 7, 1992, which point lies North 69° 40' 37" West, 17.93 feet from Vicksburg National Military Park Monument No. 380; run thence along the West right-of-way line of said Washington Street as located on November 7, 1992, with the following courses and distances, viz: South 07° 16' 28" West, 80.55 feet, South 09° 24' 24" West, 160.94 feet, South 14° 39' 57" West, 98.08 feet, more or less, to an iron pipe found in the North line of that certain parcel described as Tract Two within Deed recorded in Deed Book 260 at Page 199 of the aforesaid Land Records and being further depicted upon plat attached thereto and further described as Tract Two within Deed in favor Globe Industries, Inc., recorded in Deed Book 484 at Page 35 of said Land Records; thence leaving the West line of Washington Street and run along the North line of lands described as Tract Two within said Deed Book 484 at Page 35, North 73° 00' West, 51.3 feet, more or less, to an iron pipe found at the Northwest corner of said Tract Two described within said Deed Book 484 at Page 35; run thence along the West line of said Tract Two described within said Deed Book 484 at Page 35, having a published course therein of South 20° 45' West, but having an actual course of South 21° 16' 25" West, but, nevertheless, a distance of 182.97 feet, more or less, to an iron pipe found at the Southwest corner thereof; run thence along the South line of said Tract Two described in said Deed Book 484 at Page 35, South 54° 00' East, 52.0 feet, more or less, to the West right-of-way line of said Washington Street as same is located on November 7, 1992; run thence along the West right-of-way line of said Washington Street, South 23° 40' 41" West, a distance of 186.95 feet, more or less, to an iron pipe found at the Northeast corner of that certain tract of land heretofore conveyed unto Mississippi Power and Light Company by Deed dated May 13, 1925, recorded in Deed Book 158 at Page 424 of the aforesaid Land Records and further described within Quitclaim Deed dated July 14, 1978, recorded in Deed Book 596 at Page 375; thence leaving the West right-of-way line of said Washington Street and run along the North line of said Mississippi Power and Light Company tract North 74° 30' West, 800 feet, more or less, to a point on the bank of the Mississippi River; run thence along the bank of said Mississippi River and the meanderings thereof having an average bearing of North 41° 04' 56" East a distance of 424.86 feet, more or less, to an iron found on the top bank of said river marking the westernmost corner of lands described as Tract One in</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B - 42</w:t>
      </w:r>
    </w:p>
    <w:p>
      <w:pPr>
        <w:sectPr>
          <w:pgSz w:w="11900" w:h="16838" w:orient="portrait"/>
          <w:cols w:equalWidth="0" w:num="1">
            <w:col w:w="11420"/>
          </w:cols>
          <w:pgMar w:left="240" w:top="591" w:right="239" w:bottom="1440" w:gutter="0" w:footer="0" w:header="0"/>
        </w:sectPr>
      </w:pPr>
    </w:p>
    <w:bookmarkStart w:id="92" w:name="page93"/>
    <w:bookmarkEnd w:id="92"/>
    <w:p>
      <w:pPr>
        <w:jc w:val="both"/>
        <w:spacing w:after="0" w:line="283" w:lineRule="auto"/>
        <w:rPr>
          <w:sz w:val="20"/>
          <w:szCs w:val="20"/>
          <w:color w:val="auto"/>
        </w:rPr>
      </w:pPr>
      <w:r>
        <w:rPr>
          <w:rFonts w:ascii="Arial" w:cs="Arial" w:eastAsia="Arial" w:hAnsi="Arial"/>
          <w:sz w:val="19"/>
          <w:szCs w:val="19"/>
          <w:color w:val="auto"/>
        </w:rPr>
        <w:t>Deed recorded in Deed Book 260 at Page 199 of the aforesaid Land Records and depicted upon plat attached thereto, being the same lands further described as Tract One within Deed in favor of Globe Industries, Inc., recorded in Deed Book 484 at Page 35 of said Land Records; thence leaving the bank of said river and run along the South line of lands described as Tract One within said Deeds recorded in Book 260 at Page 199 and Deed Book 484 at Page 35, marked in part by a possession line fence, South 59° 10' East a distance of 447.38 feet, more or less, to the Southeast corner of said lands described as Tract One within said Deeds recorded in Book 260 at Page 199 and Deed Book 484 at Page 35, same being the center line of an ingress-egress easement, 22 feet in width, described within each of said instruments recorded in Deed Book 260 at Page 199 and Deed Book 484 at Page 35; run thence along the East line of the lands described as Tract One within said instruments recorded in Deed Book 260 at Page 199 and Deed Book 484 at Page 35, same being the center line of said ingress-egress easement, 22 feet in width, North 48° 00' East, having a record distance of 250.0 feet, but having an actual distance of 229.48 feet, but, nevertheless, to a point on the South edge of an existing road marking the North line of lands described as Tract One within said instruments recorded in Deed Book 260 at Page 199 and Deed Book 484 at Page 35, which point is further identified as a point on the South line of that certain parcel dedicated for use as a perpetual non-exclusive easement within instrument executed by Martha Ker Brady Lum, et al, in favor of The Merchants Realty Company, its successors and assigns in title, recorded in Deed Book 350 at Page 382 of the aforesaid Land Records; run thence along the Southerly edge of said existing roadway and along the arcs of the curves therein having the following approximate chord bearings and distances, (but, nevertheless, following the edge of pavement as same existed on November 7, 1992) which approximate chord bearings and distances are as follows: North 59° 24' 11" West, 34.59 feet; North 28° 05' 02" West, 62.19 feet; North 06° 11' 50" West, 127.04 feet; North 08° 59' 53" West, 28.84 feet; North 22° 10' 40" West, 34.54 feet; North 44° 06' 20" West, 28.41 feet; North 48° 37' 33" West, 19.80 feet to the Northernmost corner of lands described as Tract One within said instrument recorded in said Deed Book 260 at Page 199 and Deed Book 484 at Page 35, same further identified as the Northeast corner of lands described as Tract Four within said Deed recorded in Deed Book 484 at Page 35, same further being the Northeast corner of lands conveyed unto C. L. Andrews by Deed dated June 14, 1932, recorded in Deed Book 188 at Page 10, and depicted upon plat attached thereto; run thence along the North line of lands described as Tract Four and thereafter along lands described as Tract Three, each within said instrument recorded in Deed Book 484 at Page 35, and along the North line of lands described within said Deed recorded in Deed Book 188 at Page 10, being along the line marked by a board fence identified upon said plat attached to Deed recorded in Deed Book 260 at Page 199, North 67° 00' West a distance of 339.19 feet, more or less, to a point on the bank of the Mississippi River; thence leaving the North line of lands described within Deed Book 484 at Page 35 and Deed Book 188 at Page 10 and run along the bank of said Mississippi River having an average bearing of North 23° 03' 09" East a distance of 32.20 feet, more or less, to a point on the South line of lands conveyed unto the Mayor and Aldermen of the City of Vicksburg and Warren County, Mississippi, by Deed recorded in Deed Book 882 at Page 233 of the aforesaid Land Records; thence leaving the bank of said Mississippi River and run along the South line of said lands conveyed by said Deed Book 882 at Page 233 South 68° 19' East a distance of 412.36 feet, more or less, to the aforedescribed Vicksburg National Military Park Marker No. 379 and the point of beginning of the lands herein described.</w:t>
      </w:r>
    </w:p>
    <w:p>
      <w:pPr>
        <w:spacing w:after="0" w:line="200" w:lineRule="exact"/>
        <w:rPr>
          <w:sz w:val="20"/>
          <w:szCs w:val="20"/>
          <w:color w:val="auto"/>
        </w:rPr>
      </w:pPr>
    </w:p>
    <w:p>
      <w:pPr>
        <w:spacing w:after="0" w:line="24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TOGETHER WITH all those certain tracts or parcels lying West of the West line of the lands hereinabove described which serves to extend the Northerly and Southerly lines thereof in a Westerly direction to the thalweg of the Mississippi River and the boundary line between the states of Mississippi and Louisiana.</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Parcel Two:</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That part of Section 32, Township 16 North, Range 3 East, Vicksburg, Warren County, Mississippi, more particularly described as follows, to-wit: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B - 43</w:t>
      </w:r>
    </w:p>
    <w:p>
      <w:pPr>
        <w:sectPr>
          <w:pgSz w:w="11900" w:h="16838" w:orient="portrait"/>
          <w:cols w:equalWidth="0" w:num="1">
            <w:col w:w="11420"/>
          </w:cols>
          <w:pgMar w:left="240" w:top="591" w:right="239" w:bottom="1440" w:gutter="0" w:footer="0" w:header="0"/>
        </w:sectPr>
      </w:pPr>
    </w:p>
    <w:bookmarkStart w:id="93" w:name="page94"/>
    <w:bookmarkEnd w:id="93"/>
    <w:p>
      <w:pPr>
        <w:jc w:val="both"/>
        <w:ind w:firstLine="648"/>
        <w:spacing w:after="0" w:line="283" w:lineRule="auto"/>
        <w:rPr>
          <w:sz w:val="20"/>
          <w:szCs w:val="20"/>
          <w:color w:val="auto"/>
        </w:rPr>
      </w:pPr>
      <w:r>
        <w:rPr>
          <w:rFonts w:ascii="Arial" w:cs="Arial" w:eastAsia="Arial" w:hAnsi="Arial"/>
          <w:sz w:val="19"/>
          <w:szCs w:val="19"/>
          <w:color w:val="auto"/>
        </w:rPr>
        <w:t>Beginning at a park stone identified as "Vicksburg National Military Park Monument No. 388", which point is further described as the southwest corner of a parcel heretofore described as an old government fort described in Deed Book 93 at Page 268 of the Land Records of Warren County, Mississippi, same presently occupied by the said Vicksburg National Military Park and known as South Fort and which point is further described as a point on the North line of that certain tract conveyed unto Magnolia Hotel Company by Deed recorded in Deed Book 684 at Page 47 of the aforesaid Land Records and which point is further described as a point on the South line of lands conveyed to Miss Priscilla Brady, et al, by Deed dated December 20, 1923, recorded in Deed Book 156 at Page 48 of the aforesaid Land Records and from said point of beginning run thence along the South line of said Brady parcel and the North line of said Magnolia Hotel Company parcel, North 74° 55' West, 240 feet, more or less, to the water's edge of the Mississippi River as same existed on November 7, 1992; thence continue in a westerly direction to a point where said line intersects the thalweg of the Mississippi River marking the boundary between the States of Mississippi and Louisiana; run thence in northerly direction following the thalweg of the said Mississippi River and the meanderings thereof marking the boundary line between the States of Mississippi and Louisiana a distance of 540 feet, more or less, to a point where the westerly projection of the South line of that certain tract or parcel of land conveyed to Mississippi Power and Light Company by Deed recorded in Deed Book 158 at Page 424 of the aforesaid Land Records intersects the thalweg of said Mississippi River; thence leaving the thalweg of said Mississippi River and run South 74° 30' East, a distance sufficient to intersect the water's edge of the Mississippi River at its easterly bank as same existed on November 7, 1992, which point marks the Southwest corner of the aforedescribed parcel heretofore conveyed unto Mississippi Power and Light Company by instrument recorded in Deed Book 158 at Page 424 and further described within Quitclaim Deed recorded in Deed Book 596 at Page 375, each within the aforesaid Land Records of Warren County; run thence along the South line of said Mississippi Power and Light Company parcel South 74° 30' East, a distance of 800 feet, more or less, to a point on the West right-of-way line of Washington Street (being the same public roadway sometimes known as Warrenton Road and U.S. Highway Nos. 61 and 80), as same existed on November 7, 1992; thence leaving the South line of said Mississippi Power and Light Company parcel and run along the West right-of-way line of said Washington Street, South 22° 18' 41" West, 54.64 feet, more or less, to a point on the North line of lands conveyed to the United States of America by instrument recorded in Deed Book 93 at Page 268, which parcel is presently occupied by the said Vicksburg National Military Park and is known as South Fort; run thence along the North line of said Vicksburg National Military Park parcel with the following courses and distances, each converted from the astronomical azimuths previously published within said Deed recorded in said Deed Book 93 at Page 268 of said Land Records, viz: North 81° 17' West, 283.66 feet, more or less, to a park stone identified as Vicksburg National Military Park Monument No. 386; South 50° 08' West, 268.31 feet, more or less, to a park stone identified as Vicksburg National Military Park Monument No. 387; South 27° 48' West, 226.34 feet, more or less, to a park stone identified as Vicksburg National Military Park Monument No. 388, which point marks the point of beginning of the parcel hereindescribed, all lying and being situate within Section 32, Township 16 North, Range 3 East, Vicksburg, Warren County, Mississippi.</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Parcel Three:</w:t>
      </w:r>
      <w:r>
        <w:rPr>
          <w:rFonts w:ascii="Arial" w:cs="Arial" w:eastAsia="Arial" w:hAnsi="Arial"/>
          <w:sz w:val="22"/>
          <w:szCs w:val="22"/>
          <w:b w:val="1"/>
          <w:bCs w:val="1"/>
          <w:color w:val="auto"/>
        </w:rPr>
        <w:t xml:space="preserve"> Lum-Brady Access Easement</w:t>
      </w:r>
    </w:p>
    <w:p>
      <w:pPr>
        <w:spacing w:after="0" w:line="226"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Together with a non-exclusive easement and right of way thirty-two feet (32') in width for the purpose of ingress and egress and for the further purpose of installation, location, relocation and maintenance of utility lines or cables of all types, including water, electricity, gas, sewer and the like, whether buried below ground or located overhead, which non-exclusive easement is 14.5 feet to the Northwest and 17.5 feet to the Southeast of the following described line, to-wit:</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To reach the point of beginning, commence at an iron pipe on the West right of way line of Washington Street (being the same public roadway sometimes known as Warrenton Road and U. S. Highway Nos. 61 and 80)</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B - 44</w:t>
      </w:r>
    </w:p>
    <w:p>
      <w:pPr>
        <w:sectPr>
          <w:pgSz w:w="11900" w:h="16838" w:orient="portrait"/>
          <w:cols w:equalWidth="0" w:num="1">
            <w:col w:w="11420"/>
          </w:cols>
          <w:pgMar w:left="240" w:top="591" w:right="239" w:bottom="1440" w:gutter="0" w:footer="0" w:header="0"/>
        </w:sectPr>
      </w:pPr>
    </w:p>
    <w:bookmarkStart w:id="94" w:name="page95"/>
    <w:bookmarkEnd w:id="94"/>
    <w:p>
      <w:pPr>
        <w:jc w:val="both"/>
        <w:spacing w:after="0" w:line="292" w:lineRule="auto"/>
        <w:rPr>
          <w:sz w:val="20"/>
          <w:szCs w:val="20"/>
          <w:color w:val="auto"/>
        </w:rPr>
      </w:pPr>
      <w:r>
        <w:rPr>
          <w:rFonts w:ascii="Arial" w:cs="Arial" w:eastAsia="Arial" w:hAnsi="Arial"/>
          <w:sz w:val="19"/>
          <w:szCs w:val="19"/>
          <w:color w:val="auto"/>
        </w:rPr>
        <w:t>marking the Northeast Corner of the Mississippi Power &amp; Light Company parcel recorded in Deed Book 158 at Page 424 and within Quitclaim Deed recorded in Deed Book 596 at Page 375, each within the land records of Warren County, Mississippi, and run thence along the North line of said Mississippi Power &amp; Light Company parcel North 74° 30' West 423.00 feet to the POINT OF BEGINNING of the line herein described; from said POINT OF BEGINNING run thence South 33° 00' West 208.68 feet, more or less, on the South line of said Mississippi Power &amp; Light Company parcel as described within said Deed Book 158 at Page 424 and Deed Book 596 at Page 375 of said land records and the Southerly terminus of the line herein described, said easement all lying and being situate in Section 32, Township 16 North, Range 3 East, Vicksburg, Warren County, Mississippi.</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TRACT THREE: Parcel One:</w:t>
      </w:r>
      <w:r>
        <w:rPr>
          <w:rFonts w:ascii="Arial" w:cs="Arial" w:eastAsia="Arial" w:hAnsi="Arial"/>
          <w:sz w:val="22"/>
          <w:szCs w:val="22"/>
          <w:b w:val="1"/>
          <w:bCs w:val="1"/>
          <w:color w:val="auto"/>
        </w:rPr>
        <w:t xml:space="preserve"> Morrison (Casino) Fee Simple</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That part of Section 32, Township 16 North, Range 3 East, Vicksburg, Warren County, Mississippi, more particularly described as follows, to-wit:</w:t>
      </w:r>
    </w:p>
    <w:p>
      <w:pPr>
        <w:spacing w:after="0" w:line="175"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Beginning at Vicksburg National Military Park Boundary Marker No. 394 found at the Northeast Corner of that certain tract of land described as Parcel 2 within that certain deed in favor of the Vicksburg Bridge and Terminal Company, recorded in Deed Book 180 at Page 561 of the land records of Warren County, Mississippi, which point is further described as the Northeast Corner of lands described as Parcel D within deed executed by Vicksburg Bridge Company, dated April 30, 1947, recorded in Deed Book 262 at Page 462 of said land records, into which Parcel D the said Warren County, Mississippi went into possession notwithstanding a scrivener's error therein contained incorrectly setting forth such point of beginning as the Northeast Corner of lands described in Deed Book 172 at Page 346 and which point of beginning is further described as a point on the South line of Parcel K within said deed in favor of said Warren County, Mississippi, recorded in Deed Book 262 at Page 462, notwithstanding the propagation of the same scrivener's error incorrectly identifying same as the Northeast Corner of Parcel 2 of the lands conveyed by said Deed Book 172 at Page 346 rather than the Northeast Corner of lands conveyed by said Deed Book 180 at Page 561 of said land records and from said POINT OF BEGINNING run thence along the South line of said lands described as Parcel K into which the said Warren County, Mississippi went into possession by virtue of said deed recorded in said Deed Book 262 at Page 462 and along the North line of that part of the Vicksburg National Military Park known as Navy Circle, South 79° 24' East a distance of 30.26 feet, more or less, to a point marking the Southwest corner of that certain parcel conveyed to D. P. Waring and W. F. Hallberg by deed recorded in Deed Book 218 at Page 47 of said land records, same thereafter having been described as the Southwest Corner of Parcel I within deed executed by D. P. Waring in favor of W. F. Hallberg recorded in Deed Book 296 at Page 208 of said land records and same further being the Southwest Corner of lands thereafter conveyed to R. R. Morrison &amp; Son, Inc. by deed recorded in Deed Book 592 at Page 113 of said land records; thence leaving the North line of said Vicksburg National Military Park (Navy Circle) and run along the West line of said Parcel One described in said Waring-Hallberg deed recorded in said Deed Book 296 at Page 208 and, thereafter, along the West line of Parcel Two within said Deed Book 296 at Page 208, same further being the West line of lands described in Deed Book 264 at Page 219, (previously described in the descriptions of the property herein conveyed as "another parcel owned by D. P. Waring, et al, not recorded") North 26° 00' East, a distance of 334.5 feet, more or less, to a point marking the Northwest Corner of Parcel II of the Waring-Hallberg parcels described in said Deed Book 296 at Page 208 of said land records, which point also marks the Northwest Corner of said Morrison parcel described in Deed Book 592 at Page 113 and which point is further described as a point on the South line of that certain parcel conveyed to the Magnolia Hotel Company by deed recorded in Deed Book 684 at Page 47 of said land records; run thence along the South line of said Magnolia Hotel Company parcel and the North line of the lands herein described and conveyed, North 64° 25' West, a distance sufficient to intersect the thalweg of the Mississippi River marking the boundary between the states of Mississippi and Louisiana; run thence along the thalweg of said Mississippi River and the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B - 45</w:t>
      </w:r>
    </w:p>
    <w:p>
      <w:pPr>
        <w:sectPr>
          <w:pgSz w:w="11900" w:h="16838" w:orient="portrait"/>
          <w:cols w:equalWidth="0" w:num="1">
            <w:col w:w="11420"/>
          </w:cols>
          <w:pgMar w:left="240" w:top="591" w:right="239" w:bottom="1440" w:gutter="0" w:footer="0" w:header="0"/>
        </w:sectPr>
      </w:pPr>
    </w:p>
    <w:bookmarkStart w:id="95" w:name="page96"/>
    <w:bookmarkEnd w:id="95"/>
    <w:p>
      <w:pPr>
        <w:jc w:val="both"/>
        <w:spacing w:after="0" w:line="286" w:lineRule="auto"/>
        <w:rPr>
          <w:sz w:val="20"/>
          <w:szCs w:val="20"/>
          <w:color w:val="auto"/>
        </w:rPr>
      </w:pPr>
      <w:r>
        <w:rPr>
          <w:rFonts w:ascii="Arial" w:cs="Arial" w:eastAsia="Arial" w:hAnsi="Arial"/>
          <w:sz w:val="19"/>
          <w:szCs w:val="19"/>
          <w:color w:val="auto"/>
        </w:rPr>
        <w:t>meanderings thereof marking the boundary between the States of Mississippi and Louisiana in a Southerly or Southwesterly direction a distance of 330 feet, more or less, to a point where same intersects the North line of Parcel 2 extended Westerly described within said Deed Book 180 at Page 561 and the North line of Parcel D extended Westerly described within said Deed Book 262 at Page 462; thence leaving the thalweg of said River and run South 62° 11' East to a point described in said Parcel 2 within said Deed Book 180 at Page 561 and within Parcel D in said Deed Book 262 at Page 462 as the bank of the Mississippi River at zero contour as of August 1, 1929; thence continue South 62° 11' East along a line marking the North line of lands described as Parcel 2 within said Deed Book 180 at Page 561 along the North line of lands described as Parcel D into which Warren County, Mississippi went into possession by virtue of the aforedescribed deed recorded in said Deed Book 262 at Page 462 and along the South line of Parcel K within that same deed, a distance of 600 feet, more or less, to a point where same intersects the said Vicksburg National Military Park Monument No. 394, and the POINT OF BEGINNING of the parcel herein described, all lying and being situate in Section 32, Township 16 North, Range 3 East, Vicksburg, Warren County, Mississippi, together with all alluvions, accretions, batture and all riparian rights appurtenant thereto, it being the intention herein to correct certain deficiencies in description contained in that certain deed recorded in Deed Book 812 at Page 255 of the land records of Warren County, Mississippi, and to describe and convey all of these lands heretofore conveyed to Vicksburg Bridge Company by deed recorded in Deed Book 242 at Page 443 and the lands conveyed to Warren County, Mississippi as Parcel K within deed recorded in Deed Book 262 at Page 462, each within the aforedescribed land records.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Parcel Two:</w:t>
      </w:r>
      <w:r>
        <w:rPr>
          <w:rFonts w:ascii="Arial" w:cs="Arial" w:eastAsia="Arial" w:hAnsi="Arial"/>
          <w:sz w:val="22"/>
          <w:szCs w:val="22"/>
          <w:b w:val="1"/>
          <w:bCs w:val="1"/>
          <w:color w:val="auto"/>
        </w:rPr>
        <w:t xml:space="preserve"> Slope Easement Morrison Support (Casino)</w:t>
      </w:r>
    </w:p>
    <w:p>
      <w:pPr>
        <w:spacing w:after="0" w:line="22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TOGETHER WITH THOSE CERTAIN RIGHTS INURING TO THE BENEFIT OF AMERISTAR CASINO VICKSBURG, INC. AND TO R. R. MORRISON &amp; SON, INC. BY VIRTUE OF THAT CERTAIN INSTRUMENT STYLED "SLOPE EASEMENT AGREEMENT" DATED JUNE 9, 1994, RECORDED IN DEED BOOK 1014 AT PAGE 233 OF THE LAND RECORDS OF WARREN COUNTY, MISSISSIPPI, WHEREIN CERTAIN RIGHTS TO CONSTRUCT AND MAINTAIN A SLOPE PROVIDING LATERAL SUPPORT OF A STRUCTURAL EMBANKMENT CONSTRUCTED ON LANDS OF WARREN COUNTY, MISSISSIPPI WHICH ARE ADJACENT TO TRACT THREE DESCRIBED HEREINABOVE ARE GRANTED AND BEING FURTHER DESCRIBED AS:</w:t>
      </w:r>
    </w:p>
    <w:p>
      <w:pPr>
        <w:spacing w:after="0" w:line="19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Commencing at the Southeast corner of Section 31, Township 16 North, Range 3 East, Vicksburg, Warren County, Mississippi, and run thence South 33° 27’ 20” West, 1862.86 feet to the Vicksburg National Military Park (“VNMP”) Monument #394, being the Point of Beginning of the parcel herein described; from said Point of Beginning run thence South 29° 04’ West, 50.00 feet; thence North 61° 11’ West, 60.00 feet; thence North 82° 45’ West, 94.63 feet; thence North 43° 31’ West, 260.23 feet; thence South 62° 11’ East, 396.26 feet to the Point of Beginning, all lying in Section 32, Township 16 North, Range 3 East, Vicksburg, Warren County, Mississippi, containing 0.44 acres, more or less.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TRACT FOUR</w:t>
      </w:r>
      <w:r>
        <w:rPr>
          <w:rFonts w:ascii="Arial" w:cs="Arial" w:eastAsia="Arial" w:hAnsi="Arial"/>
          <w:sz w:val="22"/>
          <w:szCs w:val="22"/>
          <w:b w:val="1"/>
          <w:bCs w:val="1"/>
          <w:color w:val="auto"/>
        </w:rPr>
        <w:t>: Cofferdam (Casino) Site (Fee Simple)</w:t>
      </w:r>
    </w:p>
    <w:p>
      <w:pPr>
        <w:spacing w:after="0" w:line="226"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That tract or parcel of land upon which is constructed a certain cofferdam enclosure extending into the Mississippi River and being partially within Tract One of the lands hereinabove described and partially within Tract Two of the lands hereinabove described, same all lying and being situate in the City of Vicksburg, County of Warren, State of Mississippi, and being part of Section 32, Township 16 North, Range 3 East, more particularly described as follows, to-wit:</w:t>
      </w:r>
    </w:p>
    <w:p>
      <w:pPr>
        <w:spacing w:after="0" w:line="176"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To reach the point of beginning, commence at Vicksburg National Military Park Concrete Marker No. 388, which point marks the Southwest corner of the lands presently occupied by said Vicksburg National Military Park and known as South Fort, same having been conveyed to the United States of America by instrument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B - 46</w:t>
      </w:r>
    </w:p>
    <w:p>
      <w:pPr>
        <w:sectPr>
          <w:pgSz w:w="11900" w:h="16838" w:orient="portrait"/>
          <w:cols w:equalWidth="0" w:num="1">
            <w:col w:w="11420"/>
          </w:cols>
          <w:pgMar w:left="240" w:top="591" w:right="239" w:bottom="1440" w:gutter="0" w:footer="0" w:header="0"/>
        </w:sectPr>
      </w:pPr>
    </w:p>
    <w:bookmarkStart w:id="96" w:name="page97"/>
    <w:bookmarkEnd w:id="96"/>
    <w:p>
      <w:pPr>
        <w:jc w:val="both"/>
        <w:spacing w:after="0" w:line="285" w:lineRule="auto"/>
        <w:rPr>
          <w:sz w:val="20"/>
          <w:szCs w:val="20"/>
          <w:color w:val="auto"/>
        </w:rPr>
      </w:pPr>
      <w:r>
        <w:rPr>
          <w:rFonts w:ascii="Arial" w:cs="Arial" w:eastAsia="Arial" w:hAnsi="Arial"/>
          <w:sz w:val="19"/>
          <w:szCs w:val="19"/>
          <w:color w:val="auto"/>
        </w:rPr>
        <w:t>recorded in Deed Book 93 at Page 268 of the aforesaid land records, which point further marks the Southeast Corner of lands conveyed to Miss Priscilla Brady by deed dated December 20, 1923, recorded in Deed Book 156 at Page 48 of said land records; run thence along the South line of said Brady parcel North 74° 55' West, 77.53 feet, more or less, to a point on the easterly exterior face of a cell structure of a cofferdam enclosure located near the east bank of the Mississippi River, which point marks the POINT OF BEGINNING of the tract herein described; from said POINT OF BEGINNING run thence along the easterly exterior face of said cofferdam enclosure South 15° 00" West, 416.91 feet, more or less, to an iron pin set at a point where said course intersects a line projected easterly from the southerly exterior face of said cofferdam enclosure; run thence along a line projected in a Westerly direction extending along the southerly exterior face of said cofferdam enclosure having a course said to be North 75° 00' West, a distance of 255.0 feet, more or less, to a point in the Mississippi River where said course intersects a line projected Southerly from the westerly exterior face of said cofferdam enclosure; run thence in a northerly direction in the Mississippi River along a line projected in a northerly direction which will run along the westerly exterior face of said existing cofferdam enclosure North 15° 00' East, a distance of 490.0 feet, more or less, to a point in the Mississippi River where said course intersects a line projected Westerly from the Northerly exterior face of said existing cofferdam enclosure; run thence in an easterly direction in the Mississippi River and thereafter on the land comprising the East bank thereof, but, nevertheless, along a line projected in an easterly direction which will run along the northerly exterior face of said existing cofferdam enclosure South 75° 00' East, a distance of 255.0 feet, more or less, to an iron pin set at a point where said course intersects a line projected northerly from the easterly exterior face of said existing cofferdam enclosure; run thence along a line projected in a southerly direction extending along the easterly exterior face of said cofferdam enclosure having a course said to be South 74° 55' West, a distance of 73.09 feet, more or less, to a point on the easterly exterior face of said existing cofferdam enclosure, which point marks the POINT OF BEGINNING of the tract herein described all lying and being situate in Section 32, Township 16 North, Range 3 East, Vicksburg, Warren County, Mississippi.</w:t>
      </w:r>
    </w:p>
    <w:p>
      <w:pPr>
        <w:spacing w:after="0" w:line="15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TOGETHER WITH all tracts, parcels or properties, whether submerged or not, lying West of the West line of the lands hereinabove described which serves to extend the Northerly and Southerly lines thereof in a Westerly direction to the thalweg of the Mississippi River and the boundary line between the states of Mississippi and Louisiana.</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TRACT FIVE:</w:t>
      </w:r>
      <w:r>
        <w:rPr>
          <w:rFonts w:ascii="Arial" w:cs="Arial" w:eastAsia="Arial" w:hAnsi="Arial"/>
          <w:sz w:val="22"/>
          <w:szCs w:val="22"/>
          <w:b w:val="1"/>
          <w:bCs w:val="1"/>
          <w:color w:val="auto"/>
        </w:rPr>
        <w:t xml:space="preserve"> Southerly Portion of Northwest (Casino) Parking Lot (Pt. MP&amp;L Fee Simple)</w:t>
      </w:r>
    </w:p>
    <w:p>
      <w:pPr>
        <w:spacing w:after="0" w:line="226"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To reach the point of beginning, commence at an iron pipe on the West right of way line of Washington Street (being the same public roadway sometimes known as Warrenton Road and U. S. Highway Nos. 61 and 80) marking the Northeast Corner of the Mississippi Power &amp; Light Company parcel recorded in Deed Book 158 at Page 424 and within Quitclaim Deed recorded in Deed Book 596 at Page 375 and the South line of lands into which Ameristar Casino Vicksburg, Inc. went into fee simple possession by virtue of deed dated February 28, 1994, recorded in Deed Book 1004 at Page 103, each within the land records of Warren County, Mississippi (the "Ameristar Fee Simple Parcel") and run thence along the North line of said Ameristar Fee Simple Parcel North 74° 30' West 397.56 feet, more or less, to the Easterly edge of a paved roadway, 32 feet in width (the "Northerly Access Road") which point marks the POINT OF BEGINNING of the parcel herein described; from said POINT OF BEGINNING run thence along the Easterly edge of the Northerly Access Road, South 41° 52' 14" West 221.65 feet, more or less, on the South line of the Ameristar Fee Simple Parcel as described within said Deed Book 158 at Page 424 and Deed Book 596 at Page 375, each within the aforesaid land records and the Southeasterly corner of the parcel herein described; thence leaving the Easterly edge of the Northerly Access Road and run along the Southerly line of the Ameristar Fee Simple Parcel, North 74° 30' West 35.71 feet, more or less, to a point on the Westerly edge of the Northerly Access Road; thence leaving the Westerly edge of the Northerly Access Road and continue along the Southerly line of the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B - 47</w:t>
      </w:r>
    </w:p>
    <w:p>
      <w:pPr>
        <w:sectPr>
          <w:pgSz w:w="11900" w:h="16838" w:orient="portrait"/>
          <w:cols w:equalWidth="0" w:num="1">
            <w:col w:w="11420"/>
          </w:cols>
          <w:pgMar w:left="240" w:top="591" w:right="239" w:bottom="1440" w:gutter="0" w:footer="0" w:header="0"/>
        </w:sectPr>
      </w:pPr>
    </w:p>
    <w:bookmarkStart w:id="97" w:name="page98"/>
    <w:bookmarkEnd w:id="97"/>
    <w:p>
      <w:pPr>
        <w:jc w:val="both"/>
        <w:spacing w:after="0" w:line="285" w:lineRule="auto"/>
        <w:rPr>
          <w:sz w:val="20"/>
          <w:szCs w:val="20"/>
          <w:color w:val="auto"/>
        </w:rPr>
      </w:pPr>
      <w:r>
        <w:rPr>
          <w:rFonts w:ascii="Arial" w:cs="Arial" w:eastAsia="Arial" w:hAnsi="Arial"/>
          <w:sz w:val="19"/>
          <w:szCs w:val="19"/>
          <w:color w:val="auto"/>
        </w:rPr>
        <w:t>Ameristar Fee Simple Parcel, North 74° 30' West 215.08 feet, more or less, to a point on the Westerly edge of an existing paved parking lot; thence leaving the Westerly edge of said existing paved parking lot and continue along the Southerly line of the Ameristar Fee Simple Parcel, North 74° 30' West 77.14 feet, more or less, to a point on the top bank of the Mississippi River as same existed on November 7, 1992 (the "Top Bank"); thence leaving the Top Bank and continue North 74° 30' a distance sufficient to intersect the thalweg of the Mississippi River marking the boundary between the states of Mississippi and Louisiana; run thence along the thalweg of said Mississippi River and the meanderings thereof marking the boundary between the States of Mississippi and Louisiana in a Northerly or Northeasterly direction a distance sufficient to reach a point where same intersects the North line of the Ameristar Fee Simple Parcel extended Westerly from the Top Bank; thence leaving the thalweg of said River and run in an Easterly direction along the Northerly line of the Ameristar Fee Simple Parcel a distance sufficient to reach the Top Bank; thence continue along the Northerly line of the Ameristar Fee Simple Parcel, South 74° 30' East, a distance of 110.38 feet, more or less, to a point on the Westerly edge of said existing paved parking lot; thence continue along the Southerly line of the Ameristar Fee Simple Parcel, North 74° 30' West 291.72 feet, more or less, to a point on the Easterly edge of the Northerly Access Road, which point marks the POINT OF BEGINNING, said parcel all lying and being situate in Section 32, Township 16 North, Range 3 East, Vicksburg, Warren County, Mississippi, being the westernmost portion of lands described as Tract II within lands into which Ameristar Casino Vicksburg, Inc. went into fee simple possession by virtue of deed dated February 28, 1994, recorded in Deed Book 1004 at Page 103, each within the land records of Warren County, Mississippi.</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TRACT SIX:</w:t>
      </w:r>
      <w:r>
        <w:rPr>
          <w:rFonts w:ascii="Arial" w:cs="Arial" w:eastAsia="Arial" w:hAnsi="Arial"/>
          <w:sz w:val="22"/>
          <w:szCs w:val="22"/>
          <w:b w:val="1"/>
          <w:bCs w:val="1"/>
          <w:color w:val="auto"/>
        </w:rPr>
        <w:t xml:space="preserve"> Northerly Portion of Northwest (Casino) Parking Lot (Delta Land Fee Simple)</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That part of the Delta Land Company, Inc. parcels of land as recorded in Deed Book 1018 at Page 492 of the Land Records of Warren County being part of Section 31, Township 16 North, Range 3 East, Vicksburg, County of Warren, Mississippi, containing, in aggregate, 4.29 acres, more or less, and being more particularly described as follows:</w:t>
      </w:r>
    </w:p>
    <w:p>
      <w:pPr>
        <w:spacing w:after="0" w:line="186"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Commencing at that certain Vicksburg National Military Park Monument # 379 run thence S 16° 38’ 14" W, a distance of 473.98 ft. to a point being the Southeast comer of Parcel I of the Delta Land Company, Inc. property as well as the Point of Beginning of the herein described parcel; thence run N 59° 10' 00" W, a distance of 447 ft., more or less, along the South line of said property to a point at the thalweg of Mississippi River being the apparent Southwest comer of the Delta Land Company, Inc. property; thence along said thalweg as well as the apparent West line of said property, run N 18° 47' 39" E, a distance of 369 ft., more or less, to a point being the apparent Northwest comer of said property; thence, along the North line, run S 67° 00' 00" E, a distance of 339 ft., more or less, to a point in the South right-of-way of that certain City of Vicksburg maintained access to Riverfront Park; thence along said right-of-way the following courses: S 48° 37' 33" E, for a distance of 19.80 ft.; S 44° 06' 20" E, for a distance of 28.41 ft.; S 22° 10' 40" E, for a distance of 34.54 ft.; S 08° 59' 53" E, for a distance of 28.84 ft.; S 06° 11' 50" E, for a distance of 127.04 ft.; S 28° 05' 02" E, for a distance of 62.19 ft.; S 59° 24' 11" E, for a distance of 34.59 ft.; thence, leaving said right-of-way, run S 48° 00' 00" W, a distance of 229.48 ft. to the Southeast comer of said Parcel I as well as being the Point of Beginning and containing, in aggregate, 4.29 acres, more or less, being part of Section 31, Township 16 North, Range 3 East, Vicksburg, County of Warren, Mississippi.</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Tract Seven:</w:t>
      </w:r>
      <w:r>
        <w:rPr>
          <w:rFonts w:ascii="Arial" w:cs="Arial" w:eastAsia="Arial" w:hAnsi="Arial"/>
          <w:sz w:val="22"/>
          <w:szCs w:val="22"/>
          <w:b w:val="1"/>
          <w:bCs w:val="1"/>
          <w:color w:val="auto"/>
        </w:rPr>
        <w:t xml:space="preserve"> Hotel Site (Fee Simple)</w:t>
      </w:r>
    </w:p>
    <w:p>
      <w:pPr>
        <w:spacing w:after="0" w:line="22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Beginning at a point in the East line of Washington Street, same being the Northwest corner of that certain tract or parcel of land conveyed to Magnolia Hotel Company by Julius M. Buchanan, et ux, as recorded in the Land Deed Records of Warren County, Mississippi in Deed Book 247 at Page 498 (the “Magnolia Deed”) and the point of beginning thereafter conveyed by Commonwealth Hotels of Mississippi to Ameristar Casino Vicksburg, Inc. by deed dated June 7, 1994, recorded in Deed Book 1014 at Page 77 (the “Commonwealth</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B - 48</w:t>
      </w:r>
    </w:p>
    <w:p>
      <w:pPr>
        <w:sectPr>
          <w:pgSz w:w="11900" w:h="16838" w:orient="portrait"/>
          <w:cols w:equalWidth="0" w:num="1">
            <w:col w:w="11420"/>
          </w:cols>
          <w:pgMar w:left="240" w:top="591" w:right="239" w:bottom="1440" w:gutter="0" w:footer="0" w:header="0"/>
        </w:sectPr>
      </w:pPr>
    </w:p>
    <w:bookmarkStart w:id="98" w:name="page99"/>
    <w:bookmarkEnd w:id="98"/>
    <w:p>
      <w:pPr>
        <w:jc w:val="both"/>
        <w:spacing w:after="0" w:line="283" w:lineRule="auto"/>
        <w:rPr>
          <w:sz w:val="20"/>
          <w:szCs w:val="20"/>
          <w:color w:val="auto"/>
        </w:rPr>
      </w:pPr>
      <w:r>
        <w:rPr>
          <w:rFonts w:ascii="Arial" w:cs="Arial" w:eastAsia="Arial" w:hAnsi="Arial"/>
          <w:sz w:val="19"/>
          <w:szCs w:val="19"/>
          <w:color w:val="auto"/>
        </w:rPr>
        <w:t xml:space="preserve">Deed”) said Northwest corner being marked by an iron pipe driven flush with the ground a distance of 1 foot; more or less, northerly from a power pole and a distance of thirty (30) feet, more or less, as measured Easterly, from the center line of the pavement of U. S. Highway 61-80; from said point of beginning running with the line as described in the Magnolia Deed and in the Commonwealth Deed as South 86 degrees 45 Minutes East, but having an actual course made more definite by survey </w:t>
      </w:r>
      <w:r>
        <w:rPr>
          <w:rFonts w:ascii="Arial" w:cs="Arial" w:eastAsia="Arial" w:hAnsi="Arial"/>
          <w:sz w:val="19"/>
          <w:szCs w:val="19"/>
          <w:i w:val="1"/>
          <w:iCs w:val="1"/>
          <w:color w:val="auto"/>
        </w:rPr>
        <w:t>circa</w:t>
      </w:r>
      <w:r>
        <w:rPr>
          <w:rFonts w:ascii="Arial" w:cs="Arial" w:eastAsia="Arial" w:hAnsi="Arial"/>
          <w:sz w:val="19"/>
          <w:szCs w:val="19"/>
          <w:color w:val="auto"/>
        </w:rPr>
        <w:t xml:space="preserve"> 1997 (the “1997 Survey”) made in connection with a conveyance by Ameristar Casino Vicksburg, Inc. dated July 21, 1997, recorded in Deed Book 1114 at Page 301 (the “AC Deed”) of South 86 Degrees 34 Minutes 00 Seconds East, but, nevertheless, a distance of 106.00 feet to a point; run thence along a line as described in the Magnolia Deed and the Commonwealth Deed as South 72 degrees 45 Minutes East a distance of 178 feet, but having an actual course and distance as established by the 1997 Survey of South 72 degrees 34 Minutes 00 Seconds East a distance of 175.00 feet, but, nevertheless, to an iron pipe which marks a point in that certain old dilapidated fence line as same existed on the date of delivery of the said Magnolia Deed, which old fence was thereafter covered by fill and improvements to the surrounding property and is no longer in evidence but was re-established by the 1997 Survey; run thence with the course of said old fence, having a course described in the Magnolia Deed of South 77 degrees 50 Minutes East, but having an actual course established by the 1997 Survey and in the AC Deed of a distance of South 77 degrees 39 Minutes 00 Seconds East, and, in each instance, a distance of 307.00 feet to an iron pipe; run thence with the course of said old fence, having a course described in the Magnolia Deed of South 83 degrees 45 Minutes East, but having an actual course established by the 1997 Survey and in the AC Deed of South 83 degrees 34 Minutes 00 Seconds East, and, in each instance, a distance of 200.00 feet to an iron pipe which marks the apparent northeast corner of said old fence; thence continuing with the course of said old fence and a Southerly projection thereof, having a course described in the Magnolia Deed and in the Commonwealth Deed of South 14 degrees 40 Minutes East a distance of 416 feet, but having an actual course and distance established by the 1997 Survey and in the AC Deed of South 14 degrees 29 Minutes 00 Seconds East a distance of 419.50 feet, but, nevertheless, along a course and distance sufficient to reach the North right-of-way line of the Illinois Central Railroad; run thence along the north right-of-way line of said railroad, having a course described in the Magnolia Deed and in the Commonwealth Deed of South 55 degrees 52 Minutes 28 Seconds West, but having an actual course established by the 1997 Survey and in the AC Deed of South 56 degrees 02 Minutes 30 Seconds West, but, in each instance a distance of 795.22 feet, more or less, to the intersection of said Railroad right-of-way line with the east right-of-way line of Federal Aid Project No. I-IG-20-1 (24) 0 (the “I-20 ROW”); thence run with the I-20 ROW as conveyed to the State Highway Commission of Mississippi by Magnolia Hotel Company by deed recorded in the Land Deed Records of Warren County in Deed Book 414 at Page 545, having a course published in the Commonwealth Deed of North 55 degrees 17 Minutes West, but having an actual course established by the 1997 Survey and in the AC Deed of North 55 degrees 06 Minutes 00 Seconds West, and, in each instance a distance of 195.00 feet, but, nevertheless along said I-20 ROW with a distance sufficient to reach a point that is 160 feet northwesterly of and measured radially to Station 25+00 on the northerly edge of the proposed pavement of the North ramp of the I-20 ROW, as shown on plans for said project; thence continue along the I-20 ROW, having a course published in the Commonwealth Deed of North 45 degrees 05 Minutes 04 Seconds West but having an actual distance as established by the 1997 Survey and in the AC Deed of North 44 degrees 58 Minutes 04 Seconds West, and, in each instance, a distance of 419.50 feet, but, nevertheless along a course with distance sufficient to reach a point that is forty (40) feet Southeasterly of and measured radially to Station 3+40 on the centerline of the East lane of the relocation of U. S. Highway 61 (Washington Street) as shown on plans for said project (the “East Lane”); thence run along the East Lane of U. S. Highway 61/Washington Street, having a course published in the Commonwealth Deed of North 02 degrees 37 Minutes 02 Seconds East, but having a actual course established by the 1997 Survey and in the AC Deed of North 02 degrees 47 Minutes 25 Seconds East, and, in each instance a distance of 41.38 feet, but, nevertheless, with a distance sufficient to reach a point that is 25 feet Southeasterly of and measured radially to Station 3+00 on the centerline of said East lane, run thence along the East Lane of U. S. Highway 61/Washington Street, having a course published in the Commonwealth Deed of North 17 Degrees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B - 49</w:t>
      </w:r>
    </w:p>
    <w:p>
      <w:pPr>
        <w:sectPr>
          <w:pgSz w:w="11900" w:h="16838" w:orient="portrait"/>
          <w:cols w:equalWidth="0" w:num="1">
            <w:col w:w="11420"/>
          </w:cols>
          <w:pgMar w:left="240" w:top="591" w:right="239" w:bottom="1440" w:gutter="0" w:footer="0" w:header="0"/>
        </w:sectPr>
      </w:pPr>
    </w:p>
    <w:bookmarkStart w:id="99" w:name="page100"/>
    <w:bookmarkEnd w:id="99"/>
    <w:p>
      <w:pPr>
        <w:jc w:val="both"/>
        <w:spacing w:after="0" w:line="286" w:lineRule="auto"/>
        <w:rPr>
          <w:sz w:val="20"/>
          <w:szCs w:val="20"/>
          <w:color w:val="auto"/>
        </w:rPr>
      </w:pPr>
      <w:r>
        <w:rPr>
          <w:rFonts w:ascii="Arial" w:cs="Arial" w:eastAsia="Arial" w:hAnsi="Arial"/>
          <w:sz w:val="19"/>
          <w:szCs w:val="19"/>
          <w:color w:val="auto"/>
        </w:rPr>
        <w:t>14 Minutes 00 Seconds East but having a actual course established by the 1997 Survey and in the AC Deed of North 17 Degrees 25 Minutes 00 Seconds East, and, in each instance, a distance of 101.00 feet, but, nevertheless along the East Lane with a distance sufficient to reach a point that is Southeasterly of and measured radially to Station 2+00 on the centerline of the East lane of the relocation of former U. S. Highway 61 as shown on plans for Federal Aid Project No. I-IG-20-1 (24) 0 (the last described point being also a point in the West line of the tract conveyed by Magnolia Deed); run thence with said West line of land conveyed in the Magnolia Deed, being also the East right-of-way line of said former U. S. Highway No. 61-80/Washington Street, having a course published in the Commonwealth Deed of North 25 degrees 40 Minutes East but having a actual course established by the 1997 Survey and in the AC Deed of North 25 degrees 51 Minutes 00 Seconds East, and, in each instance, a distance of 247.00 feet; thence continuing with said West line of land conveyed by the Magnolia Deed and along the East Lane, having a course published in the Commonwealth Deed of North 23 degrees 10 Minutes East, but having an actual course established by the 1997 Survey and in the AC Deed, and, in each instance a distance of 246.00 feet, more or less, to the point of beginning, all of the above described lot, tract or parcel of land lying being situated in Section 32, Township 16 North, Range East, Vicksburg, Warren County, Mississippi and contains 16.45 acres, more or less, it being the intention herein to described and convey, and there is hereby described and conveyed, the same lands heretofore conveyed to Ameristar Casino Vicksburg, Inc. by deed recorded in Deed Book 1014 at Page 77 and the lands thereafter conveyed to AC Hotel Corp. by deed recorded in Deed Book 1114 at Page 301, each within the aforesaid Warren County Land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TRACT EIGHT</w:t>
      </w:r>
    </w:p>
    <w:p>
      <w:pPr>
        <w:spacing w:after="0" w:line="226" w:lineRule="exact"/>
        <w:rPr>
          <w:sz w:val="20"/>
          <w:szCs w:val="20"/>
          <w:color w:val="auto"/>
        </w:rPr>
      </w:pPr>
    </w:p>
    <w:p>
      <w:pPr>
        <w:jc w:val="both"/>
        <w:ind w:left="1300"/>
        <w:spacing w:after="0" w:line="263" w:lineRule="auto"/>
        <w:rPr>
          <w:sz w:val="20"/>
          <w:szCs w:val="20"/>
          <w:color w:val="auto"/>
        </w:rPr>
      </w:pPr>
      <w:r>
        <w:rPr>
          <w:rFonts w:ascii="Arial" w:cs="Arial" w:eastAsia="Arial" w:hAnsi="Arial"/>
          <w:sz w:val="22"/>
          <w:szCs w:val="22"/>
          <w:color w:val="auto"/>
        </w:rPr>
        <w:t>Part of Section 32, Township 16 North, Range 3 East, Warren County, Mississippi, more particularly described as follows, to-wit:</w:t>
      </w:r>
    </w:p>
    <w:p>
      <w:pPr>
        <w:spacing w:after="0" w:line="169" w:lineRule="exact"/>
        <w:rPr>
          <w:sz w:val="20"/>
          <w:szCs w:val="20"/>
          <w:color w:val="auto"/>
        </w:rPr>
      </w:pPr>
    </w:p>
    <w:p>
      <w:pPr>
        <w:jc w:val="both"/>
        <w:ind w:left="1300"/>
        <w:spacing w:after="0" w:line="290" w:lineRule="auto"/>
        <w:rPr>
          <w:sz w:val="20"/>
          <w:szCs w:val="20"/>
          <w:color w:val="auto"/>
        </w:rPr>
      </w:pPr>
      <w:r>
        <w:rPr>
          <w:rFonts w:ascii="Arial" w:cs="Arial" w:eastAsia="Arial" w:hAnsi="Arial"/>
          <w:sz w:val="19"/>
          <w:szCs w:val="19"/>
          <w:b w:val="1"/>
          <w:bCs w:val="1"/>
          <w:color w:val="auto"/>
        </w:rPr>
        <w:t>PARCEL ONE</w:t>
      </w:r>
      <w:r>
        <w:rPr>
          <w:rFonts w:ascii="Arial" w:cs="Arial" w:eastAsia="Arial" w:hAnsi="Arial"/>
          <w:sz w:val="19"/>
          <w:szCs w:val="19"/>
          <w:color w:val="auto"/>
        </w:rPr>
        <w:t>: Beginning at an iron pipe which lies south 13 degrees 15 minutes west 202.02 feet from an axle</w:t>
      </w:r>
      <w:r>
        <w:rPr>
          <w:rFonts w:ascii="Arial" w:cs="Arial" w:eastAsia="Arial" w:hAnsi="Arial"/>
          <w:sz w:val="19"/>
          <w:szCs w:val="19"/>
          <w:b w:val="1"/>
          <w:bCs w:val="1"/>
          <w:color w:val="auto"/>
        </w:rPr>
        <w:t xml:space="preserve"> </w:t>
      </w:r>
      <w:r>
        <w:rPr>
          <w:rFonts w:ascii="Arial" w:cs="Arial" w:eastAsia="Arial" w:hAnsi="Arial"/>
          <w:sz w:val="19"/>
          <w:szCs w:val="19"/>
          <w:color w:val="auto"/>
        </w:rPr>
        <w:t>marking the Northeast corner of that certain lot conveyed by Lucy B. Dabney to W. A. Byrd as recorded in the office of the Chancery Clerk of Warren County, Mississippi, in Book 280 at Page 523 being a point in the South line of Lucy Bryson Street, which said point of beginning marks a corner of that certain tract or parcel of land conveyed to W. A. Byrd by J. B. Dabney on March 25, 1952; thence south 26 degrees 55 minutes east 352.51 feet to an iron pipe; thence south 89 degrees 26 minutes west, 77.45 feet to an iron pipe; thence north 30 degrees 53 minutes west 431.57 feet to an iron axle at the Southwest corner of the aforementioned Byrd property as recorded in Book 280 at Page 523; thence along the South line of said Byrd property, south 68 degrees 24 minutes east 125 feet; thence south 68 degrees 09 minutes east 24.94 feet to the point of beginning, and containing 0.7 acre, more or less.</w:t>
      </w:r>
    </w:p>
    <w:p>
      <w:pPr>
        <w:spacing w:after="0" w:line="149" w:lineRule="exact"/>
        <w:rPr>
          <w:sz w:val="20"/>
          <w:szCs w:val="20"/>
          <w:color w:val="auto"/>
        </w:rPr>
      </w:pPr>
    </w:p>
    <w:p>
      <w:pPr>
        <w:jc w:val="both"/>
        <w:ind w:left="1300"/>
        <w:spacing w:after="0" w:line="249" w:lineRule="auto"/>
        <w:rPr>
          <w:sz w:val="20"/>
          <w:szCs w:val="20"/>
          <w:color w:val="auto"/>
        </w:rPr>
      </w:pPr>
      <w:r>
        <w:rPr>
          <w:rFonts w:ascii="Arial" w:cs="Arial" w:eastAsia="Arial" w:hAnsi="Arial"/>
          <w:sz w:val="22"/>
          <w:szCs w:val="22"/>
          <w:b w:val="1"/>
          <w:bCs w:val="1"/>
          <w:color w:val="auto"/>
        </w:rPr>
        <w:t xml:space="preserve">TOGETHER </w:t>
      </w:r>
      <w:r>
        <w:rPr>
          <w:rFonts w:ascii="Arial" w:cs="Arial" w:eastAsia="Arial" w:hAnsi="Arial"/>
          <w:sz w:val="22"/>
          <w:szCs w:val="22"/>
          <w:color w:val="auto"/>
        </w:rPr>
        <w:t>with a right-of-way and easement for the purpose of providing ingress and egress for the above</w:t>
      </w:r>
      <w:r>
        <w:rPr>
          <w:rFonts w:ascii="Arial" w:cs="Arial" w:eastAsia="Arial" w:hAnsi="Arial"/>
          <w:sz w:val="22"/>
          <w:szCs w:val="22"/>
          <w:b w:val="1"/>
          <w:bCs w:val="1"/>
          <w:color w:val="auto"/>
        </w:rPr>
        <w:t xml:space="preserve"> </w:t>
      </w:r>
      <w:r>
        <w:rPr>
          <w:rFonts w:ascii="Arial" w:cs="Arial" w:eastAsia="Arial" w:hAnsi="Arial"/>
          <w:sz w:val="22"/>
          <w:szCs w:val="22"/>
          <w:color w:val="auto"/>
        </w:rPr>
        <w:t>described land in, on and over a strip of land 24 feet wide off of the East side of that certain lot, tract or parcel of land which was conveyed to W. A. Byrd by Lucy B. Dabney by deed dated April 6, 1950, and recorded in Deed Book 280 at Page 523 of the aforesaid Land Records, which said strip of land extends from the North boundary line of the above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B - 50</w:t>
      </w:r>
    </w:p>
    <w:p>
      <w:pPr>
        <w:sectPr>
          <w:pgSz w:w="11900" w:h="16838" w:orient="portrait"/>
          <w:cols w:equalWidth="0" w:num="1">
            <w:col w:w="11420"/>
          </w:cols>
          <w:pgMar w:left="240" w:top="591" w:right="239" w:bottom="1440" w:gutter="0" w:footer="0" w:header="0"/>
        </w:sectPr>
      </w:pPr>
    </w:p>
    <w:bookmarkStart w:id="100" w:name="page101"/>
    <w:bookmarkEnd w:id="100"/>
    <w:p>
      <w:pPr>
        <w:ind w:left="100"/>
        <w:spacing w:after="0"/>
        <w:rPr>
          <w:sz w:val="20"/>
          <w:szCs w:val="20"/>
          <w:color w:val="auto"/>
        </w:rPr>
      </w:pPr>
      <w:r>
        <w:rPr>
          <w:rFonts w:ascii="Arial" w:cs="Arial" w:eastAsia="Arial" w:hAnsi="Arial"/>
          <w:sz w:val="19"/>
          <w:szCs w:val="19"/>
          <w:color w:val="auto"/>
        </w:rPr>
        <w:t>described land to Lucy Bryson Street and which is presently used in providing ingress and egress to the said lands.</w:t>
      </w:r>
    </w:p>
    <w:p>
      <w:pPr>
        <w:spacing w:after="0" w:line="248" w:lineRule="exact"/>
        <w:rPr>
          <w:sz w:val="20"/>
          <w:szCs w:val="20"/>
          <w:color w:val="auto"/>
        </w:rPr>
      </w:pPr>
    </w:p>
    <w:p>
      <w:pPr>
        <w:jc w:val="both"/>
        <w:ind w:left="100"/>
        <w:spacing w:after="0" w:line="248" w:lineRule="auto"/>
        <w:rPr>
          <w:sz w:val="20"/>
          <w:szCs w:val="20"/>
          <w:color w:val="auto"/>
        </w:rPr>
      </w:pPr>
      <w:r>
        <w:rPr>
          <w:rFonts w:ascii="Arial" w:cs="Arial" w:eastAsia="Arial" w:hAnsi="Arial"/>
          <w:sz w:val="22"/>
          <w:szCs w:val="22"/>
          <w:b w:val="1"/>
          <w:bCs w:val="1"/>
          <w:color w:val="auto"/>
        </w:rPr>
        <w:t>PARCEL TWO</w:t>
      </w:r>
      <w:r>
        <w:rPr>
          <w:rFonts w:ascii="Arial" w:cs="Arial" w:eastAsia="Arial" w:hAnsi="Arial"/>
          <w:sz w:val="22"/>
          <w:szCs w:val="22"/>
          <w:color w:val="auto"/>
        </w:rPr>
        <w:t>: Beginning at the Northwest corner of that certain tract or parcel of land conveyed by Julius M.</w:t>
      </w:r>
      <w:r>
        <w:rPr>
          <w:rFonts w:ascii="Arial" w:cs="Arial" w:eastAsia="Arial" w:hAnsi="Arial"/>
          <w:sz w:val="22"/>
          <w:szCs w:val="22"/>
          <w:b w:val="1"/>
          <w:bCs w:val="1"/>
          <w:color w:val="auto"/>
        </w:rPr>
        <w:t xml:space="preserve"> </w:t>
      </w:r>
      <w:r>
        <w:rPr>
          <w:rFonts w:ascii="Arial" w:cs="Arial" w:eastAsia="Arial" w:hAnsi="Arial"/>
          <w:sz w:val="22"/>
          <w:szCs w:val="22"/>
          <w:color w:val="auto"/>
        </w:rPr>
        <w:t>Buchanan to Magnolia Hotel Company as recorded in the Land Deed Records of Warren County, Mississippi in Deed Book 247 at Page 498, said Northwest corner being marked by a large iron pipe which lies a distance, as measured easterly, of thirty feet from the centerline of the pavement of U.S. Highway 61 and 80, run thence on the chord of a curve of Highway north 18 degrees 14 minutes east a distance of 268.77 feet to an iron pipe which marks the Northwest corner of that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Ex. B - 51</w:t>
      </w:r>
    </w:p>
    <w:p>
      <w:pPr>
        <w:sectPr>
          <w:pgSz w:w="11900" w:h="16838" w:orient="portrait"/>
          <w:cols w:equalWidth="0" w:num="1">
            <w:col w:w="10220"/>
          </w:cols>
          <w:pgMar w:left="1440" w:top="591" w:right="239" w:bottom="1440" w:gutter="0" w:footer="0" w:header="0"/>
        </w:sectPr>
      </w:pPr>
    </w:p>
    <w:bookmarkStart w:id="101" w:name="page102"/>
    <w:bookmarkEnd w:id="10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702935" cy="7632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702935" cy="763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 B - 52</w:t>
      </w:r>
    </w:p>
    <w:p>
      <w:pPr>
        <w:sectPr>
          <w:pgSz w:w="11900" w:h="16838" w:orient="portrait"/>
          <w:cols w:equalWidth="0" w:num="1">
            <w:col w:w="9019"/>
          </w:cols>
          <w:pgMar w:left="1440" w:top="1440" w:right="1440" w:bottom="1440" w:gutter="0" w:footer="0" w:header="0"/>
        </w:sectPr>
      </w:pPr>
    </w:p>
    <w:bookmarkStart w:id="102" w:name="page103"/>
    <w:bookmarkEnd w:id="10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45535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848985" cy="4553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 B - 53</w:t>
      </w:r>
    </w:p>
    <w:p>
      <w:pPr>
        <w:sectPr>
          <w:pgSz w:w="11900" w:h="16838" w:orient="portrait"/>
          <w:cols w:equalWidth="0" w:num="1">
            <w:col w:w="9019"/>
          </w:cols>
          <w:pgMar w:left="1440" w:top="1440" w:right="1440" w:bottom="1440" w:gutter="0" w:footer="0" w:header="0"/>
        </w:sectPr>
      </w:pPr>
    </w:p>
    <w:bookmarkStart w:id="103" w:name="page104"/>
    <w:bookmarkEnd w:id="10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2160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848985" cy="2160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 B - 54</w:t>
      </w:r>
    </w:p>
    <w:p>
      <w:pPr>
        <w:sectPr>
          <w:pgSz w:w="11900" w:h="16838" w:orient="portrait"/>
          <w:cols w:equalWidth="0" w:num="1">
            <w:col w:w="9019"/>
          </w:cols>
          <w:pgMar w:left="1440" w:top="1440" w:right="1440" w:bottom="1440" w:gutter="0" w:footer="0" w:header="0"/>
        </w:sectPr>
      </w:pPr>
    </w:p>
    <w:bookmarkStart w:id="104" w:name="page105"/>
    <w:bookmarkEnd w:id="10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6800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848985" cy="6800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 B - 55</w:t>
      </w:r>
    </w:p>
    <w:p>
      <w:pPr>
        <w:sectPr>
          <w:pgSz w:w="11900" w:h="16838" w:orient="portrait"/>
          <w:cols w:equalWidth="0" w:num="1">
            <w:col w:w="9019"/>
          </w:cols>
          <w:pgMar w:left="1440" w:top="1440" w:right="1440" w:bottom="1440" w:gutter="0" w:footer="0" w:header="0"/>
        </w:sectPr>
      </w:pPr>
    </w:p>
    <w:bookmarkStart w:id="105" w:name="page106"/>
    <w:bookmarkEnd w:id="10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2294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229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 B - 56</w:t>
      </w:r>
    </w:p>
    <w:p>
      <w:pPr>
        <w:sectPr>
          <w:pgSz w:w="11900" w:h="16838" w:orient="portrait"/>
          <w:cols w:equalWidth="0" w:num="1">
            <w:col w:w="9019"/>
          </w:cols>
          <w:pgMar w:left="1440" w:top="1440" w:right="1440" w:bottom="1440" w:gutter="0" w:footer="0" w:header="0"/>
        </w:sectPr>
      </w:pPr>
    </w:p>
    <w:bookmarkStart w:id="106" w:name="page107"/>
    <w:bookmarkEnd w:id="10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006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006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 B - 57</w:t>
      </w:r>
    </w:p>
    <w:p>
      <w:pPr>
        <w:sectPr>
          <w:pgSz w:w="11900" w:h="16838" w:orient="portrait"/>
          <w:cols w:equalWidth="0" w:num="1">
            <w:col w:w="9019"/>
          </w:cols>
          <w:pgMar w:left="1440" w:top="1440" w:right="1440" w:bottom="1440" w:gutter="0" w:footer="0" w:header="0"/>
        </w:sectPr>
      </w:pPr>
    </w:p>
    <w:bookmarkStart w:id="107" w:name="page108"/>
    <w:bookmarkEnd w:id="10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1780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178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 B - 58</w:t>
      </w:r>
    </w:p>
    <w:p>
      <w:pPr>
        <w:sectPr>
          <w:pgSz w:w="11900" w:h="16838" w:orient="portrait"/>
          <w:cols w:equalWidth="0" w:num="1">
            <w:col w:w="9019"/>
          </w:cols>
          <w:pgMar w:left="1440" w:top="1440" w:right="1440" w:bottom="1440" w:gutter="0" w:footer="0" w:header="0"/>
        </w:sectPr>
      </w:pPr>
    </w:p>
    <w:bookmarkStart w:id="108" w:name="page109"/>
    <w:bookmarkEnd w:id="10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1951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195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 B - 59</w:t>
      </w:r>
    </w:p>
    <w:p>
      <w:pPr>
        <w:sectPr>
          <w:pgSz w:w="11900" w:h="16838" w:orient="portrait"/>
          <w:cols w:equalWidth="0" w:num="1">
            <w:col w:w="9019"/>
          </w:cols>
          <w:pgMar w:left="1440" w:top="1440" w:right="1440" w:bottom="1440" w:gutter="0" w:footer="0" w:header="0"/>
        </w:sectPr>
      </w:pPr>
    </w:p>
    <w:bookmarkStart w:id="109" w:name="page110"/>
    <w:bookmarkEnd w:id="10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0580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058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 B - 60</w:t>
      </w:r>
    </w:p>
    <w:p>
      <w:pPr>
        <w:sectPr>
          <w:pgSz w:w="11900" w:h="16838" w:orient="portrait"/>
          <w:cols w:equalWidth="0" w:num="1">
            <w:col w:w="9019"/>
          </w:cols>
          <w:pgMar w:left="1440" w:top="1440" w:right="1440" w:bottom="1440" w:gutter="0" w:footer="0" w:header="0"/>
        </w:sectPr>
      </w:pPr>
    </w:p>
    <w:bookmarkStart w:id="110" w:name="page111"/>
    <w:bookmarkEnd w:id="1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632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63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 B - 61</w:t>
      </w:r>
    </w:p>
    <w:p>
      <w:pPr>
        <w:sectPr>
          <w:pgSz w:w="11900" w:h="16838" w:orient="portrait"/>
          <w:cols w:equalWidth="0" w:num="1">
            <w:col w:w="9019"/>
          </w:cols>
          <w:pgMar w:left="1440" w:top="1440" w:right="1440" w:bottom="1440" w:gutter="0" w:footer="0" w:header="0"/>
        </w:sectPr>
      </w:pPr>
    </w:p>
    <w:bookmarkStart w:id="111" w:name="page112"/>
    <w:bookmarkEnd w:id="1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543560</wp:posOffset>
            </wp:positionV>
            <wp:extent cx="5831840" cy="7478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478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 B - 62</w:t>
      </w:r>
    </w:p>
    <w:p>
      <w:pPr>
        <w:sectPr>
          <w:pgSz w:w="11900" w:h="16838" w:orient="portrait"/>
          <w:cols w:equalWidth="0" w:num="1">
            <w:col w:w="9019"/>
          </w:cols>
          <w:pgMar w:left="1440" w:top="1440" w:right="1440" w:bottom="1440" w:gutter="0" w:footer="0" w:header="0"/>
        </w:sectPr>
      </w:pPr>
    </w:p>
    <w:bookmarkStart w:id="112" w:name="page113"/>
    <w:bookmarkEnd w:id="1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1032510</wp:posOffset>
            </wp:positionV>
            <wp:extent cx="4056380" cy="56769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4056380" cy="5676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 B - 63</w:t>
      </w:r>
    </w:p>
    <w:p>
      <w:pPr>
        <w:sectPr>
          <w:pgSz w:w="11900" w:h="16838" w:orient="portrait"/>
          <w:cols w:equalWidth="0" w:num="1">
            <w:col w:w="9019"/>
          </w:cols>
          <w:pgMar w:left="1440" w:top="1440" w:right="1440"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22"/>
          <w:szCs w:val="22"/>
          <w:color w:val="auto"/>
        </w:rPr>
        <w:t>TRACT FIFTEEN</w:t>
      </w:r>
    </w:p>
    <w:p>
      <w:pPr>
        <w:spacing w:after="0" w:line="220" w:lineRule="exact"/>
        <w:rPr>
          <w:sz w:val="20"/>
          <w:szCs w:val="20"/>
          <w:color w:val="auto"/>
        </w:rPr>
      </w:pPr>
    </w:p>
    <w:p>
      <w:pPr>
        <w:jc w:val="both"/>
        <w:ind w:right="220"/>
        <w:spacing w:after="0" w:line="312" w:lineRule="auto"/>
        <w:rPr>
          <w:sz w:val="20"/>
          <w:szCs w:val="20"/>
          <w:color w:val="auto"/>
        </w:rPr>
      </w:pPr>
      <w:r>
        <w:rPr>
          <w:rFonts w:ascii="Arial" w:cs="Arial" w:eastAsia="Arial" w:hAnsi="Arial"/>
          <w:sz w:val="19"/>
          <w:szCs w:val="19"/>
          <w:color w:val="auto"/>
        </w:rPr>
        <w:t>That certain parcel conveyed to Riverview Development Company, LLC by Delta Land Company, Inc. as recorded in Deed Book 1208 at Page 553 of the Land Records of Warren County, being part of Section 31, Township 16 North, Range 3 East, Vicksburg, Warren County, Mississippi, containing in the aggregate 0.22 acres, and being more particularly described as follows:</w:t>
      </w:r>
    </w:p>
    <w:p>
      <w:pPr>
        <w:spacing w:after="0" w:line="134" w:lineRule="exact"/>
        <w:rPr>
          <w:sz w:val="20"/>
          <w:szCs w:val="20"/>
          <w:color w:val="auto"/>
        </w:rPr>
      </w:pPr>
    </w:p>
    <w:p>
      <w:pPr>
        <w:spacing w:after="0" w:line="290" w:lineRule="auto"/>
        <w:rPr>
          <w:sz w:val="20"/>
          <w:szCs w:val="20"/>
          <w:color w:val="auto"/>
        </w:rPr>
      </w:pPr>
      <w:r>
        <w:rPr>
          <w:rFonts w:ascii="Arial" w:cs="Arial" w:eastAsia="Arial" w:hAnsi="Arial"/>
          <w:sz w:val="19"/>
          <w:szCs w:val="19"/>
          <w:color w:val="auto"/>
        </w:rPr>
        <w:t>Commencing at that certain Vicksburg National Military Park Monument #379, run thence South 10 degrees 37 minutes 48 seconds East, 393.30 feet, more or less, to a found iron marking the northwest corner of the herein described tract and the point of beginning; from said point run thence South 73 degrees 00 minutes 00 seconds East, 51.13 feet to the apparent westerly right of way of Washington Street, as it presently exists; thence along said apparent right of way, South 21 degrees 28 minutes 23 seconds West, 200.01 feet to a point; thence leaving said right of way and run North 54 degrees 00 minutes 00 seconds West, 52.00 feet to a point; thence run North 21 degrees 16 minutes 25 seconds East, 182.98 feet to the point of beginning, a plat whereof prepared by CTSI being attached hereto as Schedule 1.1 and incorporated herein in aid of description of the property herein described and conveyed and for all other purposes in the construction of this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 B - 64</w:t>
      </w:r>
    </w:p>
    <w:p>
      <w:pPr>
        <w:sectPr>
          <w:pgSz w:w="11900" w:h="16838" w:orient="portrait"/>
          <w:cols w:equalWidth="0" w:num="1">
            <w:col w:w="11420"/>
          </w:cols>
          <w:pgMar w:left="240" w:top="591" w:right="239" w:bottom="1440" w:gutter="0" w:footer="0" w:header="0"/>
        </w:sectPr>
      </w:pPr>
    </w:p>
    <w:bookmarkStart w:id="114" w:name="page115"/>
    <w:bookmarkEnd w:id="114"/>
    <w:p>
      <w:pPr>
        <w:jc w:val="center"/>
        <w:ind w:right="60"/>
        <w:spacing w:after="0"/>
        <w:rPr>
          <w:sz w:val="20"/>
          <w:szCs w:val="20"/>
          <w:color w:val="auto"/>
        </w:rPr>
      </w:pPr>
      <w:r>
        <w:rPr>
          <w:rFonts w:ascii="Arial" w:cs="Arial" w:eastAsia="Arial" w:hAnsi="Arial"/>
          <w:sz w:val="22"/>
          <w:szCs w:val="22"/>
          <w:b w:val="1"/>
          <w:bCs w:val="1"/>
          <w:u w:val="single" w:color="auto"/>
          <w:color w:val="auto"/>
        </w:rPr>
        <w:t>Ameristar Kansas City</w:t>
      </w:r>
    </w:p>
    <w:p>
      <w:pPr>
        <w:spacing w:after="0" w:line="361" w:lineRule="exact"/>
        <w:rPr>
          <w:sz w:val="20"/>
          <w:szCs w:val="20"/>
          <w:color w:val="auto"/>
        </w:rPr>
      </w:pPr>
    </w:p>
    <w:p>
      <w:pPr>
        <w:spacing w:after="0"/>
        <w:rPr>
          <w:sz w:val="20"/>
          <w:szCs w:val="20"/>
          <w:color w:val="auto"/>
        </w:rPr>
      </w:pPr>
      <w:r>
        <w:rPr>
          <w:rFonts w:ascii="Arial" w:cs="Arial" w:eastAsia="Arial" w:hAnsi="Arial"/>
          <w:sz w:val="22"/>
          <w:szCs w:val="22"/>
          <w:color w:val="auto"/>
        </w:rPr>
        <w:t>GAMING PROPERTY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TRACT 1:</w:t>
      </w:r>
    </w:p>
    <w:p>
      <w:pPr>
        <w:spacing w:after="0" w:line="22"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Lot 1, "KANSAS CITY STATION," a subdivision of land in the City of Kansas City, Clay County, Missouri, according to the recorded plat thereof.</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TRACT 2:</w:t>
      </w:r>
    </w:p>
    <w:p>
      <w:pPr>
        <w:spacing w:after="0" w:line="22" w:lineRule="exact"/>
        <w:rPr>
          <w:sz w:val="20"/>
          <w:szCs w:val="20"/>
          <w:color w:val="auto"/>
        </w:rPr>
      </w:pPr>
    </w:p>
    <w:p>
      <w:pPr>
        <w:ind w:right="20"/>
        <w:spacing w:after="0" w:line="246" w:lineRule="auto"/>
        <w:rPr>
          <w:sz w:val="20"/>
          <w:szCs w:val="20"/>
          <w:color w:val="auto"/>
        </w:rPr>
      </w:pPr>
      <w:r>
        <w:rPr>
          <w:rFonts w:ascii="Arial" w:cs="Arial" w:eastAsia="Arial" w:hAnsi="Arial"/>
          <w:sz w:val="22"/>
          <w:szCs w:val="22"/>
          <w:color w:val="auto"/>
        </w:rPr>
        <w:t>Lot 3, KANSAS CITY STATION, a subdivision of land in Kansas City, Clay County, Missouri, according to the recorded plat thereof.</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TRACT 3:</w:t>
      </w:r>
    </w:p>
    <w:p>
      <w:pPr>
        <w:spacing w:after="0" w:line="22"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Lots 1 to 6, both inclusive, all of Lot 8, and all that part of Lots 7, 9, 10 and 12 lying Northerly of the Northerly line of the Birmingham Drainage District Levee, in Block 40;</w:t>
      </w:r>
    </w:p>
    <w:p>
      <w:pPr>
        <w:spacing w:after="0" w:line="193"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Lots 1-15, both inclusive (EXCEPT the part of said Lot 14 lying Southerly from the Northerly line of Birmingham Drainage District Levee), in Block 42;</w:t>
      </w:r>
    </w:p>
    <w:p>
      <w:pPr>
        <w:spacing w:after="0" w:line="175"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Lots 2 and 4 (EXCEPT the part thereof lying Southerly of the Northerly line of Birmingham Drainage District Levee), in Block 43;</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Lots 1 - 18, both inclusive, in Block 44;</w:t>
      </w:r>
    </w:p>
    <w:p>
      <w:pPr>
        <w:spacing w:after="0" w:line="22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Lots 1, 2, 3, 4, 6 and 8, and all that part of Lots 5, 7 ,9, 10 and 12 lying Northerly of the Northerly line of Birmingham Drainage District Levee, in Block 45;</w:t>
      </w:r>
    </w:p>
    <w:p>
      <w:pPr>
        <w:spacing w:after="0" w:line="175"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Lots 1, 2, 3, 7, 10, 12, 14, 16,18 and 20; the West 21.38 feet of Lot 4, and the West 33.28 feet of Lots 8, 9, 11, 13, 15, 17, 19 and 21, in Block 47;</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Lots 1, 3, 5, 7, 9 and 11, and the West 33.28 feet of Lots 2, 4, 6, 8, 10 and 12, in Block 48;</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Together with:</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All vacated alleys or portions thereof which lie adjacent to said lots or portions of lots.</w:t>
      </w:r>
    </w:p>
    <w:p>
      <w:pPr>
        <w:spacing w:after="0" w:line="22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Vacated Third (3rd) Street lying between the East line of Liberty Street and the extended East line of said West portion of said Lot 4, in Block 47;</w:t>
      </w:r>
    </w:p>
    <w:p>
      <w:pPr>
        <w:spacing w:after="0" w:line="175"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All of vacated Cherry street, Vine Street and Hickory Street lying between the South line of Third (3rd) Street and the Northerly line of Birmingham Drainage District Levee;</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All of vacated Second (2nd) Street lying between the Northerly line of the Birmingham Drainage District Levee and the extended East line of the West 33.28 feet of Lot 2, in said Block 48;</w:t>
      </w:r>
    </w:p>
    <w:p>
      <w:pPr>
        <w:spacing w:after="0" w:line="175"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All of vacated Main Street lying East of the Northerly line of said Birmingham Drainage District Levee and West of the extended East line of the West 33.28 feet of Lot 12, in said Block 48;</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All in the PLAN OF RANDOLPH, a subdivision in the Village of Randolph, Clay County, Missouri; EXCEPT from the foregoing Tract 3 the following described property conveyed to Kansas City Power &amp;</w:t>
      </w:r>
    </w:p>
    <w:p>
      <w:pPr>
        <w:sectPr>
          <w:pgSz w:w="11900" w:h="16838" w:orient="portrait"/>
          <w:cols w:equalWidth="0" w:num="1">
            <w:col w:w="11340"/>
          </w:cols>
          <w:pgMar w:left="320" w:top="841" w:right="239" w:bottom="1440" w:gutter="0" w:footer="0" w:header="0"/>
        </w:sectPr>
      </w:pPr>
    </w:p>
    <w:p>
      <w:pPr>
        <w:spacing w:after="0" w:line="195"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Ex. B - 65</w:t>
      </w:r>
    </w:p>
    <w:p>
      <w:pPr>
        <w:sectPr>
          <w:pgSz w:w="11900" w:h="16838" w:orient="portrait"/>
          <w:cols w:equalWidth="0" w:num="1">
            <w:col w:w="11340"/>
          </w:cols>
          <w:pgMar w:left="320" w:top="841" w:right="239" w:bottom="1440" w:gutter="0" w:footer="0" w:header="0"/>
          <w:type w:val="continuous"/>
        </w:sectPr>
      </w:pPr>
    </w:p>
    <w:bookmarkStart w:id="115" w:name="page116"/>
    <w:bookmarkEnd w:id="115"/>
    <w:p>
      <w:pPr>
        <w:jc w:val="both"/>
        <w:spacing w:after="0" w:line="263" w:lineRule="auto"/>
        <w:rPr>
          <w:sz w:val="20"/>
          <w:szCs w:val="20"/>
          <w:color w:val="auto"/>
        </w:rPr>
      </w:pPr>
      <w:r>
        <w:rPr>
          <w:rFonts w:ascii="Arial" w:cs="Arial" w:eastAsia="Arial" w:hAnsi="Arial"/>
          <w:sz w:val="22"/>
          <w:szCs w:val="22"/>
          <w:color w:val="auto"/>
        </w:rPr>
        <w:t>Light Company by Special Warranty Deed recorded in Book 2620, Page 663 as Document No. N20860 in the Official Records of Clay County, Missouri;</w:t>
      </w:r>
    </w:p>
    <w:p>
      <w:pPr>
        <w:spacing w:after="0" w:line="175"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All that part of Block 40 and 42, in the PLAN OF RANDOLPH, Village of Randolph, Clay County, Missouri, together with portions of the vacated alleys, Cherry Street and Second (2nd) Street that lies within the following property:</w:t>
      </w:r>
    </w:p>
    <w:p>
      <w:pPr>
        <w:spacing w:after="0" w:line="175"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Beginning at the Northerly right of way line of the Birmingham Drainage District Levee as described in Book 470, Page 522 in the Clay County Recorder of Deeds Office and the Westerly line of Block 40, PLAN OF RANDOLPH; thence North 0 degrees 45 minutes 58 seconds East along said Westerly line of Block 40, 248.69 feet; thence North 82 degrees 02 minutes 28 seconds East, 71.54 feet; thence South 73 degrees 59 minutes 40 seconds East parallel to the said Northerly Levee Right of Way, 395.00 feet; thence South 16 degrees 00 minutes 20 seconds West, 269.00 feet to the said Northerly Levee Right of Way; thence North 73 degrees 59 minutes 40 seconds West along said Northerly Levee Right of Way, 395.00 feet to the point of beginning.</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TRACT 4:</w:t>
      </w:r>
    </w:p>
    <w:p>
      <w:pPr>
        <w:spacing w:after="0" w:line="22"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Lot 2, of "KANSAS CITY STATION," a subdivision of land in the City of Kansas City, Clay County, Missouri, according to the recorded plat thereof.</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TRACT 5:</w:t>
      </w:r>
    </w:p>
    <w:p>
      <w:pPr>
        <w:spacing w:after="0" w:line="22"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A tract of land being part of Blocks 47 - 50 of "THE PLAN OF RANDOLPH", a subdivision of land in Clay County, Missouri, and a part of the South One Half of the Southwest Quarter of Section 10, Township 50, Range 32 and a part of the North One Half of the Northwest Quarter of Section 15, Township 50, Range 32, all being located in said Clay County, and more particularly described as follows: Commencing at the Southwest corner of the Southeast Quarter of the Southwest Quarter of said Section 10, Township 50, Rage 32 said point also being the Southeast corner of said "PLAN OF RANDOLPH"; thence South 89 degrees 29 minutes 02 seconds East (South 89 degrees 32 minutes 51 seconds Deed) a distance of 202.28 feet to the True Point of Beginning of the tract of land to be herein conveyed; thence North 0 degrees 19 minutes 54 seconds East (North 00 degrees 17 minutes 59 seconds Deed) parallel with the West line of said Quarter, Quarter Section of land a distance of 1082.25 feet (1082.72 Deed) to a point on the centerline of Birmingham Road; thence South 80 degrees 42 minute 36 seconds West (80 degrees 42 minutes 29 seconds West Deed) a distance of 205.16 feet (205.15 Deed) to a point on said West line of said Quarter, Quarter Section of land; thence South 81 degrees 42 minutes 58 seconds West (South 81 degrees 35 minutes 00 seconds West Deed) and continuing along said center line of said Birmingham Road a distance of 301.11 feet (301.20 Deed); thence South 00 degrees 19 minutes 54 seconds West (South 0 degrees 17 minutes 59 seconds West Deed) parallel with the West line of said Quarter, Quarter Section of land a distance of 1001.24 feet (1001.56 Deed) to a point on the South line of said "PLAN OF RANDOLPH" said point also being on the North line of said Northwest Quarter of said Section 15; thence South 0 degrees 29 minutes 26 seconds West (South 0 degrees 17 minutes 59 seconds West Deed) a distance of 94.08 feet (93.90 Deed) to a point on the Northerly right of way line of New Levee as described in Document No. A-302951 in the Office of the Recorder of Deeds, Clay County, Missouri; thence South 62 degrees 47 minutes 24 seconds East (South 62 degrees 50 minutes 31 seconds Deed) along said Northerly right of way a distance of 560.49 feet (560.46 Deed); thence North 00 degrees 23 minutes 23 seconds East (North 0 degree 17 minutes 59 seconds East Deed) parallel with the West line of the Northeast Quarter of the Northwest Quarter of said Section 15 a distance of 345.87 feet (345.78 Deed) to the Point of beginning.</w:t>
      </w:r>
    </w:p>
    <w:p>
      <w:pPr>
        <w:spacing w:after="0" w:line="200" w:lineRule="exact"/>
        <w:rPr>
          <w:sz w:val="20"/>
          <w:szCs w:val="20"/>
          <w:color w:val="auto"/>
        </w:rPr>
      </w:pPr>
    </w:p>
    <w:p>
      <w:pPr>
        <w:spacing w:after="0" w:line="216"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EXCEPT: All that part of the above described property being platted as Lot 2, KANSAS CITY STATION, a subdivision of land Kansas City, Clay County, Missouri.</w:t>
      </w:r>
    </w:p>
    <w:p>
      <w:pPr>
        <w:spacing w:after="0" w:line="200" w:lineRule="exact"/>
        <w:rPr>
          <w:sz w:val="20"/>
          <w:szCs w:val="20"/>
          <w:color w:val="auto"/>
        </w:rPr>
      </w:pPr>
    </w:p>
    <w:p>
      <w:pPr>
        <w:spacing w:after="0" w:line="21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Ex. B - 66</w:t>
      </w:r>
    </w:p>
    <w:p>
      <w:pPr>
        <w:sectPr>
          <w:pgSz w:w="11900" w:h="16838" w:orient="portrait"/>
          <w:cols w:equalWidth="0" w:num="1">
            <w:col w:w="11340"/>
          </w:cols>
          <w:pgMar w:left="320" w:top="591" w:right="239" w:bottom="1440" w:gutter="0" w:footer="0" w:header="0"/>
        </w:sectPr>
      </w:pPr>
    </w:p>
    <w:bookmarkStart w:id="116" w:name="page117"/>
    <w:bookmarkEnd w:id="116"/>
    <w:p>
      <w:pPr>
        <w:spacing w:after="0"/>
        <w:rPr>
          <w:sz w:val="20"/>
          <w:szCs w:val="20"/>
          <w:color w:val="auto"/>
        </w:rPr>
      </w:pPr>
      <w:r>
        <w:rPr>
          <w:rFonts w:ascii="Arial" w:cs="Arial" w:eastAsia="Arial" w:hAnsi="Arial"/>
          <w:sz w:val="22"/>
          <w:szCs w:val="22"/>
          <w:color w:val="auto"/>
        </w:rPr>
        <w:t>TRACT 6:</w:t>
      </w:r>
    </w:p>
    <w:p>
      <w:pPr>
        <w:spacing w:after="0" w:line="22"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Leasehold Estate as created by Lease Agreement notice of which is given by Memorandum of Lease Agreement by and between Birmingham Drainage District, as Lessor, and Station/First Joint Venture, as Lessee, dated February 17, 1995 and filed July 7, 1995 as Document No. M-62089 in Book 2462 at Page 724.</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Lessee's Interest assigned to Kansas City Station Corporation by Ratification, Confirmation, Assignment and Amendment of Lease filed March 26, 1996 as Document No. M-91367 in Book 2539 at page 788.</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Assignment of Lessee's interest in Lease executed by Kansas City Station Corporation to Ameristar Casino Kansas City, Inc., dated December 20, 2000, filed December 20, 2000, as Document No. Q-27087.</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Assignment of Lessee's interest in Lease executed by Ameristar Casino Kansas City, LLC fka Ameristar Casino Kansas City, Inc. to Pinnacle Entertainment, Inc. dated as of April 28, 2016, filed May 4, 2016 as Document No. 2016014085 in Book 7707 at page 81 in Clay County, Missouri.</w:t>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Gold Merger Sub, LLC successor by merger to Pinnacle Entertainment, Inc filed in Book 7707 at Page 135 in Clay County, Missouri;</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As to the following tract:</w:t>
      </w:r>
    </w:p>
    <w:p>
      <w:pPr>
        <w:spacing w:after="0" w:line="22"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A tract of land in the South 1/2 of Section 10, T50N, R32W and part of fractional Section 15, T50N, R32W and part of the PLAN OF RANDOLPH, Clay County, Missouri more particularly described as follows: Beginning at a point on the South line of said Section 10, which is 441.63 feet (442.1 Deed) West of the Southeast Corner of said Section 10; Thence South 89 degrees 09 minutes 01 seconds East (South 89 degrees 32 minutes 51 seconds East Deed) a distance of 50.88 feet to a point on the Westerly right-of-way line of the Chicago, Milwaukee, St Paul; and Pacific Railroad, and the Chicago Rock Island and Pacific Railroads; thence South 45 degrees 59 minutes 10 seconds West (South 45 degrees 35 minutes 24 seconds West Deed) along the said right-of-way, 2336.75 feet (2336.29 Deed) to a point on the Northerly right-of-way line of the new levee WHICH IS THE TRUE POINT OF BEGINNING; thence North 45 degrees 02 minutes 28 seconds West (North 45 degrees 22 minutes 17 seconds West Deed) along Northeasterly right-of-way line of the new levee, as described in Document No. A-032951 in the Office of the Recorder of Deeds, Clay County, Missouri, 895.03 feet (886.59 Deed) to a point of curve; thence along a curve to the left having a radius of 3354.35 feet and a central angle of 17 degrees 24 minutes 55 seconds a distance of 1019.57 feet; thence North 62 degrees 27 minutes 23 seconds West (North 62 degrees 47 minutes 12 seconds West on Deed) along said levee right-of-way, 763.50 feet; thence south 00 degrees 00 minutes 00 seconds West to the low water mark of the Missouri River; thence downstream in a Southeasterly direction along said low water mark to a point South 45 degrees 59 minutes 10 seconds West of the True Point of Beginning; thence North 45 degrees 59 minutes 10 seconds East to the TRUE POINT OF BEGINNING.</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TRACT 7:</w:t>
      </w:r>
    </w:p>
    <w:p>
      <w:pPr>
        <w:spacing w:after="0" w:line="22"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Leasehold Estate as created by the Lease Agreement notice of which is given by Memorandum of Lease Agreement by and between Birmingham Drainage District, as Lessor, and Station/First Joint Venture, as Lessee, dated February 17, 1995 and filed July 7, 1995, as Document No. M-62089 in Book .2462 at Page 724.</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Lessee's interest assigned to Kansas City Station Corporation by Ratification, Confirmation, Assignment and Amendment of Lease filed March 26, 1996 as Document No. M-91367 in Book 2539 at Page 788.</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Assignment of Lessee's interest in Lease executed by Kansas City Station Corporation to Ameristar Casino Kansas City, Inc., dated December 20, 2000, filed December 20, 2000, as Document No. Q-27087.</w:t>
      </w:r>
    </w:p>
    <w:p>
      <w:pPr>
        <w:spacing w:after="0" w:line="19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Ex. B - 67</w:t>
      </w:r>
    </w:p>
    <w:p>
      <w:pPr>
        <w:sectPr>
          <w:pgSz w:w="11900" w:h="16838" w:orient="portrait"/>
          <w:cols w:equalWidth="0" w:num="1">
            <w:col w:w="11340"/>
          </w:cols>
          <w:pgMar w:left="320" w:top="591" w:right="239" w:bottom="1440" w:gutter="0" w:footer="0" w:header="0"/>
        </w:sectPr>
      </w:pPr>
    </w:p>
    <w:bookmarkStart w:id="117" w:name="page118"/>
    <w:bookmarkEnd w:id="117"/>
    <w:p>
      <w:pPr>
        <w:jc w:val="both"/>
        <w:spacing w:after="0" w:line="253" w:lineRule="auto"/>
        <w:rPr>
          <w:sz w:val="20"/>
          <w:szCs w:val="20"/>
          <w:color w:val="auto"/>
        </w:rPr>
      </w:pPr>
      <w:r>
        <w:rPr>
          <w:rFonts w:ascii="Arial" w:cs="Arial" w:eastAsia="Arial" w:hAnsi="Arial"/>
          <w:sz w:val="22"/>
          <w:szCs w:val="22"/>
          <w:color w:val="auto"/>
        </w:rPr>
        <w:t>Assignment of Lessee's interest in Lease executed by Ameristar Casino Kansas City, LLC fka Ameristar Casino Kansas City, Inc. to Pinnacle Entertainment, Inc. dated as of April 28, 2016, filed May 4, 2016 as Document No. 2016014085 in Book 7707 at page 81 in Clay County, Missouri.</w:t>
      </w:r>
    </w:p>
    <w:p>
      <w:pPr>
        <w:spacing w:after="0" w:line="186" w:lineRule="exact"/>
        <w:rPr>
          <w:sz w:val="20"/>
          <w:szCs w:val="20"/>
          <w:color w:val="auto"/>
        </w:rPr>
      </w:pPr>
    </w:p>
    <w:p>
      <w:pPr>
        <w:jc w:val="both"/>
        <w:ind w:left="80"/>
        <w:spacing w:after="0" w:line="263" w:lineRule="auto"/>
        <w:rPr>
          <w:sz w:val="20"/>
          <w:szCs w:val="20"/>
          <w:color w:val="auto"/>
        </w:rPr>
      </w:pPr>
      <w:r>
        <w:rPr>
          <w:rFonts w:ascii="Arial" w:cs="Arial" w:eastAsia="Arial" w:hAnsi="Arial"/>
          <w:sz w:val="22"/>
          <w:szCs w:val="22"/>
          <w:color w:val="auto"/>
        </w:rPr>
        <w:t>Gold Merger Sub, LLC successor by merger to Pinnacle Entertainment, Inc filed in Book 7707 at Page 135 in Clay County, Missouri;</w:t>
      </w:r>
    </w:p>
    <w:p>
      <w:pPr>
        <w:spacing w:after="0" w:line="175" w:lineRule="exact"/>
        <w:rPr>
          <w:sz w:val="20"/>
          <w:szCs w:val="20"/>
          <w:color w:val="auto"/>
        </w:rPr>
      </w:pPr>
    </w:p>
    <w:p>
      <w:pPr>
        <w:ind w:left="80"/>
        <w:spacing w:after="0"/>
        <w:rPr>
          <w:sz w:val="20"/>
          <w:szCs w:val="20"/>
          <w:color w:val="auto"/>
        </w:rPr>
      </w:pPr>
      <w:r>
        <w:rPr>
          <w:rFonts w:ascii="Arial" w:cs="Arial" w:eastAsia="Arial" w:hAnsi="Arial"/>
          <w:sz w:val="22"/>
          <w:szCs w:val="22"/>
          <w:color w:val="auto"/>
        </w:rPr>
        <w:t>As to the following tract:</w:t>
      </w:r>
    </w:p>
    <w:p>
      <w:pPr>
        <w:spacing w:after="0" w:line="22" w:lineRule="exact"/>
        <w:rPr>
          <w:sz w:val="20"/>
          <w:szCs w:val="20"/>
          <w:color w:val="auto"/>
        </w:rPr>
      </w:pPr>
    </w:p>
    <w:p>
      <w:pPr>
        <w:jc w:val="both"/>
        <w:ind w:left="80"/>
        <w:spacing w:after="0" w:line="257" w:lineRule="auto"/>
        <w:rPr>
          <w:sz w:val="20"/>
          <w:szCs w:val="20"/>
          <w:color w:val="auto"/>
        </w:rPr>
      </w:pPr>
      <w:r>
        <w:rPr>
          <w:rFonts w:ascii="Arial" w:cs="Arial" w:eastAsia="Arial" w:hAnsi="Arial"/>
          <w:sz w:val="21"/>
          <w:szCs w:val="21"/>
          <w:color w:val="auto"/>
        </w:rPr>
        <w:t>Commencing at a point where the Westerly line of Block 40, PLAN OF RANDOLPH, intersects with the Northerly right of way line of Birmingham Drainage District Levee; thence South 73 degrees 59 minutes 40 seconds East along said right-of -way 659.49 feet; thence South 56 degrees 59 minutes 49 seconds East along said right-of-way 220.52 feet; thence South 62 degrees 43 minutes 15 seconds East along said right-of-way 607.23 feet; thence South 00 degrees 00 minutes 00 seconds West to the low water mark of the Missouri River, thence upstream in a Northwesterly direction along the low water mark of the Missouri River to a point where said low water mark intersects with the Westerly line of Block 40, PLAN OF RANDOLPH; thence Northerly along the Westerly line of Block 40, PLAN OF RANDOLPH, to the Point of Beginning.</w:t>
      </w:r>
    </w:p>
    <w:p>
      <w:pPr>
        <w:spacing w:after="0" w:line="400" w:lineRule="exact"/>
        <w:rPr>
          <w:sz w:val="20"/>
          <w:szCs w:val="20"/>
          <w:color w:val="auto"/>
        </w:rPr>
      </w:pPr>
    </w:p>
    <w:p>
      <w:pPr>
        <w:ind w:left="80"/>
        <w:spacing w:after="0"/>
        <w:rPr>
          <w:sz w:val="20"/>
          <w:szCs w:val="20"/>
          <w:color w:val="auto"/>
        </w:rPr>
      </w:pPr>
      <w:r>
        <w:rPr>
          <w:rFonts w:ascii="Arial" w:cs="Arial" w:eastAsia="Arial" w:hAnsi="Arial"/>
          <w:sz w:val="22"/>
          <w:szCs w:val="22"/>
          <w:color w:val="auto"/>
        </w:rPr>
        <w:t>WETLANDS PROPERTY (Tracts 8 &amp; 9):</w:t>
      </w:r>
    </w:p>
    <w:p>
      <w:pPr>
        <w:spacing w:after="0" w:line="220" w:lineRule="exact"/>
        <w:rPr>
          <w:sz w:val="20"/>
          <w:szCs w:val="20"/>
          <w:color w:val="auto"/>
        </w:rPr>
      </w:pPr>
    </w:p>
    <w:p>
      <w:pPr>
        <w:ind w:left="80"/>
        <w:spacing w:after="0"/>
        <w:rPr>
          <w:sz w:val="20"/>
          <w:szCs w:val="20"/>
          <w:color w:val="auto"/>
        </w:rPr>
      </w:pPr>
      <w:r>
        <w:rPr>
          <w:rFonts w:ascii="Arial" w:cs="Arial" w:eastAsia="Arial" w:hAnsi="Arial"/>
          <w:sz w:val="22"/>
          <w:szCs w:val="22"/>
          <w:color w:val="auto"/>
        </w:rPr>
        <w:t>TRACT 8:</w:t>
      </w:r>
    </w:p>
    <w:p>
      <w:pPr>
        <w:spacing w:after="0" w:line="22" w:lineRule="exact"/>
        <w:rPr>
          <w:sz w:val="20"/>
          <w:szCs w:val="20"/>
          <w:color w:val="auto"/>
        </w:rPr>
      </w:pPr>
    </w:p>
    <w:p>
      <w:pPr>
        <w:jc w:val="both"/>
        <w:ind w:left="80" w:right="20"/>
        <w:spacing w:after="0" w:line="246" w:lineRule="auto"/>
        <w:rPr>
          <w:sz w:val="20"/>
          <w:szCs w:val="20"/>
          <w:color w:val="auto"/>
        </w:rPr>
      </w:pPr>
      <w:r>
        <w:rPr>
          <w:rFonts w:ascii="Arial" w:cs="Arial" w:eastAsia="Arial" w:hAnsi="Arial"/>
          <w:sz w:val="22"/>
          <w:szCs w:val="22"/>
          <w:color w:val="auto"/>
        </w:rPr>
        <w:t>The South 30 acres of the Southeast Quarter of the Northeast Quarter of Section 27, Township 51, Range 30, in Jackson County, Missouri, EXCEPT that part taken by Corp of Engineers, U.S. Army In Civil Action No. 11247.</w:t>
      </w:r>
    </w:p>
    <w:p>
      <w:pPr>
        <w:spacing w:after="0" w:line="193" w:lineRule="exact"/>
        <w:rPr>
          <w:sz w:val="20"/>
          <w:szCs w:val="20"/>
          <w:color w:val="auto"/>
        </w:rPr>
      </w:pPr>
    </w:p>
    <w:p>
      <w:pPr>
        <w:ind w:left="80"/>
        <w:spacing w:after="0"/>
        <w:rPr>
          <w:sz w:val="20"/>
          <w:szCs w:val="20"/>
          <w:color w:val="auto"/>
        </w:rPr>
      </w:pPr>
      <w:r>
        <w:rPr>
          <w:rFonts w:ascii="Arial" w:cs="Arial" w:eastAsia="Arial" w:hAnsi="Arial"/>
          <w:sz w:val="22"/>
          <w:szCs w:val="22"/>
          <w:color w:val="auto"/>
        </w:rPr>
        <w:t>TRACT 9:</w:t>
      </w:r>
    </w:p>
    <w:p>
      <w:pPr>
        <w:spacing w:after="0" w:line="22" w:lineRule="exact"/>
        <w:rPr>
          <w:sz w:val="20"/>
          <w:szCs w:val="20"/>
          <w:color w:val="auto"/>
        </w:rPr>
      </w:pPr>
    </w:p>
    <w:p>
      <w:pPr>
        <w:jc w:val="both"/>
        <w:ind w:left="80"/>
        <w:spacing w:after="0" w:line="244" w:lineRule="auto"/>
        <w:rPr>
          <w:sz w:val="20"/>
          <w:szCs w:val="20"/>
          <w:color w:val="auto"/>
        </w:rPr>
      </w:pPr>
      <w:r>
        <w:rPr>
          <w:rFonts w:ascii="Arial" w:cs="Arial" w:eastAsia="Arial" w:hAnsi="Arial"/>
          <w:sz w:val="22"/>
          <w:szCs w:val="22"/>
          <w:color w:val="auto"/>
        </w:rPr>
        <w:t>The Northeast Quarter of the Southeast Quarter of Section 27, Township 51, Range 30, Jackson County, Missouri; EXCEPT that part lying South of the Missouri River, all of said Quarter Quarter Section being subject to a perpetual easement granted to the United States of America over and across said land, as created under instrument designated "Easement" filed under Document No. 685882 in Book 1316 at Page 492.</w:t>
      </w:r>
    </w:p>
    <w:p>
      <w:pPr>
        <w:spacing w:after="0" w:line="196" w:lineRule="exact"/>
        <w:rPr>
          <w:sz w:val="20"/>
          <w:szCs w:val="20"/>
          <w:color w:val="auto"/>
        </w:rPr>
      </w:pPr>
    </w:p>
    <w:p>
      <w:pPr>
        <w:ind w:left="80"/>
        <w:spacing w:after="0"/>
        <w:rPr>
          <w:sz w:val="20"/>
          <w:szCs w:val="20"/>
          <w:color w:val="auto"/>
        </w:rPr>
      </w:pPr>
      <w:r>
        <w:rPr>
          <w:rFonts w:ascii="Arial" w:cs="Arial" w:eastAsia="Arial" w:hAnsi="Arial"/>
          <w:sz w:val="22"/>
          <w:szCs w:val="22"/>
          <w:color w:val="auto"/>
        </w:rPr>
        <w:t>TRACT 10:</w:t>
      </w:r>
    </w:p>
    <w:p>
      <w:pPr>
        <w:spacing w:after="0" w:line="220" w:lineRule="exact"/>
        <w:rPr>
          <w:sz w:val="20"/>
          <w:szCs w:val="20"/>
          <w:color w:val="auto"/>
        </w:rPr>
      </w:pPr>
    </w:p>
    <w:p>
      <w:pPr>
        <w:ind w:left="80"/>
        <w:spacing w:after="0"/>
        <w:rPr>
          <w:sz w:val="20"/>
          <w:szCs w:val="20"/>
          <w:color w:val="auto"/>
        </w:rPr>
      </w:pPr>
      <w:r>
        <w:rPr>
          <w:rFonts w:ascii="Arial" w:cs="Arial" w:eastAsia="Arial" w:hAnsi="Arial"/>
          <w:sz w:val="22"/>
          <w:szCs w:val="22"/>
          <w:color w:val="auto"/>
        </w:rPr>
        <w:t>Parcel 1:</w:t>
      </w:r>
    </w:p>
    <w:p>
      <w:pPr>
        <w:spacing w:after="0" w:line="22" w:lineRule="exact"/>
        <w:rPr>
          <w:sz w:val="20"/>
          <w:szCs w:val="20"/>
          <w:color w:val="auto"/>
        </w:rPr>
      </w:pPr>
    </w:p>
    <w:p>
      <w:pPr>
        <w:ind w:left="80"/>
        <w:spacing w:after="0"/>
        <w:rPr>
          <w:sz w:val="20"/>
          <w:szCs w:val="20"/>
          <w:color w:val="auto"/>
        </w:rPr>
      </w:pPr>
      <w:r>
        <w:rPr>
          <w:rFonts w:ascii="Arial" w:cs="Arial" w:eastAsia="Arial" w:hAnsi="Arial"/>
          <w:sz w:val="22"/>
          <w:szCs w:val="22"/>
          <w:color w:val="auto"/>
        </w:rPr>
        <w:t>AN UNDIVIDED 2/3 INTEREST IN AND TO THE FOLLOWING DESCRIBED LAND:</w:t>
      </w:r>
    </w:p>
    <w:p>
      <w:pPr>
        <w:spacing w:after="0" w:line="4" w:lineRule="exact"/>
        <w:rPr>
          <w:sz w:val="20"/>
          <w:szCs w:val="20"/>
          <w:color w:val="auto"/>
        </w:rPr>
      </w:pPr>
    </w:p>
    <w:p>
      <w:pPr>
        <w:jc w:val="both"/>
        <w:ind w:left="80" w:right="20"/>
        <w:spacing w:after="0" w:line="246" w:lineRule="auto"/>
        <w:rPr>
          <w:sz w:val="20"/>
          <w:szCs w:val="20"/>
          <w:color w:val="auto"/>
        </w:rPr>
      </w:pPr>
      <w:r>
        <w:rPr>
          <w:rFonts w:ascii="Arial" w:cs="Arial" w:eastAsia="Arial" w:hAnsi="Arial"/>
          <w:sz w:val="22"/>
          <w:szCs w:val="22"/>
          <w:color w:val="auto"/>
        </w:rPr>
        <w:t>All of Block 41, lying South of the Southerly line of the Birmingham Drainage District Levee, in the PLAN OF RANDOLPH, a subdivision of land in Clay County, Missouri.</w:t>
      </w:r>
    </w:p>
    <w:p>
      <w:pPr>
        <w:spacing w:after="0" w:line="193" w:lineRule="exact"/>
        <w:rPr>
          <w:sz w:val="20"/>
          <w:szCs w:val="20"/>
          <w:color w:val="auto"/>
        </w:rPr>
      </w:pPr>
    </w:p>
    <w:p>
      <w:pPr>
        <w:ind w:left="80"/>
        <w:spacing w:after="0"/>
        <w:rPr>
          <w:sz w:val="20"/>
          <w:szCs w:val="20"/>
          <w:color w:val="auto"/>
        </w:rPr>
      </w:pPr>
      <w:r>
        <w:rPr>
          <w:rFonts w:ascii="Arial" w:cs="Arial" w:eastAsia="Arial" w:hAnsi="Arial"/>
          <w:sz w:val="22"/>
          <w:szCs w:val="22"/>
          <w:color w:val="auto"/>
        </w:rPr>
        <w:t>Parcel 2:</w:t>
      </w:r>
    </w:p>
    <w:p>
      <w:pPr>
        <w:spacing w:after="0" w:line="22" w:lineRule="exact"/>
        <w:rPr>
          <w:sz w:val="20"/>
          <w:szCs w:val="20"/>
          <w:color w:val="auto"/>
        </w:rPr>
      </w:pPr>
    </w:p>
    <w:p>
      <w:pPr>
        <w:ind w:left="80"/>
        <w:spacing w:after="0"/>
        <w:rPr>
          <w:sz w:val="20"/>
          <w:szCs w:val="20"/>
          <w:color w:val="auto"/>
        </w:rPr>
      </w:pPr>
      <w:r>
        <w:rPr>
          <w:rFonts w:ascii="Arial" w:cs="Arial" w:eastAsia="Arial" w:hAnsi="Arial"/>
          <w:sz w:val="22"/>
          <w:szCs w:val="22"/>
          <w:color w:val="auto"/>
        </w:rPr>
        <w:t>AN UNDIVIDED 2/3 INTEREST IN AND TO THE FOLLOWING DESCRIBED LAND:</w:t>
      </w:r>
    </w:p>
    <w:p>
      <w:pPr>
        <w:spacing w:after="0" w:line="4" w:lineRule="exact"/>
        <w:rPr>
          <w:sz w:val="20"/>
          <w:szCs w:val="20"/>
          <w:color w:val="auto"/>
        </w:rPr>
      </w:pPr>
    </w:p>
    <w:p>
      <w:pPr>
        <w:jc w:val="both"/>
        <w:ind w:left="80"/>
        <w:spacing w:after="0" w:line="270" w:lineRule="auto"/>
        <w:rPr>
          <w:sz w:val="20"/>
          <w:szCs w:val="20"/>
          <w:color w:val="auto"/>
        </w:rPr>
      </w:pPr>
      <w:r>
        <w:rPr>
          <w:rFonts w:ascii="Arial" w:cs="Arial" w:eastAsia="Arial" w:hAnsi="Arial"/>
          <w:sz w:val="21"/>
          <w:szCs w:val="21"/>
          <w:color w:val="auto"/>
        </w:rPr>
        <w:t>All of Blocks 38, 39, 43 and 45, EXCEPT Lots 18 and 20, of Block 39, lying South of the Southerly line of the Birmingham Drainage District Levee, all in the PLAN OF RANDOLPH, a subdivision of land in Clay County, Missouri.</w:t>
      </w:r>
    </w:p>
    <w:p>
      <w:pPr>
        <w:spacing w:after="0" w:line="168" w:lineRule="exact"/>
        <w:rPr>
          <w:sz w:val="20"/>
          <w:szCs w:val="20"/>
          <w:color w:val="auto"/>
        </w:rPr>
      </w:pPr>
    </w:p>
    <w:p>
      <w:pPr>
        <w:ind w:left="80"/>
        <w:spacing w:after="0"/>
        <w:rPr>
          <w:sz w:val="20"/>
          <w:szCs w:val="20"/>
          <w:color w:val="auto"/>
        </w:rPr>
      </w:pPr>
      <w:r>
        <w:rPr>
          <w:rFonts w:ascii="Arial" w:cs="Arial" w:eastAsia="Arial" w:hAnsi="Arial"/>
          <w:sz w:val="22"/>
          <w:szCs w:val="22"/>
          <w:color w:val="auto"/>
        </w:rPr>
        <w:t>Parcel 3:</w:t>
      </w:r>
    </w:p>
    <w:p>
      <w:pPr>
        <w:spacing w:after="0" w:line="22" w:lineRule="exact"/>
        <w:rPr>
          <w:sz w:val="20"/>
          <w:szCs w:val="20"/>
          <w:color w:val="auto"/>
        </w:rPr>
      </w:pPr>
    </w:p>
    <w:p>
      <w:pPr>
        <w:ind w:left="80" w:right="300"/>
        <w:spacing w:after="0" w:line="245" w:lineRule="auto"/>
        <w:rPr>
          <w:sz w:val="20"/>
          <w:szCs w:val="20"/>
          <w:color w:val="auto"/>
        </w:rPr>
      </w:pPr>
      <w:r>
        <w:rPr>
          <w:rFonts w:ascii="Arial" w:cs="Arial" w:eastAsia="Arial" w:hAnsi="Arial"/>
          <w:sz w:val="22"/>
          <w:szCs w:val="22"/>
          <w:color w:val="auto"/>
        </w:rPr>
        <w:t>Also; All of Block 94, lying South and West of the Southerly and Westerly line of the Birmingham Drainage District Levee in NORTH KANSAS CITY IMPROVEMENT COMPANY'S FIRST ADDITION TO RANDOLPH, a subdivision of land in Clay County, Missouri.</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B - 68</w:t>
      </w:r>
    </w:p>
    <w:p>
      <w:pPr>
        <w:sectPr>
          <w:pgSz w:w="11900" w:h="16838" w:orient="portrait"/>
          <w:cols w:equalWidth="0" w:num="1">
            <w:col w:w="11420"/>
          </w:cols>
          <w:pgMar w:left="240" w:top="591" w:right="239" w:bottom="1440" w:gutter="0" w:footer="0" w:header="0"/>
        </w:sectPr>
      </w:pPr>
    </w:p>
    <w:bookmarkStart w:id="118" w:name="page119"/>
    <w:bookmarkEnd w:id="118"/>
    <w:p>
      <w:pPr>
        <w:jc w:val="center"/>
        <w:ind w:right="-19"/>
        <w:spacing w:after="0"/>
        <w:rPr>
          <w:sz w:val="20"/>
          <w:szCs w:val="20"/>
          <w:color w:val="auto"/>
        </w:rPr>
      </w:pPr>
      <w:r>
        <w:rPr>
          <w:rFonts w:ascii="Arial" w:cs="Arial" w:eastAsia="Arial" w:hAnsi="Arial"/>
          <w:sz w:val="22"/>
          <w:szCs w:val="22"/>
          <w:b w:val="1"/>
          <w:bCs w:val="1"/>
          <w:u w:val="single" w:color="auto"/>
          <w:color w:val="auto"/>
        </w:rPr>
        <w:t>Ameristar St. Charles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PARCEL NO. 1-TRACT 1:</w:t>
      </w:r>
    </w:p>
    <w:p>
      <w:pPr>
        <w:spacing w:after="0" w:line="222"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PART OF (DUE TO LOCATION OF MISSOURI RIVER AS SURVEYED DURING AUGUST, 2000) “LOT 1 OF ST. CHARLES RIVERFRONT STATION”, A SUBDIVISION ACCORDING TO THE PLAT THEREOF RECORDED IN PLAT BOOK 33 PAGES 40-41 OF THE ST. CHARLES COUNTY RECORDS, BEING ALSO PART OF LOTS 2, 3 AND 4 IN BLOCK 1 OF EVANS SURVEY OF THE ST. CHARLES COMMONS, TOWNSHIP 46 NORTH, RANGE 5 EAST OF THE FIFTH PRINCIPAL MERIDIAN, ST. CHARLES COUNTY, MISSOURI, AND BEING PART DESCRIBED AS A TRACT OF LAND BEING PART OF LOTS 2, 3 AND 4 IN BLOCK 1 OF EVANS SURVEY OF THE COMMONS OF ST. CHARLES, TOWNSHIP 46 NORTH, RANGE 5 EAST OF THE FIFTH PRINCIPAL MERIDIAN, ST. CHARLES COUNTY MISSOURI AND BEING MORE PARTICULARLY DESCRIBED AS FOLLOWS:</w:t>
      </w:r>
    </w:p>
    <w:p>
      <w:pPr>
        <w:spacing w:after="0" w:line="27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BEGINNING AT THE INTERSECTION OF THE NORTH RIGHT-OF-WAY LINE OF MISSOURI INTERSTATE HIGHWAY 70 WITH THE EAST LINE OF THE OLD M.K.T. RAILROAD RIGHT-OF-WAY (60 FEET WIDE), SAID RIGHT-OF-WAY NOW BELONGING TO THE DEPARTMENT OF NATURAL RESOURCES AS DESCRIBED IN DEED RECORDED IN BOOK 1222 PAGE 2 OF THE ST. CHARLES COUNTY RECORDS, SAID POINT BEING ALSO 150.00 FEET PERPENDICULARLY DISTANT NORTH OF MISSOURI INTERSTATE 70 CENTERLINE STATION 10 + 31.65; THENCE NORTHWARDLY ALONG SAID EAST LINE OF THE DEPARTMENT OF NATURAL RESOURCES PROPERTY, THE FOLLOWING COURSES AND DISTANCES, NORTH 27° 24’ 14” EAST 1115.89 FEET; NORTH 27° 05’ 36” EAST 94.35 FEET; NORTH 27° 42’ 46” EAST 99.62 FEET; NORTH 28° 32’ 22” EAST 99.78 FEET; AND NORTH 29°</w:t>
      </w:r>
    </w:p>
    <w:p>
      <w:pPr>
        <w:spacing w:after="0" w:line="5"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48’ 14” EAST 63.63 FEET TO A POINT IN THE SOUTH LINE OF PROPERTY CONVEY TO THE CITY OF ST. CHARLES AS RECORDED IN ST. CHARLES COUNTY RECORDS; THENCE SOUTH 68° 29’ 58” EAST ALONG THE SOUTH LINE OF SAID CITY OF ST. CHARLES PROPERTY 670.35 FEET TO A POINT ON THE CENTERLINE OF AN EXISTING SLOUGH AS SURVEYED DECEMBER 16, 1991; THENCE NORTHWARDLY ALONG SAID CENTERLINE OF A SLOUGH AS SURVEYED THE FOLLOWING COURSES AND DISTANCES, NORTH 46° 49’ 21” EAST 63.22 FEET; NORTH 43° 17’ 48” EAST 103.70 FEET; NORTH 52° 01’ 54” EAST 47.41 FEET; NORTH 46° 15’ 21” EAST 179.08 FEET; NORTH 22° 59’ 38” EAST 58.10 FEET; NORTH 32° 24’ 24” EAST 81.38 FEET; THENCE NORTH 41° 45’ 28” EAST 146.54 FEET; NORTH 54° 10’ 18” EAST 73.53 FEET; NORTH 84° 20’ 08” EAST 54.02 FEET;</w:t>
      </w:r>
    </w:p>
    <w:p>
      <w:pPr>
        <w:spacing w:after="0" w:line="1" w:lineRule="exact"/>
        <w:rPr>
          <w:sz w:val="20"/>
          <w:szCs w:val="20"/>
          <w:color w:val="auto"/>
        </w:rPr>
      </w:pPr>
    </w:p>
    <w:p>
      <w:pPr>
        <w:ind w:right="40"/>
        <w:spacing w:after="0" w:line="239" w:lineRule="auto"/>
        <w:rPr>
          <w:sz w:val="20"/>
          <w:szCs w:val="20"/>
          <w:color w:val="auto"/>
        </w:rPr>
      </w:pPr>
      <w:r>
        <w:rPr>
          <w:rFonts w:ascii="Arial" w:cs="Arial" w:eastAsia="Arial" w:hAnsi="Arial"/>
          <w:sz w:val="20"/>
          <w:szCs w:val="20"/>
          <w:color w:val="auto"/>
        </w:rPr>
        <w:t>AND SOUTH 64° 31’ 27” EAST 43.98 FEET TO A POINT AT THE EXISTING WATERS EDGE OF THE MISSOURI RIVER AS SURVEYED ON AUGUST 15, 2000; THENCE SOUTHWARDLY ALONG SAID WATERS EDGE OF THE MISSOURI RIVER THE FOLLOWING COURSES AND DISTANCES, SOUTH 04° 40’ 56” WEST 58.96 FEET; SOUTH 20° 37’ 10” WEST 144.59 FEET; SOUTH 15° 36’ 33” WEST 170.49 FEET; SOUTH 11° 22’ 46” WEST 266.35 FEET; SOUTH 62° 45’ 45” WEST 103.99 FEET; SOUTH 53° 40’ 19” WEST 42.35 FEET; SOUTH 64° 20’ 18” WEST 57.89 FEET; SOUTH 10° 12’ 11” WEST 54.10 FEET; SOUTH 04° 28’ 33” WEST 51.91 FEET; SOUTH 08° 54’ 23” WEST 50.66 FEET; SOUTH 09° 59’ 43” WEST 52.63 FEET; SOUTH 05° 46’ 36” WEST 60.43 FEET; SOUTH 82° 02’ 04” EAST 8.33 FEET; SOUTH 07° 36’ 46” WEST 23.81 FEET; SOUTH 33° 58’ 10” WEST 41.58 FEET; SOUTH 49° 07’ 58” WEST 10.25 FEET; SOUTH 07° 26’ 05” WEST 33.98 FEET; SOUTH 50° 52’ 14” EAST 16.93 FEET, SOUTH 00° 56’ 40” EAST 70.98 FEET; SOUTH 11° 01’ 30” WEST 68.44 FEET; SOUTH 52° 33’ 05” WEST 30.14 FEET; SOUTH 07° 11’ 22” WEST 33.78 FEET; SOUTH 02° 08’ 10” EAST 5.59 FEET; SOUTH 46° 59’ 08” EAST 27.82 FEET; SOUTH 11° 09’ 56” WEST 66.05 FEET; SOUTH 18° 15’ 25” WEST 19.33 FEET; SOUTH 75° 51’ 25” EAST 118.39 FEET; SOUTH 14° 08’ 35” WEST 396.00 FEET; NORTH 75° 51’ 25” WEST 3.83 FEET; AND SOUTH 14° 08’ 35” WEST 424.61 FEET TO A POINT IN THE AFORESAID NORTH RIGHT-OF-WAY LINE OF MISSOURI INTERSTATE HIGHWAY 70; THENCE NORTH 65° 53’ 14” WEST ALONG SAID NORTH RIGHT-OF-WAY LINE, 1525.41 FEET TO THE POINT OF BEGINNING.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 B - 69</w:t>
      </w:r>
    </w:p>
    <w:p>
      <w:pPr>
        <w:sectPr>
          <w:pgSz w:w="11900" w:h="16838" w:orient="portrait"/>
          <w:cols w:equalWidth="0" w:num="1">
            <w:col w:w="11420"/>
          </w:cols>
          <w:pgMar w:left="240" w:top="801" w:right="239" w:bottom="1440" w:gutter="0" w:footer="0" w:header="0"/>
        </w:sectPr>
      </w:pPr>
    </w:p>
    <w:bookmarkStart w:id="119" w:name="page120"/>
    <w:bookmarkEnd w:id="119"/>
    <w:p>
      <w:pPr>
        <w:spacing w:after="0"/>
        <w:rPr>
          <w:sz w:val="20"/>
          <w:szCs w:val="20"/>
          <w:color w:val="auto"/>
        </w:rPr>
      </w:pPr>
      <w:r>
        <w:rPr>
          <w:rFonts w:ascii="Arial" w:cs="Arial" w:eastAsia="Arial" w:hAnsi="Arial"/>
          <w:sz w:val="20"/>
          <w:szCs w:val="20"/>
          <w:b w:val="1"/>
          <w:bCs w:val="1"/>
          <w:color w:val="auto"/>
        </w:rPr>
        <w:t>PARCEL NO. 1-TRACT 2:</w:t>
      </w:r>
    </w:p>
    <w:p>
      <w:pPr>
        <w:spacing w:after="0" w:line="222"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LOT 2 OF “ST CHARLES RIVERFRONT STATION”, A SUBDIVISION ACCORDING TO THE PLAT THEREOF RECORDED IN PLAT BOOK 33 PAGES 40-41 OF THE ST. CHARLES COUNTY RECORDS, BEING ALSO PART OF LOTS 3 AND 4 IN BLOCK 1 OF EVANS SURVEY OF THE ST. CHARLES COMMONS, TOWNSHIP 46 NORTH, RANGE 5 EAST OF THE FIFTH PRINCIPAL MERIDIAN, ST. CHARLES COUNTY, MISSOURI.</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PARCEL NO. 1A:</w:t>
      </w:r>
    </w:p>
    <w:p>
      <w:pPr>
        <w:spacing w:after="0" w:line="222"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RIGHTS OF ACCESS UNDER ROAD CROSSING LICENSE NO. STC 9401, NOTICE OF WHICH IS SET FORTH IN MEMORANDUM RECORDED IN BOOK 1735 PAGE 152, OVER THE FOLLOWING DESCRIBED PROPERTY:</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PARCEL NO. A:</w:t>
      </w:r>
    </w:p>
    <w:p>
      <w:pPr>
        <w:spacing w:after="0" w:line="222" w:lineRule="exact"/>
        <w:rPr>
          <w:sz w:val="20"/>
          <w:szCs w:val="20"/>
          <w:color w:val="auto"/>
        </w:rPr>
      </w:pPr>
    </w:p>
    <w:p>
      <w:pPr>
        <w:ind w:right="160"/>
        <w:spacing w:after="0" w:line="250" w:lineRule="auto"/>
        <w:rPr>
          <w:sz w:val="20"/>
          <w:szCs w:val="20"/>
          <w:color w:val="auto"/>
        </w:rPr>
      </w:pPr>
      <w:r>
        <w:rPr>
          <w:rFonts w:ascii="Arial" w:cs="Arial" w:eastAsia="Arial" w:hAnsi="Arial"/>
          <w:sz w:val="20"/>
          <w:szCs w:val="20"/>
          <w:color w:val="auto"/>
        </w:rPr>
        <w:t>A TEMPORARY ROAD CROSSING OVER: A TRACT OF LAND BEING PART OF LOT 4 IN BLOCK 1 OF EVANS SURVEY OF THE ST. CHARLES COMMONS, TOWNSHIP 47 NORTH, RANGE 5 EAST, OF THE FIFTH PRINCIPAL MERIDIAN, CITY OF ST. CHARLES, MISSOURI, SAID TRACT BEING MORE PARTICULARLY DESCRIBED AS FOLLOWS:</w:t>
      </w:r>
    </w:p>
    <w:p>
      <w:pPr>
        <w:spacing w:after="0" w:line="186" w:lineRule="exact"/>
        <w:rPr>
          <w:sz w:val="20"/>
          <w:szCs w:val="20"/>
          <w:color w:val="auto"/>
        </w:rPr>
      </w:pPr>
    </w:p>
    <w:p>
      <w:pPr>
        <w:spacing w:after="0" w:line="254" w:lineRule="auto"/>
        <w:rPr>
          <w:sz w:val="20"/>
          <w:szCs w:val="20"/>
          <w:color w:val="auto"/>
        </w:rPr>
      </w:pPr>
      <w:r>
        <w:rPr>
          <w:rFonts w:ascii="Arial" w:cs="Arial" w:eastAsia="Arial" w:hAnsi="Arial"/>
          <w:sz w:val="19"/>
          <w:szCs w:val="19"/>
          <w:color w:val="auto"/>
        </w:rPr>
        <w:t>COMMENCING AT THE SOUTHWEST CORNER OF A TRACT OF LAND CONVEYED TO ST. CHARLES RIVERFRONT STATION, INC. BY DEED RECORDED IN BOOK 1523 PAGE 38 OF THE ST. CHARLES COUNTY RECORDS, SAID POINT BEING ON THE EASTERN LINE OF A TRACT CONVEYED TO THE DEPARTMENT OF NATURAL RESOURCES BY DEED RECORDED IN BOOK 1222 PAGE 2 OF THE ST. CHARLES COUNTY RECORDS, AND THE NORTHERN RIGHT-OF-WAY OF MISSOURI INTERSTATE HIGHWAY 70; THENCE ALONG THE EASTERN LINE OF SAID DEPARTMENT OF NATURAL RESOURCES TRACT BEING THE WESTERN LINE OF SAID ST. CHARLES RIVERFRONT STATION TRACT, NORTH 27 DEGREES 24 MINUTES 14 SECONDS EAST, 149.04 FEET TO THE ACTUAL POINT OF BEGINNING OF THE DESCRIPTION HEREIN; THENCE LEAVING SAID LINE NORTH 62 DEGREES 35 MINUTES 46 SECONDS WEST, 60.00 FEET TO A POINT ON THE WESTERN LINE OF SAID DEPARTMENT OF NATURAL RESOURCES TRACT, BEING THE EASTERN LINE OF A TRACT OF LAND CONVEYED TO ST. CHARLES RIVERFRONT STATION, INC. BY DEED RECORDED IN BOOK 1623 PAGE 124 OF THE ST. CHARLES COUNTY RECORDS; THENCE ALONG SAID LINE NORTH 27 DEGREES 24 MINUTES 14 SECONDS EAST 60.00 FEET; THENCE LEAVING SAID LINE SOUTH 62 DEGREES 35 MINUTES 46 SECONDS EAST, 60.00 FEET TO A POINT ON THE AFORESAID EASTERN LINE OF THE DEPARTMENT OF NATURAL RESOURCES TRACT; THENCE ALONG SAID LINE SOUTH 27 DEGREES 24 MINUTES 14 SECONDS WEST, 60.00 FEET TO THE ACTUAL POINT OF BEGINNING, AS PER CALCULATIONS BY BAX ENGINEERING CO., INC. DURING THE MONTH OF MAY, 1994.</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PARCEL NO. B:</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A TEMPORARY ENTRANCE ROAD CROSSING OVER:</w:t>
      </w:r>
    </w:p>
    <w:p>
      <w:pPr>
        <w:spacing w:after="0" w:line="20" w:lineRule="exact"/>
        <w:rPr>
          <w:sz w:val="20"/>
          <w:szCs w:val="20"/>
          <w:color w:val="auto"/>
        </w:rPr>
      </w:pPr>
    </w:p>
    <w:p>
      <w:pPr>
        <w:ind w:right="60"/>
        <w:spacing w:after="0" w:line="256" w:lineRule="auto"/>
        <w:rPr>
          <w:sz w:val="20"/>
          <w:szCs w:val="20"/>
          <w:color w:val="auto"/>
        </w:rPr>
      </w:pPr>
      <w:r>
        <w:rPr>
          <w:rFonts w:ascii="Arial" w:cs="Arial" w:eastAsia="Arial" w:hAnsi="Arial"/>
          <w:sz w:val="19"/>
          <w:szCs w:val="19"/>
          <w:color w:val="auto"/>
        </w:rPr>
        <w:t>A TRACT OF LAND BEING PART OF LOT 3 IN BLOCK 1 OF EVANS SURVEY OF THE ST. CHARLES COMMONS, TOWNSHIP 46 NORTH, RANGE 5 EAST, OF THE FIFTH PRINCIPAL MERIDIAN, CITY OF ST. CHARLES, MISSOURI, SAID TRACT BEING MORE PARTICULARLY DESCRIBED AS FOLLOWS: COMMENCING AT THE SOUTHWEST CORNER OF A TRACT OF LAND CONVEYED TO ST. CHARLES RIVERFRONT STATION, INC., BY DEED RECORDED IN BOOK 1523 PAGE 38 OF THE ST. CHARLES COUNTY RECORDS, SAID POINT BEING ON THE EASTERN LINE OF A TRACT CONVEYED TO THE DEPARTMENT OF NATURAL RESOURCES BY DEED RECORDED IN BOOK 1222 PAGE 2 OF THE ST. CHARLES COUNTY RECORDS, AND THE NORTHERN RIGHT-OF-WAY LINE OF MISSOURI INTERSTATE HIGHWAY 70; THENCE ALONG THE EASTERN LINE OF SAID DEPARTMENT OF NATURAL RESOURCES TRACT BEING THE WESTERN LINE OF SAID ST. CHARLES RIVERFRONT</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 B - 70</w:t>
      </w:r>
    </w:p>
    <w:p>
      <w:pPr>
        <w:sectPr>
          <w:pgSz w:w="11900" w:h="16838" w:orient="portrait"/>
          <w:cols w:equalWidth="0" w:num="1">
            <w:col w:w="11380"/>
          </w:cols>
          <w:pgMar w:left="240" w:top="1008" w:right="279" w:bottom="1440" w:gutter="0" w:footer="0" w:header="0"/>
        </w:sectPr>
      </w:pPr>
    </w:p>
    <w:bookmarkStart w:id="120" w:name="page121"/>
    <w:bookmarkEnd w:id="120"/>
    <w:p>
      <w:pPr>
        <w:ind w:right="20"/>
        <w:spacing w:after="0" w:line="256" w:lineRule="auto"/>
        <w:rPr>
          <w:sz w:val="20"/>
          <w:szCs w:val="20"/>
          <w:color w:val="auto"/>
        </w:rPr>
      </w:pPr>
      <w:r>
        <w:rPr>
          <w:rFonts w:ascii="Arial" w:cs="Arial" w:eastAsia="Arial" w:hAnsi="Arial"/>
          <w:sz w:val="19"/>
          <w:szCs w:val="19"/>
          <w:color w:val="auto"/>
        </w:rPr>
        <w:t>STATION TRACT, NORTH 27 DEGREES 24 MINUTES 14 SECONDS EAST 287.94 FEET TO THE ACTUAL POINT OF BEGINNING OF THE DESCRIPTION HEREIN; THENCE LEAVING SAID LINE NORTH 62 DEGREES 35 MINUTES 46 SECONDS WEST, 60.00 FEET TO A POINT ON THE WESTERN LINE OF SAID DEPARTMENT OF NATURAL RESOURCES TRACT, BEING THE EASTERN LINE OF A TRACT CONVEYED TO ST. CHARLES RIVERFRONT STATION, INC., BY DEED RECORDED IN BOOK 1623 PAGE 124 OF THE ST. CHARLES COUNTY RECORDS; THENCE LEAVING SAID LINE NORTH 27 DEGREES 24 MINUTES 14 SECONDS EAST, 245.95 FEET; THENCE LEAVING SAID LINE SOUTH 62 DEGREES 35 MINUTES 46 SECONDS EAST, 60.00 FEET TO THE AFORESAID EAST LINE OF DEPARTMENT OF NATURAL RESOURCES TRACT; THENCE ALONG SAID LINE SOUTH 27 DEGREES 24 MINUTES 14 SECONDS WEST, 245.95 FEET TO THE ACTUAL POINT OF BEGINNING, AS PER CALCULATIONS BY BAX ENGINEERING CO., INC., DURING THE MONTH OF MAY, 1994.</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PARCEL NO. C:</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A PERMANENT ENTRANCE ROAD CROSSING OVER:</w:t>
      </w:r>
    </w:p>
    <w:p>
      <w:pPr>
        <w:spacing w:after="0" w:line="16" w:lineRule="exact"/>
        <w:rPr>
          <w:sz w:val="20"/>
          <w:szCs w:val="20"/>
          <w:color w:val="auto"/>
        </w:rPr>
      </w:pPr>
    </w:p>
    <w:p>
      <w:pPr>
        <w:spacing w:after="0" w:line="253" w:lineRule="auto"/>
        <w:rPr>
          <w:sz w:val="20"/>
          <w:szCs w:val="20"/>
          <w:color w:val="auto"/>
        </w:rPr>
      </w:pPr>
      <w:r>
        <w:rPr>
          <w:rFonts w:ascii="Arial" w:cs="Arial" w:eastAsia="Arial" w:hAnsi="Arial"/>
          <w:sz w:val="19"/>
          <w:szCs w:val="19"/>
          <w:color w:val="auto"/>
        </w:rPr>
        <w:t>A TRACT OF LAND BEING PART OF LOT 3 IN BLOCK 1 OF EVANS SURVEY OF THE ST. CHARLES COMMONS, TOWNSHIP 46 NORTH, RANGE 5 EAST, OF THE FIFTH PRINCIPAL MERIDIAN, CITY OF ST. CHARLES, MISSOURI, SAID TRACT BEING MORE PARTICULARLY DESCRIBED AS FOLLOWS: COMMENCING AT THE SOUTHWEST CORNER OF A TRACT OF LAND CONVEYED TO ST. CHARLES RIVERFRONT STATION, INC. BY DEED RECORDED IN BOOK 1523 PAGE 38 OF THE ST. CHARLES COUNTY RECORDS, SAID POINT BEING ON THE EASTERN LINE OF A TRACT CONVEYED TO THE DEPARTMENT OF NATURAL RESOURCES BY DEED RECORDED IN BOOK 1222 PAGE 2 OF THE ST. CHARLES COUNTY RECORDS, AND THE NORTHERN RIGHT-OF-WAY LINE OF MISSOURI INTERSTATE HIGHWAY 70; THENCE ALONG THE EASTERN LINE OF SAID DEPARTMENT OF NATURAL RESOURCES TRACT BEING THE WESTERN LINE OF SAID ST. CHARLES RIVERFRONT STATION TRACT NORTH 27 DEGREES 24 MINUTES 14 SECONDS EAST, 287.94 FEET TO THE ACTUAL POINT OF BEGINNING OF THE DESCRIPTION HEREIN; THENCE LEAVING SAID LINE NORTH 62 DEGREES 35 MINUTES 46 SECONDS WEST, 60.00 FEET TO A POINT ON THE WESTERN LINE OF SAID DEPARTMENT OF NATURAL RESOURCES TRACT, BEING THE EASTERN LINE OF A TRACT CONVEYED TO ST. CHARLES RIVERFRONT STATION, INC., BY DEED RECORDED IN BOOK 1623 PAGE 124 OF THE ST. CHARLES COUNTY RECORDS; THENCE LEAVING SAID LINE NORTH 27 DEGREES 24 MINUTES 14 SECONDS EAST, 245.96 FEET; THENCE LEAVING SAID LINE SOUTH 62 DEGREES 35 MINUTES 46 SECONDS EAST, 60.00 FEET TO THE AFORESAID EAST LINE OF DEPARTMENT OF NATURAL RESOURCES TRACT; THENCE ALONG SAID LINE SOUTH 27 DEGREES 24 MINUTES 14 SECONDS WEST, 245.95 FEET TO THE ACTUAL POINT OF BEGINNING, AS PER CALCULATIONS BY BAX ENGINEERING CO., INC. DURING THE MONTH OF MAY, 1994.</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PARCEL NO. 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A TEMPORARY CONSTRUCTION LICENSE A OVER:</w:t>
      </w:r>
    </w:p>
    <w:p>
      <w:pPr>
        <w:spacing w:after="0" w:line="16"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A TRACT OF LAND BEING PART OF LOT 3 IN BLOCK 1 OF EVANS SURVEY OF THE ST. CHARLES COMMONS, TOWNSHIP 46 NORTH, RANGE 5 EAST, OF THE FIFTH PRINCIPAL MERIDIAN, CITY OF ST. CHARLES, MISSOURI, SAID TRACT BEING MORE PARTICULARLY DESCRIBED AS FOLLOWS: COMMENCING AT THE SOUTHWEST CORNER OF A TRACT OF LAND CONVEYED TO ST. CHARLES RIVERFRONT STATION, INC., BY DEED RECORDED IN BOOK 1523 PAGE 38 OF THE ST. CHARLES COUNTY RECORDS, SAID POINT BEING ON THE EASTERN LINE OF A TRACT CONVEYED TO THE DEPARTMENT OF NATURAL RESOURCES BY DEED RECORDED IN BOOK 1222 PAGE 2 OF THE ST. CHARLES COUNTY RECORDS, AND THE NORTHERN RIGHT-OF-WAY LINE OF MISSOURI INTERSTATE HIGHWAY 70; THENCE ALONG THE EASTERN LINE OF SAID DEPARTMENT OF NATURAL RESOURCES TRACT BEING THE WESTERN LINE OF SAID ST. CHARLES RIVERFRONT STATION TRACT NORTH 27 DEGREES 24 MINUTES 14 SECONDS EAST, 209.04 FEET TO THE ACTUAL POINT OF BEGINNING OF THE DESCRIPTION HEREIN; THENCE LEAVING SAID LINE NORTH 62 DEGREES 35 MINUTES 46 SECONDS WEST, 60.00 FEET TO THE WESTERN LINE OF SAID DEPARTMENT OF NATURAL RESOURCES TRACT, BEING THE EASTERN LINE OF A TRACT</w:t>
      </w: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 B - 71</w:t>
      </w:r>
    </w:p>
    <w:p>
      <w:pPr>
        <w:sectPr>
          <w:pgSz w:w="11900" w:h="16838" w:orient="portrait"/>
          <w:cols w:equalWidth="0" w:num="1">
            <w:col w:w="11340"/>
          </w:cols>
          <w:pgMar w:left="240" w:top="595" w:right="319" w:bottom="1440" w:gutter="0" w:footer="0" w:header="0"/>
        </w:sectPr>
      </w:pPr>
    </w:p>
    <w:bookmarkStart w:id="121" w:name="page122"/>
    <w:bookmarkEnd w:id="121"/>
    <w:p>
      <w:pPr>
        <w:ind w:right="60"/>
        <w:spacing w:after="0" w:line="243" w:lineRule="auto"/>
        <w:rPr>
          <w:sz w:val="20"/>
          <w:szCs w:val="20"/>
          <w:color w:val="auto"/>
        </w:rPr>
      </w:pPr>
      <w:r>
        <w:rPr>
          <w:rFonts w:ascii="Arial" w:cs="Arial" w:eastAsia="Arial" w:hAnsi="Arial"/>
          <w:sz w:val="20"/>
          <w:szCs w:val="20"/>
          <w:color w:val="auto"/>
        </w:rPr>
        <w:t>CONVEYED TO ST. CHARLES RIVERFRONT STATION, INC., BY DEED RECORDED IN BOOK 1623 PAGE 124 OF THE ST. CHARLES COUNTY RECORDS; THENCE ALONG SAID LINE NORTH 27 DEGREES 24 MINUTES 14 SECONDS EAST, 78.90 FEET; THENCE LEAVING SAID LINE SOUTH 62 DEGREES 35 MINUTES 46 SECONDS EAST, 60.00 FEET TO A POINT ON THE AFORESAID EAST LINE OF DEPARTMENT OF NATURAL RESOURCES TRACT; THENCE ALONG SAID LINE SOUTH 27 DEGREES 24 MINUTES 14 SECONDS WEST, 78.90 FEET TO THE ACTUAL POINT OF BEGINNING, AS PER CALCULATIONS BY BAX ENGINEERING CO., INC. DURING THE MONTH OF MAY 1994.</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PARCEL NO. 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A TEMPORARY CONSTRUCTION LICENSE B OVER:</w:t>
      </w:r>
    </w:p>
    <w:p>
      <w:pPr>
        <w:spacing w:after="0" w:line="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 TRACT OF LAND BEING PART OF LOTS 3 AND 4 IN BLOCK 1 OF EVANS SURVEY OF THE ST. CHARLES COMMONS, TOWNSHIP 46 NORTH, RANGE 5 EAST, OF THE FIFTH PRINCIPAL MERIDIAN, CITY OF ST. CHARLES, MISSOURI, SAID TRACT BEING MORE PARTICULARLY DESCRIBED AS FOLLOWS: COMMENCING AT THE SOUTHWEST CORNER OF A TRACT OF LAND CONVEYED TO ST. CHARLES RIVERFRONT STATION, INC. BY DEED RECORDED IN BOOK 1523 PAGE 38 OF THE ST. CHARLES COUNTY RECORDS, SAID POINT BEING ON THE EASTERN LINE OF A TRACT CONVEYED TO THE DEPARTMENT OF NATURAL RESOURCES BY DEED RECORDED IN BOOK 1222 PAGE 2 OF THE ST. CHARLES COUNTY RECORDS, AND THE NORTHERN RIGHT-OF-WAY LINE OF MISSOURI INTERSTATE HIGHWAY 70; THENCE ALONG THE EASTERN LINE OF SAID DEPARTMENT OF NATURAL RESOURCES TRACT BEING THE WESTERN LINE OF SAID ST. CHARLES RIVERFRONT STATION TRACT NORTH 27 DEGREES 24 MINUTES 14 SECONDS EAST, 533.89 FEET TO THE ACTUAL POINT OF BEGINNING OF THE DESCRIPTION HEREIN; THENCE LEAVING SAID LINE NORTH 62 DEGREES 35 MINUTES 46 SECONDS WEST, 60.00 FEET TO A POINT ON THE WESTERN LINE OF SAID DEPARTMENT OF NATURAL RESOURCES TRACT, BEING THE EASTERN LINE OF A TRACT OF LAND CONVEYED TO WALTER C. F. AND MARLENE A. HISCHKE, JR. BY DEEDS RECORDED IN BOOK 1390 PAGE 1651 AND 1655 OF THE ST. CHARLES COUNTY RECORDS; THENCE ALONG SAID LINE NORTH 27 DEGREES 24 MINUTES 14 SECONDS EAST, 116.06 FEET; THENCE LEAVING SAID LINE SOUTH 62 DEGREES 35 MINUTES 46 SECONDS EAST, 60.00 FEET TO A POINT ON THE EASTERN LINE OF SAID DEPARTMENT OF NATURAL RESOURCES TRACT; THENCE ALONG SAID LINE SOUTH 27 DEGREES 24 MINUTES 14 SECONDS WEST, 116.06 FEET TO THE ACTUAL POINT OF BEGINNING, AS PER CALCULATIONS BY BAX ENGINEERING CO., INC., DURING THE MONTH OF MAY, 1994.</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PARCEL NO. 2:</w:t>
      </w:r>
    </w:p>
    <w:p>
      <w:pPr>
        <w:spacing w:after="0" w:line="222" w:lineRule="exact"/>
        <w:rPr>
          <w:sz w:val="20"/>
          <w:szCs w:val="20"/>
          <w:color w:val="auto"/>
        </w:rPr>
      </w:pPr>
    </w:p>
    <w:p>
      <w:pPr>
        <w:jc w:val="both"/>
        <w:ind w:right="760"/>
        <w:spacing w:after="0" w:line="250" w:lineRule="auto"/>
        <w:rPr>
          <w:sz w:val="20"/>
          <w:szCs w:val="20"/>
          <w:color w:val="auto"/>
        </w:rPr>
      </w:pPr>
      <w:r>
        <w:rPr>
          <w:rFonts w:ascii="Arial" w:cs="Arial" w:eastAsia="Arial" w:hAnsi="Arial"/>
          <w:sz w:val="20"/>
          <w:szCs w:val="20"/>
          <w:color w:val="auto"/>
        </w:rPr>
        <w:t>A TRACT OF LAND BEING PART OF U.S. SURVEY 165, AND PART OF BLOCK 11 OF THE COMMONS OF ST. CHARLES, TOWNSHIP 46 NORTH, RANGE 4 AND 5 EAST, ST. CHARLES COUNTY, MISSOURI, AND BEING MORE PARTICULARLY DESCRIBED AS FOLLOWS:</w:t>
      </w:r>
    </w:p>
    <w:p>
      <w:pPr>
        <w:spacing w:after="0" w:line="281" w:lineRule="exact"/>
        <w:rPr>
          <w:sz w:val="20"/>
          <w:szCs w:val="20"/>
          <w:color w:val="auto"/>
        </w:rPr>
      </w:pPr>
    </w:p>
    <w:p>
      <w:pPr>
        <w:ind w:right="20"/>
        <w:spacing w:after="0" w:line="255" w:lineRule="auto"/>
        <w:rPr>
          <w:sz w:val="20"/>
          <w:szCs w:val="20"/>
          <w:color w:val="auto"/>
        </w:rPr>
      </w:pPr>
      <w:r>
        <w:rPr>
          <w:rFonts w:ascii="Arial" w:cs="Arial" w:eastAsia="Arial" w:hAnsi="Arial"/>
          <w:sz w:val="19"/>
          <w:szCs w:val="19"/>
          <w:color w:val="auto"/>
        </w:rPr>
        <w:t>COMMENCING AT AN OLD STONE AT THE SOUTHWEST CORNER OF LOT 7 OF BLOCK 11, OF THE COMMONS OF ST. CHARLES; THENCE NORTH 42° 12’ 01” WEST, 37.20 FEET TO A POINT ON THE NORTHERN LINE OF PROPERTY NOW OR FORMERLY OF RODNEY AS RECORDED IN BOOK 1019 PAGE 1401 OF THE ST. CHARLES COUNTY RECORDER’S OFFICE; THENCE CONTINUING NORTH 42° 12’ 01” WEST, 50.96 FEET ALONG THE NORTHERN LINE OF SAID RODNEY TRACT TO A POINT, SAID POINT BEING ON THE EASTERN LINE OF SOUTH RIVER ROAD AS TRAVELED, THENCE ALONG SAID EASTERN LINE AS TRAVELED, THE FOLLOWING COURSES: NORTH 47° 59’ 46” EAST, 32.96 FEET TO A POINT; THENCE ALONG A CURVE TO THE LEFT HAVING A RADIUS OF 1415.00, AND AN ARC LENGTH OF 178.34 FEET, A CHORD OF WHICH BEARS NORTH 45° 49’ 06” EAST, A CHORD DISTANCE OF 178.22 FEET TO A POINT; THENCE NORTH 42° 12’ 28” EAST 206.66 FEET TO A POINT; THENCE NORTH 45° 41’ 04” EAST, 44.61 FEET TO A POINT; THENCE ALONG A CURVE TO THE RIGHT, HAVING A RADIUS OF 164.79 FEET, AND AN ARC LENGTH OF 201.88 FEET, A CHORD OF WHICH BEARS NORTH 80° 46’ 49” EAST, A CHORD DISTANCE OF 189.49 FEET TO A POINT; THENCE ALONG A CURVE TO THE LEFT HAVING A RADIUS OF 85.00 FEET, AND AN ARC LENGTH OF 101.30 FEET, A CHORD OF WHICH</w:t>
      </w: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 B - 72</w:t>
      </w:r>
    </w:p>
    <w:p>
      <w:pPr>
        <w:sectPr>
          <w:pgSz w:w="11900" w:h="16838" w:orient="portrait"/>
          <w:cols w:equalWidth="0" w:num="1">
            <w:col w:w="11360"/>
          </w:cols>
          <w:pgMar w:left="240" w:top="582" w:right="299" w:bottom="1440" w:gutter="0" w:footer="0" w:header="0"/>
        </w:sectPr>
      </w:pPr>
    </w:p>
    <w:bookmarkStart w:id="122" w:name="page123"/>
    <w:bookmarkEnd w:id="122"/>
    <w:p>
      <w:pPr>
        <w:spacing w:after="0" w:line="254" w:lineRule="auto"/>
        <w:rPr>
          <w:sz w:val="20"/>
          <w:szCs w:val="20"/>
          <w:color w:val="auto"/>
        </w:rPr>
      </w:pPr>
      <w:r>
        <w:rPr>
          <w:rFonts w:ascii="Arial" w:cs="Arial" w:eastAsia="Arial" w:hAnsi="Arial"/>
          <w:sz w:val="19"/>
          <w:szCs w:val="19"/>
          <w:color w:val="auto"/>
        </w:rPr>
        <w:t>BEARS NORTH 81° 44’ 03” EAST, A CHORD DISTANCE OF 95.41 FEET TO A POINT; THENCE NORTH 47° 35’ 32” EAST, 45.99 FEET TO A POINT; THENCE NORTH 41° 38’ 02” EAST, 614.65 FEET TO A POINT; THENCE NORTH 41° 45’ 47” EAST, 186.44 FEET TO A POINT; THENCE LEAVING SAID EASTERN LINE, SOUTH 44° 20’ 20” EAST, 329.81 FEET TO A POINT; THENCE SOUTH 81° 31’ 34” EAST, 85.21 FEET TO A POINT; THENCE NORTH 60° 25’ 38” EAST, 490.93 FEET TO A POINT; THENCE NORTH 07° 19’ 18” EAST, 75.77 FEET TO A POINT; THENCE NORTH 51° 58’ 30” EAST, 87.81 FEET TO A POINT; THENCE NORTH 85° 31’ 25” EAST, 134.13 FEET TO A POINT; THENCE SOUTH 85° 39’ 39” EAST, 152.25 FEET TO A POINT; THENCE NORTH 03° 47’ 57” EAST, 142.02 FEET TO A POINT; THENCE SOUTH 69° 04’ 20” EAST, 62.03 FEET TO A POINT; THENCE SOUTH 30° 09’ 16” EAST, 895.45 FEET TO A POINT; THENCE SOUTH 44° 40’ 57” EAST, 118.00 FEET TO THE POINT OF BEGINNING OF THE HEREIN DESCRIBED TRACT OF LAND; THENCE CONTINUING SOUTH 44° 40’ 57” EAST 264.62 FEET TO A POINT ON THE MEAN LOW WATER LEVEL OF THE MISSOURI RIVER; THENCE SOUTHWESTWARDLY ALONG SAID MEAN LOW. OF SAID MEAN LOW WATER LEVEL WITH THE NORTHERN LINE OF PROPERTY NOW OR FORMERLY OF LOVELACE AS RECORDED IN BOOK 831, PAGE 1752 OF SAID RECORDER’S OFFICE; THENCE LEAVING SAID WATER LEVEL ALONG SAID NORTHERN LINE, NORTH 34° 41’ 05” WEST, 44.05 FEET TO A POINT; THENCE LEAVING SAID NORTHERN LINE, NORTH 55° 05’ 32” EAST, 1454.20 FEET TO A POINT; THENCE NORTH 61° 12’ 33” EAST, 1497.67 FEET TO A POINT; THENCE NORTH 74° 20’ 47” EAST, 1028.09 FEET TO A POINT; THENCE NORTH 48° 31’ 11” EAST, 55.90 FEET TO THE POINT OF BEGINNING PER CALCULATIONS BY PICKETT, RAY &amp; SILVER, INC., DURING THE MONTH OF MAY, 1993.</w:t>
      </w: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PARCEL NO. 2A:</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EASEMENTS AS RESERVED IN DEED RECORDED IN BOOK 2052 PAGE 936.</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PARCEL NO. 3:</w:t>
      </w:r>
    </w:p>
    <w:p>
      <w:pPr>
        <w:spacing w:after="0" w:line="222" w:lineRule="exact"/>
        <w:rPr>
          <w:sz w:val="20"/>
          <w:szCs w:val="20"/>
          <w:color w:val="auto"/>
        </w:rPr>
      </w:pPr>
    </w:p>
    <w:p>
      <w:pPr>
        <w:jc w:val="both"/>
        <w:ind w:right="800"/>
        <w:spacing w:after="0" w:line="250" w:lineRule="auto"/>
        <w:rPr>
          <w:sz w:val="20"/>
          <w:szCs w:val="20"/>
          <w:color w:val="auto"/>
        </w:rPr>
      </w:pPr>
      <w:r>
        <w:rPr>
          <w:rFonts w:ascii="Arial" w:cs="Arial" w:eastAsia="Arial" w:hAnsi="Arial"/>
          <w:sz w:val="20"/>
          <w:szCs w:val="20"/>
          <w:color w:val="auto"/>
        </w:rPr>
        <w:t>A TRACT OF LAND BEING PART OF U. S. SURVEY 165, AND PART OF BLOCK 11 OF THE COMMONS OF ST. CHARLES, TOWNSHIP 46 NORTH, RANGE 4 AND 5 EAST, ST. CHARLES COUNTY, MISSOURI, AND BEING MORE PARTICULARLY DESCRIBED AS FOLLOWS:</w:t>
      </w:r>
    </w:p>
    <w:p>
      <w:pPr>
        <w:spacing w:after="0" w:line="186" w:lineRule="exact"/>
        <w:rPr>
          <w:sz w:val="20"/>
          <w:szCs w:val="20"/>
          <w:color w:val="auto"/>
        </w:rPr>
      </w:pPr>
    </w:p>
    <w:p>
      <w:pPr>
        <w:ind w:right="160"/>
        <w:spacing w:after="0" w:line="270" w:lineRule="auto"/>
        <w:rPr>
          <w:sz w:val="20"/>
          <w:szCs w:val="20"/>
          <w:color w:val="auto"/>
        </w:rPr>
      </w:pPr>
      <w:r>
        <w:rPr>
          <w:rFonts w:ascii="Arial" w:cs="Arial" w:eastAsia="Arial" w:hAnsi="Arial"/>
          <w:sz w:val="18"/>
          <w:szCs w:val="18"/>
          <w:color w:val="auto"/>
        </w:rPr>
        <w:t>COMMENCING AT AN OLD STONE AT THE SOUTHWEST CORNER OF LOT 7 OF BLOCK 11, OF THE COMMONS OF ST. CHARLES; THENCE NORTH 42° 12’ 01” WEST, 37.20 FEET TO THE POINT OF BEGINNING OF THE TRACT OF LAND HEREIN DESCRIBED, SAID POINT BEING ON THE NORTHERN LINE OF PROPERTY NOW OR FORMERLY OF RODNEY AS RECORDED IN BOOK 1019 PAGE 1401 OF THE ST. CHARLES COUNTY RECORDER’S OFFICE; THENCE CONTINUING NORTH 42° 12’ 01”</w:t>
      </w:r>
    </w:p>
    <w:p>
      <w:pPr>
        <w:spacing w:after="0" w:line="3" w:lineRule="exact"/>
        <w:rPr>
          <w:sz w:val="20"/>
          <w:szCs w:val="20"/>
          <w:color w:val="auto"/>
        </w:rPr>
      </w:pPr>
    </w:p>
    <w:p>
      <w:pPr>
        <w:ind w:right="20"/>
        <w:spacing w:after="0" w:line="253" w:lineRule="auto"/>
        <w:rPr>
          <w:sz w:val="20"/>
          <w:szCs w:val="20"/>
          <w:color w:val="auto"/>
        </w:rPr>
      </w:pPr>
      <w:r>
        <w:rPr>
          <w:rFonts w:ascii="Arial" w:cs="Arial" w:eastAsia="Arial" w:hAnsi="Arial"/>
          <w:sz w:val="19"/>
          <w:szCs w:val="19"/>
          <w:color w:val="auto"/>
        </w:rPr>
        <w:t>WEST, 50.96 FEET ALONG THE NORTHERN LINE OF SAID RODNEY TRACT TO A POINT, SAID POINT BEING ON THE EASTERN LINE OF SOUTH RIVER ROAD AS TRAVELED; THENCE ALONG SAID EASTERN LINE AS TRAVELED, THE FOLLOWING COURSES: NORTH 47° 59’ 46” EAST, 32.96 FEET TO A POINT; THENCE ALONG A CURVE TO THE LEFT HAVING A RADIUS OF 1415.00, AND AN ARC LENGTH OF 178.34 FEET, A CHORD OF WHICH BEARS NORTH 45° 49’ 06” EAST, A CHORD DISTANCE OF 178.22 FEET TO A POINT; THENCE NORTH 42° 12’ 28” EAST, 206.66 FEET TO A POINT; THENCE NORTH 45° 41’ 04” EAST, 44.61 FEET TO A POINT; THENCE ALONG A CURVE TO THE RIGHT HAVING A RADIUS OF 164.79 FEET, AND AN ARC LENGTH OF 201.88 FEET, A CHORD OF WHICH BEARS NORTH 80° 46’ 49” EAST, A CHORD DISTANCE OF 189.49 FEET TO A POINT; THENCE ALONG A CURVE TO THE LEFT HAVING A RADIUS OF 85.00 FEET, AND AN ARC LENGTH OF 101.30 FEET, A CHORD OF WHICH BEARS NORTH 81° 44’ 03” EAST, A CHORD DISTANCE OF 95.41 FEET TO A POINT; THENCE NORTH 47° 35’ 32” EAST, 45.99 FEET TO A POINT; THENCE NORTH 41° 38’ 02” WEST, 614.65 FEET TO A POINT; THENCE NORTH 41° 45’ 47” EAST, 186.44 FEET TO A POINT; THENCE LEAVING SAID EASTERN LINE, SOUTH 44° 20’ 20” EAST, 329.81 FEET TO A POINT; THENCE SOUTH 81° 31’ 34” EAST, 85.21 FEET TO A POINT; THENCE NORTH 60° 25’ 38” EAST 490.93 FEET TO A POINT; THENCE NORTH 07° 19’ 18” EAST, 75.77 FEET TO A POINT; THENCE NORTH 51° 58’ 30” EAST, 87.81 FEET TO A POINT; THENCE NORTH 85° 31’ 25” EAST, 134.13 FEET TO A POINT; THENCE SOUTH 85° 39’ 39” EAST, 152.25 FEET TO A POINT; THENCE NORTH 03° 47’ 57” EAST, 142.02 FEET TO A POINT; THENCE SOUTH 69° 04’ 20” EAST, 62.03 FEET TO A POINT; THENCE SOUTH 30° 09’ 16” EAST, 895.45 FEET TO A POINT; THENCE SOUTH 44° 40’</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 B - 73</w:t>
      </w:r>
    </w:p>
    <w:p>
      <w:pPr>
        <w:sectPr>
          <w:pgSz w:w="11900" w:h="16838" w:orient="portrait"/>
          <w:cols w:equalWidth="0" w:num="1">
            <w:col w:w="11400"/>
          </w:cols>
          <w:pgMar w:left="240" w:top="582" w:right="259" w:bottom="1440" w:gutter="0" w:footer="0" w:header="0"/>
        </w:sectPr>
      </w:pPr>
    </w:p>
    <w:bookmarkStart w:id="123" w:name="page124"/>
    <w:bookmarkEnd w:id="123"/>
    <w:p>
      <w:pPr>
        <w:jc w:val="both"/>
        <w:ind w:right="380"/>
        <w:spacing w:after="0" w:line="275" w:lineRule="auto"/>
        <w:rPr>
          <w:sz w:val="20"/>
          <w:szCs w:val="20"/>
          <w:color w:val="auto"/>
        </w:rPr>
      </w:pPr>
      <w:r>
        <w:rPr>
          <w:rFonts w:ascii="Arial" w:cs="Arial" w:eastAsia="Arial" w:hAnsi="Arial"/>
          <w:sz w:val="18"/>
          <w:szCs w:val="18"/>
          <w:color w:val="auto"/>
        </w:rPr>
        <w:t>57” EAST, 118.00 FEET TO A POINT; THENCE SOUTH 48° 31’ 11” WEST, 55.90 FEET TO A POINT; THENCE SOUTH 74° 20’ 47” WEST, 1028.09 FEET TO A POINT; THENCE SOUTH 61° 12’ 33” WEST, 1497.67 FEET TO A POINT; THENCE SOUTH 55° 05’ 32”</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20"/>
          <w:szCs w:val="20"/>
          <w:color w:val="auto"/>
        </w:rPr>
        <w:t>WEST, 1454.20 FEET TO A POINT ON THE NORTHERN LINE OF PROPERTY NOW OR FORMERLY OF LOVELACE AS RECORDED IN BOOK 831 PAGE 1752 OF SAID RECORDER’S OFFICE; THENCE ALONG SAID NORTHERN LINE, NORTH 34° 41’ 05” WEST, 491.66 FEET TO A POINT, SAID POINT BEING ON THE CENTERLINE OF THE KATY TRAIL, AS ROCKED; THENCE ALONG SAID CENTERLINE THE FOLLOWING COURSES: NORTH 51° 14’ 48” EAST, 370.95 FEET; THENCE NORTH 46° 37’ 47” EAST, 519.40 FEET; THENCE NORTH 44° 26’ 42” EAST, 511.27 FEET; THENCE NORTH 42° 32’ 50” EAST, 65.09 FEET; THENCE LEAVING SAID CENTERLINE AND ALONG THE NORTHERN LINE OF THE AFOREMENTIONED RODNEY TRACT, NORTH 68° 56’ 09” WEST, 102.28 FEET TO THE POINT OF BEGINNING PER CALCULATIONS BY PICKET RAY &amp; SILVER, INC., DURING THE MONTH OF MAY, 1993.</w:t>
      </w:r>
    </w:p>
    <w:p>
      <w:pPr>
        <w:spacing w:after="0" w:line="197" w:lineRule="exact"/>
        <w:rPr>
          <w:sz w:val="20"/>
          <w:szCs w:val="20"/>
          <w:color w:val="auto"/>
        </w:rPr>
      </w:pPr>
    </w:p>
    <w:p>
      <w:pPr>
        <w:ind w:right="420"/>
        <w:spacing w:after="0" w:line="260" w:lineRule="auto"/>
        <w:rPr>
          <w:sz w:val="20"/>
          <w:szCs w:val="20"/>
          <w:color w:val="auto"/>
        </w:rPr>
      </w:pPr>
      <w:r>
        <w:rPr>
          <w:rFonts w:ascii="Arial" w:cs="Arial" w:eastAsia="Arial" w:hAnsi="Arial"/>
          <w:sz w:val="20"/>
          <w:szCs w:val="20"/>
          <w:color w:val="auto"/>
        </w:rPr>
        <w:t>EXCEPTING THEREFROM THAT PART THEREOF CONVEYED TO THE COUNTY OF ST. CHARLES BY DEED RECORDED IN BOOK 2052 PAGE 936 AND BOOK 2267 PAGE 1892.</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PARCEL NO. 4:</w:t>
      </w:r>
    </w:p>
    <w:p>
      <w:pPr>
        <w:spacing w:after="0" w:line="222" w:lineRule="exact"/>
        <w:rPr>
          <w:sz w:val="20"/>
          <w:szCs w:val="20"/>
          <w:color w:val="auto"/>
        </w:rPr>
      </w:pPr>
    </w:p>
    <w:p>
      <w:pPr>
        <w:ind w:right="200"/>
        <w:spacing w:after="0" w:line="269" w:lineRule="auto"/>
        <w:rPr>
          <w:sz w:val="20"/>
          <w:szCs w:val="20"/>
          <w:color w:val="auto"/>
        </w:rPr>
      </w:pPr>
      <w:r>
        <w:rPr>
          <w:rFonts w:ascii="Arial" w:cs="Arial" w:eastAsia="Arial" w:hAnsi="Arial"/>
          <w:sz w:val="19"/>
          <w:szCs w:val="19"/>
          <w:color w:val="auto"/>
        </w:rPr>
        <w:t>A TRACT OF LAND BEING PART OF U.S. SURVEY 1765, TOWNSHIP 47 NORTH, RANGE 7 EAST, ST. CHARLES COUNTY, MISSOURI, AND BEING THE SAME PROPERTY CONVEYED TO MEYERS AS RECORDED IN BOOK 763 PAGE 1620 OF THE ST. CHARLES COUNTY MISSOURI RECORDS, SAID TRACT BEING MORE PARTICULARLY DESCRIBED AS FOLLOWS:</w:t>
      </w:r>
    </w:p>
    <w:p>
      <w:pPr>
        <w:spacing w:after="0" w:line="170"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COMMENCING AT A CONCRETE MONUMENT FOUND AT THE ANGLE POINT ON THE EASTERNLINE OF A SURVEY BY CHARLES W. RUFF, COUNTY SURVEYOR L.S. NO. 241, DATED APRIL 2, 1966 AND FILED IN SERIES 650 FICHE NO. 5058A/3 AT THE LAND SURVEY REPOSITORY OF THE DEPARTMENT OF NATURAL RESOURCES, ROLLA, MISSOURI, SAID POINT ALSO BEING SOUTH 00º 00’ 34” WEST 4765.85 FEET FROM THE NORTHEAST CORNER OF THE SUBDIVISION FOR “BAILEY” AS RECORDED IN SURVEY RECORD BOOK 9, BOOK 105 OF THE ST. CHARLES COUNTY MISSOURI RECORDS AND BEING ON THE WESTERN LINE OF PROPERTY NOW OR FORMERLY OF FARLEY AS RECORDED IN BOOK 893 PAGE 1876 OF THE SAID RECORDER’S OFFICE; THENCE ALONG THE COMMON LINE BETWEEN SAID RUFF SURVEY AND SAID FARLEY PROPERTY, NORTH 00º 00’ 34” EAST, 1770.38 FEET TO THE POINT OF BEGINNING OF THE TRACT OF LAND HEREIN DESCRIBED; THENCE ALONG THE SOUTHERN LINE OF SAID MEYERS PROPERTY THE FOLLOWING COURSES:</w:t>
      </w:r>
    </w:p>
    <w:p>
      <w:pPr>
        <w:spacing w:after="0" w:line="185" w:lineRule="exact"/>
        <w:rPr>
          <w:sz w:val="20"/>
          <w:szCs w:val="20"/>
          <w:color w:val="auto"/>
        </w:rPr>
      </w:pPr>
    </w:p>
    <w:p>
      <w:pPr>
        <w:ind w:right="40"/>
        <w:spacing w:after="0" w:line="256" w:lineRule="auto"/>
        <w:rPr>
          <w:sz w:val="20"/>
          <w:szCs w:val="20"/>
          <w:color w:val="auto"/>
        </w:rPr>
      </w:pPr>
      <w:r>
        <w:rPr>
          <w:rFonts w:ascii="Arial" w:cs="Arial" w:eastAsia="Arial" w:hAnsi="Arial"/>
          <w:sz w:val="19"/>
          <w:szCs w:val="19"/>
          <w:color w:val="auto"/>
        </w:rPr>
        <w:t>SOUTH 56° 09’ 42” WEST, 163.04 FEET TO A POINT; THENCE SOUTH 68° 13’ 42” WEST, 682.44 FEET TO A POINT; THENCE SOUTH 78° 54’ 42” WEST, 1013.10 FEET TO A POINT; THENCE NORTH 80° 56’ 18” WEST 968.88 FEET TO A POINT; THENCE LEAVING SAID SOUTHERN LINE AND ALONG THE EASTERN LINE OF PROPERTY NOW OR FORMERLY OF LACLEDE GAS COMPANY RECORDED IN BOOK 557, PAGE 828 OF THE SAID RECORDER’S OFFICE, NORTH 16° 36’ 42” EAST, 1307.46 FEET TO A POINT ON THE NORTHERN LINE OF PROPERTY OF SAID MEYERS PROPERTY, ALSO BEING ON THE SOUTHERN LINE OF PROPERTY NOW OR FORMERLY OF WITTE AS RECORDED IN BOOK 567 PAGE 272 OF SAID RECORDER’S OFFICE; THENCE ALONG THE NORTHERN LINE OF SAID MEYERS PROPERTY, SOUTH 73° 23’ 18” EAST, 2448.60 FEET TO THE WESTERN LINE OF THE AFOREMENTIONED FARLEY PROPERTY; THENCE LEAVING SAID NORTHERN LINE AND ALONG THE WESTERN LINE OF SAID FARLEY PROPERTY, SOUTH 00° 00’ 34” WEST, 166.72 FEET TO THE POINT OF BEGINNING.</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PARCEL NO. 5:</w:t>
      </w:r>
    </w:p>
    <w:p>
      <w:pPr>
        <w:spacing w:after="0" w:line="222" w:lineRule="exact"/>
        <w:rPr>
          <w:sz w:val="20"/>
          <w:szCs w:val="20"/>
          <w:color w:val="auto"/>
        </w:rPr>
      </w:pPr>
    </w:p>
    <w:p>
      <w:pPr>
        <w:ind w:right="740"/>
        <w:spacing w:after="0" w:line="244" w:lineRule="auto"/>
        <w:rPr>
          <w:sz w:val="20"/>
          <w:szCs w:val="20"/>
          <w:color w:val="auto"/>
        </w:rPr>
      </w:pPr>
      <w:r>
        <w:rPr>
          <w:rFonts w:ascii="Arial" w:cs="Arial" w:eastAsia="Arial" w:hAnsi="Arial"/>
          <w:sz w:val="20"/>
          <w:szCs w:val="20"/>
          <w:color w:val="auto"/>
        </w:rPr>
        <w:t>A TRACT OF LAND BEING PART OF U.S. SURVEY 1765, TOWNSHIP 47 NORTH, RANGE 7 EAST, ST. CHARLES COUNTY, MISSOURI, SAID TRACT BEING MORE PARTICULARLY DESCRIBED AS FOLLOWS: COMMENCING AT A CONCRETE MONUMENT FOUND AT THE ANGLE POINT ON THE EASTERN LINE OF A SURVEY BY CHARLES W. RUFF, COUNTY SURVEYOR, LS. NO. 241, DATED APRIL 2, 1966 AND FILED IN SERIES 650 FICHE NO. 505BA/3 AT THE LAND SURVEY REPOSITORY OF</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 B - 74</w:t>
      </w:r>
    </w:p>
    <w:p>
      <w:pPr>
        <w:sectPr>
          <w:pgSz w:w="11900" w:h="16838" w:orient="portrait"/>
          <w:cols w:equalWidth="0" w:num="1">
            <w:col w:w="11400"/>
          </w:cols>
          <w:pgMar w:left="240" w:top="582" w:right="259" w:bottom="1440" w:gutter="0" w:footer="0" w:header="0"/>
        </w:sectPr>
      </w:pPr>
    </w:p>
    <w:bookmarkStart w:id="124" w:name="page125"/>
    <w:bookmarkEnd w:id="124"/>
    <w:p>
      <w:pPr>
        <w:ind w:right="180"/>
        <w:spacing w:after="0" w:line="269" w:lineRule="auto"/>
        <w:rPr>
          <w:sz w:val="20"/>
          <w:szCs w:val="20"/>
          <w:color w:val="auto"/>
        </w:rPr>
      </w:pPr>
      <w:r>
        <w:rPr>
          <w:rFonts w:ascii="Arial" w:cs="Arial" w:eastAsia="Arial" w:hAnsi="Arial"/>
          <w:sz w:val="18"/>
          <w:szCs w:val="18"/>
          <w:color w:val="auto"/>
        </w:rPr>
        <w:t>THE DEPARTMENT OF NATURAL RESOURCES, ROLLA, MISSOURI, SAID POINT ALSO BEING SOUTH 00° 00’ 34” WEST, 4765.86 FEET FROM THE NORTHEAST CORNER OF THE SUBDIVISION FOR “BAILEY” AS RECORDED IN SURVEY RECORD BOOK 9 PAGE 105 OF THE ST. CHARLES COUNTY MISSOURI RECORDS AND BEING ON THE WESTERN LINE OF PROPERTY NOW OR FORMERLY OF FARLEY AS RECORDED IN BOOK 893 PAGE 1876 OF THE SAID RECORDER’S OFFICE; THENCE ALONG THE COMMON LINE BETWEEN SAID RUFF SURVEY AND SAID FARLEY PROPERTY, NORTH 00° 00’ 34” EAST, 965.87</w:t>
      </w:r>
    </w:p>
    <w:p>
      <w:pPr>
        <w:spacing w:after="0" w:line="4"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FEET TO THE POINT OF BEGINNING OF THE TRACT OF LAND HEREIN DESCRIBED; THENCE LEAVING SAID COMMON LINE ALONG THE NORTHERN LINE OF SAID RUFF SURVEY THE FOLLOWING COURSES: SOUTH 87° 11’ 00” WEST, 613.33 FEET TO A POINT; THENCE NORTH 88° 49’ 00” WEST, 383.18 FEET TO A POINT; THENCE SOUTH 61° 11’ 00” WEST, 136.29 FEET TO A POINT; THENCE SOUTH 28° 11’ 00” WEST, 322.10 FEET TO A POINT; THENCE LEAVING SAID NORTHERN LINE, NORTH 37° 52’</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30” WEST, 807.74 FEET TO A POINT ON THE SOUTHERN LINE OF PROPERTY NOW OR FORMERLY OF MEYERS AS RECORDED IN BOOK 763 PAGE 1620 OF THE SAID RECORDER’S OFFICE; THENCE ALONG THE SOUTHERN LINE OF SAID MEYERS PROPERTY THE FOLLOWING COURSES: NORTH 78° 54’ 42” EAST, 1013.10 FEET TO A POINT; THENCE NORTH 68° 13’ 42” EAST, 682.44 FEET TO A POINT; THENCE NORTH 56° 09’ 42” EAST, 163.04 FEET TO A POINT ON THE WESTERN LINE OF THE AFOREMENTIONED FARLEY PROPERTY; THENCE LEAVING SAID SOUTHERN LINE ALONG SAID WESTERN LINE, SOUTH 00° 00’ 34” WEST, 804.51 FEET TO THE POINT OF BEGINNING. File No.: L20154061</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PARCEL NO. 6:</w:t>
      </w:r>
    </w:p>
    <w:p>
      <w:pPr>
        <w:spacing w:after="0" w:line="249" w:lineRule="exact"/>
        <w:rPr>
          <w:sz w:val="20"/>
          <w:szCs w:val="20"/>
          <w:color w:val="auto"/>
        </w:rPr>
      </w:pPr>
    </w:p>
    <w:p>
      <w:pPr>
        <w:ind w:right="380"/>
        <w:spacing w:after="0" w:line="269" w:lineRule="auto"/>
        <w:rPr>
          <w:sz w:val="20"/>
          <w:szCs w:val="20"/>
          <w:color w:val="auto"/>
        </w:rPr>
      </w:pPr>
      <w:r>
        <w:rPr>
          <w:rFonts w:ascii="Arial" w:cs="Arial" w:eastAsia="Arial" w:hAnsi="Arial"/>
          <w:sz w:val="18"/>
          <w:szCs w:val="18"/>
          <w:color w:val="auto"/>
        </w:rPr>
        <w:t>A TRACT OF LAND BEING PART OF U.S. SURVEY 1765, TOWNSHIP 47 NORTH, RANGE 7 EAST, ST. CHARLES COUNTY, MISSOURI, SAID TRACT BEING MORE PARTICULARLY DESCRIBED AS FOLLOWS: BEGINNING AT A CONCRETE MONUMENT FOUND AT THE ANGLE POINT ON THE EASTERN LINE OF A SURVEY BY CHARLES W. RUFF, COUNTY SURVEYOR, L.S. NO. 241, DATED APRIL 2, 1966 AND FILED IN SERIES 650 FICHE NO. 505BA/3 AT THE LAND SURVEY REPOSITORY OF THE DEPARTMENT OF NATURAL RESOURCES, ROLLA, MISSOURI, SAID POINT ALSO SOUTH 00º 00’ 34”</w:t>
      </w:r>
    </w:p>
    <w:p>
      <w:pPr>
        <w:spacing w:after="0" w:line="4" w:lineRule="exact"/>
        <w:rPr>
          <w:sz w:val="20"/>
          <w:szCs w:val="20"/>
          <w:color w:val="auto"/>
        </w:rPr>
      </w:pPr>
    </w:p>
    <w:p>
      <w:pPr>
        <w:ind w:right="140"/>
        <w:spacing w:after="0" w:line="253" w:lineRule="auto"/>
        <w:rPr>
          <w:sz w:val="20"/>
          <w:szCs w:val="20"/>
          <w:color w:val="auto"/>
        </w:rPr>
      </w:pPr>
      <w:r>
        <w:rPr>
          <w:rFonts w:ascii="Arial" w:cs="Arial" w:eastAsia="Arial" w:hAnsi="Arial"/>
          <w:sz w:val="19"/>
          <w:szCs w:val="19"/>
          <w:color w:val="auto"/>
        </w:rPr>
        <w:t>WEST, 4765.86 FEET FROM THE NORTHEAST CORNER OF THE SUBDIVISION FOR “BAILEY” AS RECORDED IN SURVEY RECORD BOOK 9, PAGE 105 OF THE ST. CHARLES COUNTY MISSOURI RECORDS AND BEING ON THE WESTERN LINE OF PROPERTY NOW OR FORMERLY OF FARLEY AS RECORDED IN BOOK 893 PAGE 1876 OF THE SAID RECORDER’S OFFICE; THENCE ALONG THE EASTERN LINE OF SAID RUFF SURVEY, SOUTH 31° 46’ 30” EAST, 921.50 FEET TO A POINT; THENCE SOUTH 75° 13’ 19” WEST, 242.64 FEET TO A POINT; THENCE NORTH 72° 52’ 43” WEST, 178.13 FEET TO A POINT; THENCE NORTH 40° 35’ 00” WEST, 288.45 FEET TO A POINT; THENCE NORTH 39° 35’ 00” WEST, 867.85 FEET TO A POINT; THENCE NORTH 27° 32’ 00” WEST, 448.66 FEET TO A POINT; THENCE SOUTH 32° 06’ 00” WEST, 205.12 FEET TO A POINT; THENCE NORTH 56° 38’ 00” WEST, 235.10 FEET TO A POINT; THENCE NORTH 28° 11’ 00” EAST, 322.10 FEET TO A POINT; THENCE NORTH 61° 11’ 00” EAST, 136.29 FEET TO A POINT; THENCE SOUTH 88° 49’ 00” EAST, 383.18 FEET TO A POINT; THENCE NORTH 87° 11’ 00” EAST, 613.33 FEET TO A POINT ON THE WESTERN LINE OF THE AFOREMENTIONED FARLEY PROPERTY; THENCE ALONG SAID WESTERN LINE, SOUTH 00° 00’ 34” WEST, 965.87 FEET TO THE POINT OF BEGINNING.</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PARCEL NO. 7:</w:t>
      </w:r>
    </w:p>
    <w:p>
      <w:pPr>
        <w:spacing w:after="0" w:line="222" w:lineRule="exact"/>
        <w:rPr>
          <w:sz w:val="20"/>
          <w:szCs w:val="20"/>
          <w:color w:val="auto"/>
        </w:rPr>
      </w:pPr>
    </w:p>
    <w:p>
      <w:pPr>
        <w:ind w:right="240"/>
        <w:spacing w:after="0" w:line="243" w:lineRule="auto"/>
        <w:rPr>
          <w:sz w:val="20"/>
          <w:szCs w:val="20"/>
          <w:color w:val="auto"/>
        </w:rPr>
      </w:pPr>
      <w:r>
        <w:rPr>
          <w:rFonts w:ascii="Arial" w:cs="Arial" w:eastAsia="Arial" w:hAnsi="Arial"/>
          <w:sz w:val="20"/>
          <w:szCs w:val="20"/>
          <w:color w:val="auto"/>
        </w:rPr>
        <w:t>A TRACT OF LAND BEING PART OF U.S. SURVEY 1765, TOWNSHIP 47 NORTH, RANGE 7 EAST, ST. CHARLES COUNTY, MISSOURI, SAID TRACT BEING MORE PARTICULARLY DESCRIBED AS FOLLOWS: COMMENCING AT A CONCRETE MONUMENT FOUND AT THE ANGLE POINT ON THE EASTERN LINE OF A SURVEY BY CHARLES W. RUFF, COUNTY SURVEYOR, L.S. NO. 241, DATED APRIL 2, 1966, AND FILED IN SERIES 660, FISCHE NO. 505BA/3 AT THE LAND SURVEY RESPOSITORY OF THE DEPARTMENT OF NATURAL RESOURCES, ROLLA, MISSOURI, SAID POINT ALSO BEING SOUTH 00° 00’ 34” WEST, 4765.86 FEET FROM THE NORTHEAST CORNER OF THE SUBDIVISION FOR “BAILEY” AS RECORDED IN SURVEY RECORD BOOK 9 PAGE 105 OF THE ST. CHARLES COUNTY</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 B - 75</w:t>
      </w:r>
    </w:p>
    <w:p>
      <w:pPr>
        <w:sectPr>
          <w:pgSz w:w="11900" w:h="16838" w:orient="portrait"/>
          <w:cols w:equalWidth="0" w:num="1">
            <w:col w:w="11380"/>
          </w:cols>
          <w:pgMar w:left="240" w:top="798" w:right="279" w:bottom="1440" w:gutter="0" w:footer="0" w:header="0"/>
        </w:sectPr>
      </w:pPr>
    </w:p>
    <w:bookmarkStart w:id="125" w:name="page126"/>
    <w:bookmarkEnd w:id="125"/>
    <w:p>
      <w:pPr>
        <w:spacing w:after="0" w:line="255" w:lineRule="auto"/>
        <w:rPr>
          <w:sz w:val="20"/>
          <w:szCs w:val="20"/>
          <w:color w:val="auto"/>
        </w:rPr>
      </w:pPr>
      <w:r>
        <w:rPr>
          <w:rFonts w:ascii="Arial" w:cs="Arial" w:eastAsia="Arial" w:hAnsi="Arial"/>
          <w:sz w:val="19"/>
          <w:szCs w:val="19"/>
          <w:color w:val="auto"/>
        </w:rPr>
        <w:t>MISSOURI RECORDS, AND BEING ON THE WESTERN LINE OF PROPERTY NOW OR FORMERLY OF FARLEY AS RECORDED IN BOOK 893 PAGE 1876 OF THE SAID RECORDER’S OFFICE; THENCE ALONG THE EASTERN LINE OF SAID RUFF SURVEY, SOUTH 31° 46’ 30” EAST, 921.50 FEET TO THE POINT OF BEGINNING OF THE TRACT OF LAND HEREIN DESCRIBED; THENCE SOUTH 32° 46’ 18” WEST, 243.34 FEET TO THE MEAN LOW WATER MARK AS DIGITIZED FROM THE CORPS OF ENGINEERS MAP; THENCE ALONG THE MEANDERS OF THE MISSOURI RIVER IN A NORTHWESTWARDLY DIRECTION, 4497 FEET MORE OR LESS TO A POINT; THENCE LEAVING SAID LINE, NORTH 35° 46’ 03” EAST, 230.11 FEET TO THE SOUTHWESTERN CORNER OF PROPERTY NOW OR FORMERLY OF MEYERS AS RECORDED IN BOOK 763, PAGE 1620 OF THE ST. CHARLES COUNTY MISSOURI RECORDER’S OFFICE; THENCE ALONG THE SOUTHERN LINE OF SAID MEYERS PROPERTY, SOUTH 80° 56’ 18” EAST, 968.88 FEET TO A POINT; THENCE LEAVING SAID SOUTHERN LINE, SOUTH 37° 52’ 30” EAST, 807.74 FEET TO THE WESTERN LINE OF THE AFOREMENTIONED RUFF SURVEY; THENCE ALONG THE WESTERN LINE OF SAID RUFF SURVEY, THE FOLLOWING COURSES:</w:t>
      </w:r>
    </w:p>
    <w:p>
      <w:pPr>
        <w:spacing w:after="0" w:line="188" w:lineRule="exact"/>
        <w:rPr>
          <w:sz w:val="20"/>
          <w:szCs w:val="20"/>
          <w:color w:val="auto"/>
        </w:rPr>
      </w:pPr>
    </w:p>
    <w:p>
      <w:pPr>
        <w:jc w:val="both"/>
        <w:ind w:right="660"/>
        <w:spacing w:after="0" w:line="246" w:lineRule="auto"/>
        <w:rPr>
          <w:sz w:val="20"/>
          <w:szCs w:val="20"/>
          <w:color w:val="auto"/>
        </w:rPr>
      </w:pPr>
      <w:r>
        <w:rPr>
          <w:rFonts w:ascii="Arial" w:cs="Arial" w:eastAsia="Arial" w:hAnsi="Arial"/>
          <w:sz w:val="20"/>
          <w:szCs w:val="20"/>
          <w:color w:val="auto"/>
        </w:rPr>
        <w:t>SOUTH 56° 38’ 00” EAST, 235.10 FEET TO A POINT; THENCE NORTH 82° 06’ 00” EAST, 205.12 FEET TO A POINT; THENCE SOUTH 27° 32’ 00” EAST, 448.66 FEET TO A POINT; THENCE SOUTH 39° 35’ 00” EAST, 867.85 FEET TO A POINT; THENCE SOUTH 40° 35’ 00” EAST, 288.45 FEET TO A POINT; THENCE SOUTH 72° 52’ 43” EAST, 178.13 FEET TO A POINT; THENCE NORTH 75° 13’ 19” EAST, 242.64 FEET TO THE POINT OF BEGINNING.</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PARCEL NO. 8:</w:t>
      </w: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color w:val="auto"/>
        </w:rPr>
        <w:t>AN EASEMENT FOR INGRESS AND EGRESS AS SET FORTH IN EASEMENT DEED RECORDED IN BOOK 820 PAGE 1454.</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PARCEL NO. 9-TRACT 1:</w:t>
      </w:r>
    </w:p>
    <w:p>
      <w:pPr>
        <w:spacing w:after="0" w:line="330"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A TRACT OF LAND BEING PART OF LOT 3 IN BLOCK 1 OF EVANS SURVEY, COMMONS OF ST. CHARLES, AND PART OF LOT 8 OF HALL’S SUBDIVISION WITHIN LOT 56 OF BLOCK 9 OF STEEN &amp; CUNNINGHAM’S SURVEY, COMMONS OF ST. CHARLES, ALL WITHIN TOWNSHIP 46 NORTH, RANGE 5 EAST, IN THE CITY OF ST. CHARLES, MISSOURI AND BEING MORE PARTICULARLY DESCRIBED AS FOLLOWS:</w:t>
      </w:r>
    </w:p>
    <w:p>
      <w:pPr>
        <w:spacing w:after="0" w:line="192" w:lineRule="exact"/>
        <w:rPr>
          <w:sz w:val="20"/>
          <w:szCs w:val="20"/>
          <w:color w:val="auto"/>
        </w:rPr>
      </w:pPr>
    </w:p>
    <w:p>
      <w:pPr>
        <w:ind w:right="80"/>
        <w:spacing w:after="0" w:line="242" w:lineRule="auto"/>
        <w:rPr>
          <w:sz w:val="20"/>
          <w:szCs w:val="20"/>
          <w:color w:val="auto"/>
        </w:rPr>
      </w:pPr>
      <w:r>
        <w:rPr>
          <w:rFonts w:ascii="Arial" w:cs="Arial" w:eastAsia="Arial" w:hAnsi="Arial"/>
          <w:sz w:val="20"/>
          <w:szCs w:val="20"/>
          <w:color w:val="auto"/>
        </w:rPr>
        <w:t>COMMENCING AT AN OLD IRON PIPE MARKING THE MOST WESTERN CORNER OF LOT 7 OF HALL’S SUBDIVISION; THENCE SOUTH 70 DEGREES 08 MINUTES 38 SECONDS EAST, 155.72 FEET TO A POINT THENCE SOUTH 25 DEGREES 21 MINUTES 40 SECONDS WEST 50.23 FEET TO AN IRON PIPE MARKING THE BEGINNING OF THE TRACT HEREIN DESCRIBED; THENCE SOUTH 25 DEGREES 21 MINUTES 40 SECONDS WEST 150.02 FEET TO AN IRON PIPE; THENCE NORTH 70 DEGREES 10 MINUTES 10 SECONDS WEST 164.02 FEET TO A POINT ON A CURVE; THENCE ALONG A CURVE TO THE RIGHT AN ARC DISTANCE OF 150.00 FEET TO A POINT; SAID CURVE HAVING A RADIUS OF 11,349.2 FEET AND AN INCLUDED ANGLE OF 0 DEGREES 45 MINUTES 26 SECONDS; THENCE SOUTH 70 DEGREES 08 MINUTES 38 SECONDS EAST 165.11 FEET TO THE PLACE OF BEGINNING, AS PER SURVEY AND PLAT MADE BY ST. CHARLES COUNTY ENGINEERING AND SURVEYING, INC. DATED IN DECEMBER 1969.</w:t>
      </w:r>
    </w:p>
    <w:p>
      <w:pPr>
        <w:spacing w:after="0" w:line="195"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ALSO, A NON- EXCLUSIVE EASEMENT OVER AND ACROSS ADJOINING LAND BELOW DESCRIBED FOR THE PURPOSE OF INGRESS AND EGRESS DESCRIBED AS FOLLOWS:</w:t>
      </w:r>
    </w:p>
    <w:p>
      <w:pPr>
        <w:spacing w:after="0" w:line="312" w:lineRule="exact"/>
        <w:rPr>
          <w:sz w:val="20"/>
          <w:szCs w:val="20"/>
          <w:color w:val="auto"/>
        </w:rPr>
      </w:pPr>
    </w:p>
    <w:p>
      <w:pPr>
        <w:ind w:right="560"/>
        <w:spacing w:after="0" w:line="250" w:lineRule="auto"/>
        <w:rPr>
          <w:sz w:val="20"/>
          <w:szCs w:val="20"/>
          <w:color w:val="auto"/>
        </w:rPr>
      </w:pPr>
      <w:r>
        <w:rPr>
          <w:rFonts w:ascii="Arial" w:cs="Arial" w:eastAsia="Arial" w:hAnsi="Arial"/>
          <w:sz w:val="20"/>
          <w:szCs w:val="20"/>
          <w:color w:val="auto"/>
        </w:rPr>
        <w:t>AN EASEMENT 30 FEET WIDE BEING PART OF LOT 8 OF HALL’S SUBDIVISION WITHIN LOT 56 BLOCK 9 OF STEEN &amp; CUNNINGHAM’S SUBDIVISION, TOWNSHIP 46 NORTH, RANGE 5 EAST, WITHIN THE CITY OF ST. CHARLES, MISSOURI, BEING MORE PARTICULARLY DESCRIBED AS FOLLOWS:</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 B - 76</w:t>
      </w:r>
    </w:p>
    <w:p>
      <w:pPr>
        <w:sectPr>
          <w:pgSz w:w="11900" w:h="16838" w:orient="portrait"/>
          <w:cols w:equalWidth="0" w:num="1">
            <w:col w:w="11400"/>
          </w:cols>
          <w:pgMar w:left="240" w:top="798" w:right="259" w:bottom="1440" w:gutter="0" w:footer="0" w:header="0"/>
        </w:sectPr>
      </w:pPr>
    </w:p>
    <w:bookmarkStart w:id="126" w:name="page127"/>
    <w:bookmarkEnd w:id="126"/>
    <w:p>
      <w:pPr>
        <w:ind w:right="40"/>
        <w:spacing w:after="0" w:line="270" w:lineRule="auto"/>
        <w:rPr>
          <w:sz w:val="20"/>
          <w:szCs w:val="20"/>
          <w:color w:val="auto"/>
        </w:rPr>
      </w:pPr>
      <w:r>
        <w:rPr>
          <w:rFonts w:ascii="Arial" w:cs="Arial" w:eastAsia="Arial" w:hAnsi="Arial"/>
          <w:sz w:val="18"/>
          <w:szCs w:val="18"/>
          <w:color w:val="auto"/>
        </w:rPr>
        <w:t>COMMENCING AT AN OLD IRON PIPE MARKING THE MOST WESTERN CORNER OF SAID LOT 7 OF HALL’S SUBDIVISION; THENCE NORTH 70 DEGREES 08 MINUTES 38 SECONDS WEST 40.10 FEET TO THE EASTERN RIGHT-OF-WAY LINE OF FIFTH STREET; THENCE SOUTHWARDLY ALONG SAID EASTERN RIGHT-OF-WAY LINE ALONG A CURVE TO THE LEFT HAVING A RADIUS OF 11,379.2 FEET AN INCLUDED ANGLE OF 0 DEGREES 15 MINUTES 11 SECONDS AN ARC DISTANCE OF 50.24 FEET TO THE POINT OF BEGINNING OF THE TRACT HEREIN DESCRIBED; THENCE LEAVING SAID RIGHT-OF-WAY LINE SOUTH 70 DEGREES 08 MINUTES 38 SECONDS EAST 30.14 FEET TO THE NORTHERNMOST CORNER OF A .565 ACRE TRACT; THENCE SOUTHEASTWARDLY ALONG A CURVE TO THE LEFT 30 FEET EAST OF AND PARALLEL TO THE EASTERN RIGHT-OF-WAY LINE OF FIFTH STREET, SAID CURVE HAVING A RADIUS OF 11,349.2 FEET AN INCLUDED ANGLE OF 1 DEGREE 13 MINUTES 22 SECONDS AN ARC DISTANCE OF 242.24 FEET TO A POINT; THENCE NORTH 65 DEGREES 54 MINUTES 01 SECONDS WEST 30.00 FEET TO A POINT ON THE EASTERN RIGHT-OF-WAY LINE OF 5TH STREET; THENCE NORTHEASTWARDLY ALONG SAID RIGHT-OF-WAY ALONG A CURVE TO THE RIGHT HAVING AN INCLUDED ANGLE OF 1 DEGREE 12 MINUTES 30 SECONDS A RADIUS OF 11,379.2 FEET AN ARC DISTANCE OF 240.1 FEET TO THE POINT OF BEGINNING.</w:t>
      </w:r>
    </w:p>
    <w:p>
      <w:pPr>
        <w:spacing w:after="0" w:line="177"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ALSO EXCEPTING THEREFROM THAT PART CONVEYED TO THREE FLAGS CENTER PARTNERSHIP, L.P. RECORDED IN BOOK 4794 PAGE 2263 AND THAT PART CONVEYED TO ST. CHARLES RIVERFRONT TRANSPORTATION DEVELOPMENT DISTRICT, RECORDED IN BOOK 4800 PAGE 246.</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PARCEL NO. 9-TRACT 2:</w:t>
      </w:r>
    </w:p>
    <w:p>
      <w:pPr>
        <w:spacing w:after="0" w:line="222" w:lineRule="exact"/>
        <w:rPr>
          <w:sz w:val="20"/>
          <w:szCs w:val="20"/>
          <w:color w:val="auto"/>
        </w:rPr>
      </w:pPr>
    </w:p>
    <w:p>
      <w:pPr>
        <w:ind w:right="300"/>
        <w:spacing w:after="0" w:line="250" w:lineRule="auto"/>
        <w:rPr>
          <w:sz w:val="20"/>
          <w:szCs w:val="20"/>
          <w:color w:val="auto"/>
        </w:rPr>
      </w:pPr>
      <w:r>
        <w:rPr>
          <w:rFonts w:ascii="Arial" w:cs="Arial" w:eastAsia="Arial" w:hAnsi="Arial"/>
          <w:sz w:val="20"/>
          <w:szCs w:val="20"/>
          <w:color w:val="auto"/>
        </w:rPr>
        <w:t>A TRACT OF LAND BEING PART OF U.S. SURVEY 3280, TOWNSHIP 46 NORTH, RANGE 5 EAST OF THE FIFTH PRINCIPAL MERIDIAN, CITY OF ST. CHARLES, ST. CHARLES COUNTY, MISSOURI, AND BEING MORE PARTICULARLY DESCRIBED AS FOLLOWS:</w:t>
      </w:r>
    </w:p>
    <w:p>
      <w:pPr>
        <w:spacing w:after="0" w:line="186" w:lineRule="exact"/>
        <w:rPr>
          <w:sz w:val="20"/>
          <w:szCs w:val="20"/>
          <w:color w:val="auto"/>
        </w:rPr>
      </w:pPr>
    </w:p>
    <w:p>
      <w:pPr>
        <w:spacing w:after="0" w:line="254" w:lineRule="auto"/>
        <w:rPr>
          <w:sz w:val="20"/>
          <w:szCs w:val="20"/>
          <w:color w:val="auto"/>
        </w:rPr>
      </w:pPr>
      <w:r>
        <w:rPr>
          <w:rFonts w:ascii="Arial" w:cs="Arial" w:eastAsia="Arial" w:hAnsi="Arial"/>
          <w:sz w:val="19"/>
          <w:szCs w:val="19"/>
          <w:color w:val="auto"/>
        </w:rPr>
        <w:t>COMMENCING AT THE NORTHEAST CORNER OF PROPERTY CONVEYED TO AMERISTAR CASINO ST. CHARLES, INC. BY DEED RECORDED IN BOOK 2478 PAGE 1826 OF THE ST. CHARLES COUNTY RECORDS, SAID CORNER ALSO BEING IN THE SOUTHERN RIGHT-OF-WAY LINE OF RIVER BLUFF DRIVE, 50 FEET WIDE; THENCE ALONG EAST LINE OF SAID AMERISTAR CASINO ST. CHARLES, INC. PROPERTY, SOUTH 25 DEGREES 37 MINUTES 57 SECONDS WEST 44.27 FEET TO THE POINT OF BEGINNING OF THE DESCRIPTION HEREIN; THENCE LEAVING SAID EAST LINE OF AMERISTAR CASINO ST. CHARLES INC. PROPERTY THE FOLLOWING COURSES AND DISTANCES: ALONG A CURVE TO THE RIGHT WHOSE CHORD BEARS SOUTH 45 DEGREES 28 MINUTES 13 SECONDS EAST 22.44 FEET AND WHOSE RADIUS POINT BEARS SOUTH 41 DEGREES 25 MINUTES 49 SECONDS WEST 207.50 FEET FROM THE LAST MENTIONED POINT, AN ARC DISTANCE OF 22.45 FEET; SOUTH 42 DEGREES 22 MINUTES 16 SECONDS EAST 31.38 FEET; ALONG A CURVE TO THE RIGHT WHOSE CHORD BEARS SOUTH 64 DEGREES 57 MINUTES 52 SECONDS WEST 53.60 FEET AND WHOSE RADIUS POINT BEARS NORTH 86 DEGREES 30 MINUTES 49 SECONDS WEST 30.50 FEET FROM THE LAST MENTINOED POINT, AN ARC DISTANCE OF 65.45 FEET AND NORTH 53 DEGREES 33 MINUTES 26 SECONDS WEST 16.65 FEET TO THE EAST LINE OF SAID AMERISTAR CASINO ST. CHARLES, INC. PROPERTY; THENCE ALONG SAID EAST LINE, NORTH 25 DEGREES 37 MINUTES 57 SECONDS EAST 57.35 FEET TO THE POINT OF BEGINNING AND CONTAINING 2,466 SQUARE FEET ACCORDING TO CALCULATIONS BY BAX ENGINEERING COMPANY, INC. DURING FEBRUARY, 2007.</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PARCEL NO. 10:</w:t>
      </w:r>
    </w:p>
    <w:p>
      <w:pPr>
        <w:spacing w:after="0" w:line="222" w:lineRule="exact"/>
        <w:rPr>
          <w:sz w:val="20"/>
          <w:szCs w:val="20"/>
          <w:color w:val="auto"/>
        </w:rPr>
      </w:pPr>
    </w:p>
    <w:p>
      <w:pPr>
        <w:ind w:right="640"/>
        <w:spacing w:after="0" w:line="250" w:lineRule="auto"/>
        <w:rPr>
          <w:sz w:val="20"/>
          <w:szCs w:val="20"/>
          <w:color w:val="auto"/>
        </w:rPr>
      </w:pPr>
      <w:r>
        <w:rPr>
          <w:rFonts w:ascii="Arial" w:cs="Arial" w:eastAsia="Arial" w:hAnsi="Arial"/>
          <w:sz w:val="20"/>
          <w:szCs w:val="20"/>
          <w:color w:val="auto"/>
        </w:rPr>
        <w:t>A TRACT OF LAND BEING PART OF LOTS 2 AND 3 IN BLOCK 1 OF EVANS SURVEY OF THE ST. CHARLES COMMONS, TOWNSHIP 46 NORTH, RANGE 5 EAST OF THE FIFTH PRINCIPAL MERIDIAN, ST. CHARLES COUNTY MISSOURI, MORE PARTICULARLY DESCRIBED AS FOLLOWS:</w:t>
      </w:r>
    </w:p>
    <w:p>
      <w:pPr>
        <w:spacing w:after="0" w:line="186"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COMMENCING AT THE SOUTHWEST CORNER OF A TRACT OF LAND CONVEYED TO ST. CHARLES RIVERFRONT STATION, INC. BY DEED RECORDED IN BOOK 1523 PAGE 38 OF THE ST. CHARLES</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 B - 77</w:t>
      </w:r>
    </w:p>
    <w:p>
      <w:pPr>
        <w:sectPr>
          <w:pgSz w:w="11900" w:h="16838" w:orient="portrait"/>
          <w:cols w:equalWidth="0" w:num="1">
            <w:col w:w="11400"/>
          </w:cols>
          <w:pgMar w:left="240" w:top="798" w:right="259" w:bottom="1440" w:gutter="0" w:footer="0" w:header="0"/>
        </w:sectPr>
      </w:pPr>
    </w:p>
    <w:bookmarkStart w:id="127" w:name="page128"/>
    <w:bookmarkEnd w:id="127"/>
    <w:p>
      <w:pPr>
        <w:spacing w:after="0" w:line="254" w:lineRule="auto"/>
        <w:rPr>
          <w:sz w:val="20"/>
          <w:szCs w:val="20"/>
          <w:color w:val="auto"/>
        </w:rPr>
      </w:pPr>
      <w:r>
        <w:rPr>
          <w:rFonts w:ascii="Arial" w:cs="Arial" w:eastAsia="Arial" w:hAnsi="Arial"/>
          <w:sz w:val="19"/>
          <w:szCs w:val="19"/>
          <w:color w:val="auto"/>
        </w:rPr>
        <w:t>COUNTY RECORDS, SAID POINT BEING ON THE EAST LINE OF A TRACT OF LAND CONVEYED TO THE DEPARTMENT OF NATURAL RESOURCES BY DEED RECORDED IN BOOK 1222 PAGE 2 OF THE ST. CHARLES COUNTY RECORDS, SAID POINT BEING ALSO ON THE NORTH RIGHT-OF-WAY LINE OF MISSOURI INTERSTATE HIGHWAY 70, AND BEING 150.00 FEET PERPENDICULARLY DISTANT NORTH OF MISSOURI INTERSTATE CENTERLINE STATION 10 + 31.65; THENCE ALONG THE EAST LINE OF SAID DEPARTMENT OF NATURAL RESOURCES PROPERTY, NORTH 27° 24’ 14” EAST 432.08 FEET TO A POINT; THENCE LEAVING SAID LINE NORTH 62° 35’ 46” WEST 60.00 FEET TO THE NORTHEAST CORNER OF LOT 2 OF “ST. CHARLES RIVERFRONT STATION”, A SUBDIVISION ACCORDING TO THE PLAT THEREOF RECORDED IN PLAT BOOK 33 PAGES 40 AND 41 OF THE ST. CHARLES COUNTY RECORDS, SAID POINT BEING THE ACTUAL POINT OF BEGINNING OF THE DESCRIPTION HEREIN; THENCE WESTWARDLY ALONG THE NORTH LINE OF LOT 2 OF SAID “ST. CHARLES STATION”, NORTH 57° 59’ 46” WEST 136.19 FEET TO A POINT IN THE EAST LINE OF SOUTH MAIN STREET; THENCE ALONG THE SAID EAST LINE OF SOUTH MAIN STREET; THE FOLLOWING COURSES AND DISTANCES, NORTH 27° 28’ 57” EAST 320.73 FEET TO A POINT; AND NORTH 28° 41’ 27” EAST 358.46 FEET TO THE NORTHWEST CORNER OF PROPERTY CONVEYED TO ST. CHARLES RIVERFRONT STATION BY DEED RECORDED IN BOOK 1796 PAGE 239 OF THE ST. CHARLES COUNTY RECORDS; THENCE ALONG THE NORTH LINE OF SAID ST. CHARLES RIVERFRONT STATION, SOUTH 60° 18’ 24” EAST 127.37 FEET TO A POINT IN THE WEST LINE OF AFORESAID DEPARTMENT OF NATURAL RESOURCES PROPERTY; THENCE ALONG SAID WEST LINE, SOUTH 27° 24’ 14” WEST 684.93 FEET TO THE POINT OF BEGINNING, ACCORDING TO SURVEY BY BAX ENGINEERING IN NOVEMBER 2000.</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color w:val="auto"/>
        </w:rPr>
        <w:t>NOTE: THE LEGAL DESCRIPTION IS SHOWN FOR CONVENIENCE ONLY, SUBJECT TO UNDERWRITING APPROVAL.</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 B - 78</w:t>
      </w:r>
    </w:p>
    <w:p>
      <w:pPr>
        <w:sectPr>
          <w:pgSz w:w="11900" w:h="16838" w:orient="portrait"/>
          <w:cols w:equalWidth="0" w:num="1">
            <w:col w:w="11380"/>
          </w:cols>
          <w:pgMar w:left="240" w:top="798" w:right="279" w:bottom="1440" w:gutter="0" w:footer="0" w:header="0"/>
        </w:sectPr>
      </w:pPr>
    </w:p>
    <w:bookmarkStart w:id="128" w:name="page129"/>
    <w:bookmarkEnd w:id="128"/>
    <w:p>
      <w:pPr>
        <w:jc w:val="center"/>
        <w:ind w:right="-59"/>
        <w:spacing w:after="0"/>
        <w:rPr>
          <w:sz w:val="20"/>
          <w:szCs w:val="20"/>
          <w:color w:val="auto"/>
        </w:rPr>
      </w:pPr>
      <w:r>
        <w:rPr>
          <w:rFonts w:ascii="Arial" w:cs="Arial" w:eastAsia="Arial" w:hAnsi="Arial"/>
          <w:sz w:val="22"/>
          <w:szCs w:val="22"/>
          <w:b w:val="1"/>
          <w:bCs w:val="1"/>
          <w:u w:val="single" w:color="auto"/>
          <w:color w:val="auto"/>
        </w:rPr>
        <w:t>River City</w:t>
      </w:r>
    </w:p>
    <w:p>
      <w:pPr>
        <w:spacing w:after="0" w:line="266" w:lineRule="exact"/>
        <w:rPr>
          <w:sz w:val="20"/>
          <w:szCs w:val="20"/>
          <w:color w:val="auto"/>
        </w:rPr>
      </w:pPr>
    </w:p>
    <w:p>
      <w:pPr>
        <w:spacing w:after="0" w:line="265" w:lineRule="auto"/>
        <w:rPr>
          <w:sz w:val="20"/>
          <w:szCs w:val="20"/>
          <w:color w:val="auto"/>
        </w:rPr>
      </w:pPr>
      <w:r>
        <w:rPr>
          <w:rFonts w:ascii="Arial" w:cs="Arial" w:eastAsia="Arial" w:hAnsi="Arial"/>
          <w:sz w:val="21"/>
          <w:szCs w:val="21"/>
          <w:color w:val="auto"/>
        </w:rPr>
        <w:t>Leasehold estate as created by that certain lease dated August 12, 2004, executed by St. Louis County Post Authority, as lessor, and Pinnacle Entertainment Inc., as lessee, together with a grant of exclusivity and the right of first refusal, notice of which is given in the Memorandum of Lease recorded February 10, 2006 in Book 17061 page 4701, and Correction to Memorandum of Lease recorded August 20, 2010 in book 19071 page 3997, as to the following:</w:t>
      </w:r>
    </w:p>
    <w:p>
      <w:pPr>
        <w:spacing w:after="0" w:line="392"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Lots One (1) of RIVER CITY CASINO SUBDIVISION, A subdivision in St. Louis County, Missouri, according to the plat thereof recorded in Plat Book 357 pages 445, 446 and 447 of the St. Louis County Records.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 B - 79</w:t>
      </w:r>
    </w:p>
    <w:p>
      <w:pPr>
        <w:sectPr>
          <w:pgSz w:w="11900" w:h="16838" w:orient="portrait"/>
          <w:cols w:equalWidth="0" w:num="1">
            <w:col w:w="11380"/>
          </w:cols>
          <w:pgMar w:left="240" w:top="801" w:right="279" w:bottom="1440" w:gutter="0" w:footer="0" w:header="0"/>
        </w:sectPr>
      </w:pPr>
    </w:p>
    <w:bookmarkStart w:id="129" w:name="page130"/>
    <w:bookmarkEnd w:id="129"/>
    <w:p>
      <w:pPr>
        <w:jc w:val="center"/>
        <w:ind w:right="-19"/>
        <w:spacing w:after="0"/>
        <w:rPr>
          <w:sz w:val="20"/>
          <w:szCs w:val="20"/>
          <w:color w:val="auto"/>
        </w:rPr>
      </w:pPr>
      <w:r>
        <w:rPr>
          <w:rFonts w:ascii="Arial" w:cs="Arial" w:eastAsia="Arial" w:hAnsi="Arial"/>
          <w:sz w:val="22"/>
          <w:szCs w:val="22"/>
          <w:b w:val="1"/>
          <w:bCs w:val="1"/>
          <w:u w:val="single" w:color="auto"/>
          <w:color w:val="auto"/>
        </w:rPr>
        <w:t>East Chicago</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color w:val="auto"/>
        </w:rPr>
        <w:t>Part of Fractional Section 22 and Fractional Section 15, Township 37 North, Range 9 West of the Second Principal Meridian, in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Lake County, Indiana, more particularly described as follows:</w:t>
      </w:r>
    </w:p>
    <w:p>
      <w:pPr>
        <w:spacing w:after="0" w:line="202" w:lineRule="exact"/>
        <w:rPr>
          <w:sz w:val="20"/>
          <w:szCs w:val="20"/>
          <w:color w:val="auto"/>
        </w:rPr>
      </w:pPr>
    </w:p>
    <w:p>
      <w:pPr>
        <w:spacing w:after="0" w:line="285" w:lineRule="auto"/>
        <w:rPr>
          <w:sz w:val="20"/>
          <w:szCs w:val="20"/>
          <w:color w:val="auto"/>
        </w:rPr>
      </w:pPr>
      <w:r>
        <w:rPr>
          <w:rFonts w:ascii="Arial" w:cs="Arial" w:eastAsia="Arial" w:hAnsi="Arial"/>
          <w:sz w:val="19"/>
          <w:szCs w:val="19"/>
          <w:color w:val="auto"/>
        </w:rPr>
        <w:t>Commencing at point "G" on the Southeasterly bulkhead line (established by U.S. Government permits of March 27, 1908, October 15, 1929 and July 5, 1932), and the Southwesterly right of way line of Aldis Avenue extended; thence South 46 degrees 46 minutes 06 seconds East (assumed Record Bearing) along the Southwesterly line of Aldis Avenue, 1376.00 feet to the centerline of vacated Lake Place and the Point of Beginning; thence North 43 degrees 15 minutes 00 seconds East, along the centerline of vacated Lake Place, 66.30 feet to the Northeasterly right of way line of Aldis Avenue; thence North 34 degrees 53 minutes 04 seconds East, 134.78 feet; thence North 87 degrees 48 minutes 17 seconds East, 79.47 feet; thence North 45 degrees 33 minutes 40 seconds East</w:t>
      </w:r>
    </w:p>
    <w:p>
      <w:pPr>
        <w:spacing w:after="0" w:line="1" w:lineRule="exact"/>
        <w:rPr>
          <w:sz w:val="20"/>
          <w:szCs w:val="20"/>
          <w:color w:val="auto"/>
        </w:rPr>
      </w:pPr>
    </w:p>
    <w:p>
      <w:pPr>
        <w:ind w:right="180"/>
        <w:spacing w:after="0" w:line="281" w:lineRule="auto"/>
        <w:rPr>
          <w:sz w:val="20"/>
          <w:szCs w:val="20"/>
          <w:color w:val="auto"/>
        </w:rPr>
      </w:pPr>
      <w:r>
        <w:rPr>
          <w:rFonts w:ascii="Arial" w:cs="Arial" w:eastAsia="Arial" w:hAnsi="Arial"/>
          <w:sz w:val="19"/>
          <w:szCs w:val="19"/>
          <w:color w:val="auto"/>
        </w:rPr>
        <w:t>100.50 feet; thence North 27 degrees 26 minutes 34 seconds East, 102.39 feet; thence North 35 degrees 50 minutes 46 seconds East, 100.24 feet; thence North 43 degrees 17 minutes 00 seconds East, 100.18 feet; thence North 73 degrees 22 minutes 05 seconds East, 92.36 feet; thence South 88 degrees 52 minutes 08 seconds East, 85.40 feet; thence South 45 degrees 50 minutes 45 seconds East, 106.63 feet; thence South 28 degrees 53 minutes 00 seconds East, 115.60 feet; thence South 29 degrees 55 minutes</w:t>
      </w:r>
    </w:p>
    <w:p>
      <w:pPr>
        <w:spacing w:after="0" w:line="3" w:lineRule="exact"/>
        <w:rPr>
          <w:sz w:val="20"/>
          <w:szCs w:val="20"/>
          <w:color w:val="auto"/>
        </w:rPr>
      </w:pPr>
    </w:p>
    <w:p>
      <w:pPr>
        <w:ind w:right="20"/>
        <w:spacing w:after="0" w:line="281" w:lineRule="auto"/>
        <w:rPr>
          <w:sz w:val="20"/>
          <w:szCs w:val="20"/>
          <w:color w:val="auto"/>
        </w:rPr>
      </w:pPr>
      <w:r>
        <w:rPr>
          <w:rFonts w:ascii="Arial" w:cs="Arial" w:eastAsia="Arial" w:hAnsi="Arial"/>
          <w:sz w:val="19"/>
          <w:szCs w:val="19"/>
          <w:color w:val="auto"/>
        </w:rPr>
        <w:t>11 seconds East, 43.65 feet; thence North 72 degrees 41 minutes 04 seconds East, 63.28 feet; thence North 17 degrees 40 minutes 39 seconds West, 68.50 feet; thence North 73 degrees 08 minutes 53 seconds East, 13.57 feet; thence South 17 degrees 40 minutes 39 seconds East, 576.84 feet; thence South 72 degrees 59 minutes 54 seconds West, 13.46 feet; thence North 17 degrees 40 minutes 39 seconds West, 47.95 feet; thence South 74 degrees 17 minutes 22 seconds West, 61.64 feet; thence South 09 degrees 56 minutes 52 seconds East, 57.80 feet; thence South 04 degrees 06 minutes 11 seconds East, 100.97 feet; thence South 13 degrees 30 minutes 52 seconds West, 101.43 feet; thence South 12 degrees 57 minutes 25 seconds West, 6.12 feet; thence South 42 degrees 52 minutes 06 seconds West, 259.47 feet; thence South 46 degrees 56 minutes 40 seconds East, 170.00 feet; thence South 43 degrees 03 minutes 20 seconds West, 7.00 feet; thence South 46 degrees 56 minutes 40 seconds East, 168.00 feet; thence South 42 degrees 55 minutes 16 seconds West, 233.81 feet; thence South 46 degrees 46 minutes 06 seconds East, 599.00 feet; thence South 42 degrees 55 minutes 16 seconds West, 55.00 feet to a point on the northeasterly line of vacated Baltimore Avenue extended, said point being 191.13 feet northwesterly of the intersection of said northeasterly line extended with the East line of said Fractional Section 22; thence North 46 degrees 46 minutes 06 seconds West along said northeasterly line of vacated Baltimore Avenue extended, 1094.74 feet; thence South 43 degrees 13 minutes 54 seconds West, 15.90 feet; thence North 55 degrees 51 minutes 36 seconds West,</w:t>
      </w:r>
    </w:p>
    <w:p>
      <w:pPr>
        <w:spacing w:after="0" w:line="10" w:lineRule="exact"/>
        <w:rPr>
          <w:sz w:val="20"/>
          <w:szCs w:val="20"/>
          <w:color w:val="auto"/>
        </w:rPr>
      </w:pPr>
    </w:p>
    <w:p>
      <w:pPr>
        <w:ind w:right="440"/>
        <w:spacing w:after="0" w:line="246" w:lineRule="auto"/>
        <w:rPr>
          <w:sz w:val="20"/>
          <w:szCs w:val="20"/>
          <w:color w:val="auto"/>
        </w:rPr>
      </w:pPr>
      <w:r>
        <w:rPr>
          <w:rFonts w:ascii="Arial" w:cs="Arial" w:eastAsia="Arial" w:hAnsi="Arial"/>
          <w:sz w:val="22"/>
          <w:szCs w:val="22"/>
          <w:color w:val="auto"/>
        </w:rPr>
        <w:t>465.73 feet; thence North 43 degrees 15 minutes 00 seconds East, 319.49 feet; thence North 46 degrees 45 minutes 11 seconds West, 329.11 feet, to the Point of Beginning.</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Containing 21.570 acres, more or less</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 B - 80</w:t>
      </w:r>
    </w:p>
    <w:p>
      <w:pPr>
        <w:sectPr>
          <w:pgSz w:w="11900" w:h="16838" w:orient="portrait"/>
          <w:cols w:equalWidth="0" w:num="1">
            <w:col w:w="11400"/>
          </w:cols>
          <w:pgMar w:left="240" w:top="585" w:right="25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6"/>
          <w:szCs w:val="16"/>
          <w:b w:val="1"/>
          <w:bCs w:val="1"/>
          <w:color w:val="auto"/>
        </w:rPr>
        <w:t>Schedule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455295</wp:posOffset>
            </wp:positionV>
            <wp:extent cx="4707890" cy="75812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707890" cy="758126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 B - 81</w:t>
      </w:r>
    </w:p>
    <w:p>
      <w:pPr>
        <w:sectPr>
          <w:pgSz w:w="11900" w:h="16838" w:orient="portrait"/>
          <w:cols w:equalWidth="0" w:num="1">
            <w:col w:w="9019"/>
          </w:cols>
          <w:pgMar w:left="1440" w:top="792" w:right="1440" w:bottom="1440" w:gutter="0" w:footer="0" w:header="0"/>
          <w:type w:val="continuous"/>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FOURTH AMENDMENT TO MASTER LEASE</w:t>
      </w:r>
    </w:p>
    <w:p>
      <w:pPr>
        <w:spacing w:after="0" w:line="220" w:lineRule="exact"/>
        <w:rPr>
          <w:sz w:val="20"/>
          <w:szCs w:val="20"/>
          <w:color w:val="auto"/>
        </w:rPr>
      </w:pPr>
    </w:p>
    <w:p>
      <w:pPr>
        <w:ind w:right="60" w:firstLine="648"/>
        <w:spacing w:after="0" w:line="288" w:lineRule="auto"/>
        <w:rPr>
          <w:sz w:val="20"/>
          <w:szCs w:val="20"/>
          <w:color w:val="auto"/>
        </w:rPr>
      </w:pPr>
      <w:r>
        <w:rPr>
          <w:rFonts w:ascii="Arial" w:cs="Arial" w:eastAsia="Arial" w:hAnsi="Arial"/>
          <w:sz w:val="19"/>
          <w:szCs w:val="19"/>
          <w:color w:val="auto"/>
        </w:rPr>
        <w:t>THIS FOURTH AMENDMENT TO MASTER LEASE (this “</w:t>
      </w:r>
      <w:r>
        <w:rPr>
          <w:rFonts w:ascii="Arial" w:cs="Arial" w:eastAsia="Arial" w:hAnsi="Arial"/>
          <w:sz w:val="19"/>
          <w:szCs w:val="19"/>
          <w:b w:val="1"/>
          <w:bCs w:val="1"/>
          <w:color w:val="auto"/>
        </w:rPr>
        <w:t>Amendment</w:t>
      </w:r>
      <w:r>
        <w:rPr>
          <w:rFonts w:ascii="Arial" w:cs="Arial" w:eastAsia="Arial" w:hAnsi="Arial"/>
          <w:sz w:val="19"/>
          <w:szCs w:val="19"/>
          <w:color w:val="auto"/>
        </w:rPr>
        <w:t>”) is being entered into on this 1st day of May, 2017 (the "</w:t>
      </w:r>
      <w:r>
        <w:rPr>
          <w:rFonts w:ascii="Arial" w:cs="Arial" w:eastAsia="Arial" w:hAnsi="Arial"/>
          <w:sz w:val="19"/>
          <w:szCs w:val="19"/>
          <w:b w:val="1"/>
          <w:bCs w:val="1"/>
          <w:color w:val="auto"/>
        </w:rPr>
        <w:t>Effective Date</w:t>
      </w:r>
      <w:r>
        <w:rPr>
          <w:rFonts w:ascii="Arial" w:cs="Arial" w:eastAsia="Arial" w:hAnsi="Arial"/>
          <w:sz w:val="19"/>
          <w:szCs w:val="19"/>
          <w:color w:val="auto"/>
        </w:rPr>
        <w:t>"), by and between Landlord and Tenant, as more fully set forth herein, and shall amend that certain Master Lease, dated November 1, 2013, as amended by that certain First Amendment to Master Lease, dated March 5, 2014, as further amended by that certain Second Amendment to Master Lease and First Amendment to Access Agreement, dated April 18, 2014, and as further amended by that certain Third Amendment to Master Lease, dated September 20, 2016 (collectively, the “</w:t>
      </w:r>
      <w:r>
        <w:rPr>
          <w:rFonts w:ascii="Arial" w:cs="Arial" w:eastAsia="Arial" w:hAnsi="Arial"/>
          <w:sz w:val="19"/>
          <w:szCs w:val="19"/>
          <w:b w:val="1"/>
          <w:bCs w:val="1"/>
          <w:color w:val="auto"/>
        </w:rPr>
        <w:t>Master Lease</w:t>
      </w:r>
      <w:r>
        <w:rPr>
          <w:rFonts w:ascii="Arial" w:cs="Arial" w:eastAsia="Arial" w:hAnsi="Arial"/>
          <w:sz w:val="19"/>
          <w:szCs w:val="19"/>
          <w:color w:val="auto"/>
        </w:rPr>
        <w:t>”), by and among GLP Capital, L.P. (together with its permitted successors and assigns, “</w:t>
      </w:r>
      <w:r>
        <w:rPr>
          <w:rFonts w:ascii="Arial" w:cs="Arial" w:eastAsia="Arial" w:hAnsi="Arial"/>
          <w:sz w:val="19"/>
          <w:szCs w:val="19"/>
          <w:b w:val="1"/>
          <w:bCs w:val="1"/>
          <w:color w:val="auto"/>
        </w:rPr>
        <w:t>Landlord</w:t>
      </w:r>
      <w:r>
        <w:rPr>
          <w:rFonts w:ascii="Arial" w:cs="Arial" w:eastAsia="Arial" w:hAnsi="Arial"/>
          <w:sz w:val="19"/>
          <w:szCs w:val="19"/>
          <w:color w:val="auto"/>
        </w:rPr>
        <w:t>”) and Penn Tenant, LLC (together with its permitted successors and assigns, “</w:t>
      </w:r>
      <w:r>
        <w:rPr>
          <w:rFonts w:ascii="Arial" w:cs="Arial" w:eastAsia="Arial" w:hAnsi="Arial"/>
          <w:sz w:val="19"/>
          <w:szCs w:val="19"/>
          <w:b w:val="1"/>
          <w:bCs w:val="1"/>
          <w:color w:val="auto"/>
        </w:rPr>
        <w:t>Tenant</w:t>
      </w:r>
      <w:r>
        <w:rPr>
          <w:rFonts w:ascii="Arial" w:cs="Arial" w:eastAsia="Arial" w:hAnsi="Arial"/>
          <w:sz w:val="19"/>
          <w:szCs w:val="19"/>
          <w:color w:val="auto"/>
        </w:rPr>
        <w:t>”), pursuant to which Tenant leases certain Leased Property, as further defined in the Master Lease (the “</w:t>
      </w:r>
      <w:r>
        <w:rPr>
          <w:rFonts w:ascii="Arial" w:cs="Arial" w:eastAsia="Arial" w:hAnsi="Arial"/>
          <w:sz w:val="19"/>
          <w:szCs w:val="19"/>
          <w:b w:val="1"/>
          <w:bCs w:val="1"/>
          <w:color w:val="auto"/>
        </w:rPr>
        <w:t>Existing Leased Property</w:t>
      </w:r>
      <w:r>
        <w:rPr>
          <w:rFonts w:ascii="Arial" w:cs="Arial" w:eastAsia="Arial" w:hAnsi="Arial"/>
          <w:sz w:val="19"/>
          <w:szCs w:val="19"/>
          <w:color w:val="auto"/>
        </w:rPr>
        <w:t xml:space="preserve">”). Landlord and Tenant each desire to add two (2) additional Facilities, as further defined in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Annex B</w:t>
      </w:r>
      <w:r>
        <w:rPr>
          <w:rFonts w:ascii="Arial" w:cs="Arial" w:eastAsia="Arial" w:hAnsi="Arial"/>
          <w:sz w:val="19"/>
          <w:szCs w:val="19"/>
          <w:color w:val="auto"/>
        </w:rPr>
        <w:t xml:space="preserve"> attached hereto and incorporated herein (the “</w:t>
      </w:r>
      <w:r>
        <w:rPr>
          <w:rFonts w:ascii="Arial" w:cs="Arial" w:eastAsia="Arial" w:hAnsi="Arial"/>
          <w:sz w:val="19"/>
          <w:szCs w:val="19"/>
          <w:b w:val="1"/>
          <w:bCs w:val="1"/>
          <w:color w:val="auto"/>
        </w:rPr>
        <w:t>Additional Leased</w:t>
      </w:r>
      <w:r>
        <w:rPr>
          <w:rFonts w:ascii="Arial" w:cs="Arial" w:eastAsia="Arial" w:hAnsi="Arial"/>
          <w:sz w:val="19"/>
          <w:szCs w:val="19"/>
          <w:color w:val="auto"/>
        </w:rPr>
        <w:t xml:space="preserve"> </w:t>
      </w:r>
      <w:r>
        <w:rPr>
          <w:rFonts w:ascii="Arial" w:cs="Arial" w:eastAsia="Arial" w:hAnsi="Arial"/>
          <w:sz w:val="19"/>
          <w:szCs w:val="19"/>
          <w:b w:val="1"/>
          <w:bCs w:val="1"/>
          <w:color w:val="auto"/>
        </w:rPr>
        <w:t>Property</w:t>
      </w:r>
      <w:r>
        <w:rPr>
          <w:rFonts w:ascii="Arial" w:cs="Arial" w:eastAsia="Arial" w:hAnsi="Arial"/>
          <w:sz w:val="19"/>
          <w:szCs w:val="19"/>
          <w:color w:val="auto"/>
        </w:rPr>
        <w:t>”), on the terms and conditions hereinafter set forth. Capitalized terms used herein and not otherwise defined herein shall</w:t>
      </w:r>
      <w:r>
        <w:rPr>
          <w:rFonts w:ascii="Arial" w:cs="Arial" w:eastAsia="Arial" w:hAnsi="Arial"/>
          <w:sz w:val="19"/>
          <w:szCs w:val="19"/>
          <w:b w:val="1"/>
          <w:bCs w:val="1"/>
          <w:color w:val="auto"/>
        </w:rPr>
        <w:t xml:space="preserve"> </w:t>
      </w:r>
      <w:r>
        <w:rPr>
          <w:rFonts w:ascii="Arial" w:cs="Arial" w:eastAsia="Arial" w:hAnsi="Arial"/>
          <w:sz w:val="19"/>
          <w:szCs w:val="19"/>
          <w:color w:val="auto"/>
        </w:rPr>
        <w:t>have the meaning ascribed to them in the Master Lease.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BACKGROUND: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Landlord and Tenant each desire to amend the Master Lease as more fully described herein.</w:t>
      </w:r>
    </w:p>
    <w:p>
      <w:pPr>
        <w:spacing w:after="0" w:line="220" w:lineRule="exact"/>
        <w:rPr>
          <w:sz w:val="20"/>
          <w:szCs w:val="20"/>
          <w:color w:val="auto"/>
        </w:rPr>
      </w:pPr>
    </w:p>
    <w:p>
      <w:pPr>
        <w:ind w:right="160" w:firstLine="648"/>
        <w:spacing w:after="0" w:line="248" w:lineRule="auto"/>
        <w:rPr>
          <w:sz w:val="20"/>
          <w:szCs w:val="20"/>
          <w:color w:val="auto"/>
        </w:rPr>
      </w:pPr>
      <w:r>
        <w:rPr>
          <w:rFonts w:ascii="Arial" w:cs="Arial" w:eastAsia="Arial" w:hAnsi="Arial"/>
          <w:sz w:val="22"/>
          <w:szCs w:val="22"/>
          <w:color w:val="auto"/>
        </w:rPr>
        <w:t>NOW, THEREFORE, in consideration of the provisions set forth in the Master Lease as amended by this Amendment, including, but not limited to, the mutual representations, warranties, covenants and agreements contained therein and herein, and for other good and valuable consideration, the receipt and sufficiency of which are hereby respectively acknowledged, and subject to the terms and conditions thereof and hereof, the parties, intending to be legally bound, hereby agree that the Master Lease shall be amended as follows: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LEASE OF ADDITIONAL LEASED PROPERTY</w:t>
      </w:r>
    </w:p>
    <w:p>
      <w:pPr>
        <w:spacing w:after="0" w:line="242"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1.1 Landlord does hereby lease to Tenant, and Tenant does lease from Landlord the Additional Leased Property for the Term (which shall begin on the Effective Date with respect to the Additional Leased Property). Except as otherwise expressly provided herein, Tenant’s lease of the Additional Leased Property shall be upon the terms and conditions of the Master Lease, except as modified or amended by this Amendment. As of the Effective Date of this Amendment, all references in the Master Lease to the “Leased Property” and “Land” shall mean the Existing Leased Property and the Additional Leased Property.</w:t>
      </w:r>
    </w:p>
    <w:p>
      <w:pPr>
        <w:spacing w:after="0" w:line="188" w:lineRule="exact"/>
        <w:rPr>
          <w:sz w:val="20"/>
          <w:szCs w:val="20"/>
          <w:color w:val="auto"/>
        </w:rPr>
      </w:pPr>
    </w:p>
    <w:p>
      <w:pPr>
        <w:jc w:val="both"/>
        <w:ind w:right="180" w:firstLine="648"/>
        <w:spacing w:after="0" w:line="271" w:lineRule="auto"/>
        <w:rPr>
          <w:sz w:val="20"/>
          <w:szCs w:val="20"/>
          <w:color w:val="auto"/>
        </w:rPr>
      </w:pPr>
      <w:r>
        <w:rPr>
          <w:rFonts w:ascii="Arial" w:cs="Arial" w:eastAsia="Arial" w:hAnsi="Arial"/>
          <w:sz w:val="21"/>
          <w:szCs w:val="21"/>
          <w:color w:val="auto"/>
        </w:rPr>
        <w:t xml:space="preserve">1.2 Exhibit A to the Master Lease is hereby amended and restated in its entirety as set forth in </w:t>
      </w:r>
      <w:r>
        <w:rPr>
          <w:rFonts w:ascii="Arial" w:cs="Arial" w:eastAsia="Arial" w:hAnsi="Arial"/>
          <w:sz w:val="21"/>
          <w:szCs w:val="21"/>
          <w:u w:val="single" w:color="auto"/>
          <w:color w:val="auto"/>
        </w:rPr>
        <w:t>Annex A</w:t>
      </w:r>
      <w:r>
        <w:rPr>
          <w:rFonts w:ascii="Arial" w:cs="Arial" w:eastAsia="Arial" w:hAnsi="Arial"/>
          <w:sz w:val="21"/>
          <w:szCs w:val="21"/>
          <w:color w:val="auto"/>
        </w:rPr>
        <w:t xml:space="preserve"> attached hereto and incorporated hereby. For the avoidance of doubt, Landlord and Tenant acknowledge that the Additional Leased Property shall not be deemed to be a Competing Facility for purposes of Section 7.4(d) of the Master Lease.</w:t>
      </w:r>
    </w:p>
    <w:p>
      <w:pPr>
        <w:sectPr>
          <w:pgSz w:w="11900" w:h="16838" w:orient="portrait"/>
          <w:cols w:equalWidth="0" w:num="1">
            <w:col w:w="11420"/>
          </w:cols>
          <w:pgMar w:left="240" w:top="121" w:right="239" w:bottom="1440" w:gutter="0" w:footer="0" w:header="0"/>
        </w:sectPr>
      </w:pPr>
    </w:p>
    <w:bookmarkStart w:id="132" w:name="page133"/>
    <w:bookmarkEnd w:id="132"/>
    <w:p>
      <w:pPr>
        <w:ind w:right="220" w:firstLine="648"/>
        <w:spacing w:after="0" w:line="343" w:lineRule="auto"/>
        <w:rPr>
          <w:sz w:val="20"/>
          <w:szCs w:val="20"/>
          <w:color w:val="auto"/>
        </w:rPr>
      </w:pPr>
      <w:r>
        <w:rPr>
          <w:rFonts w:ascii="Arial" w:cs="Arial" w:eastAsia="Arial" w:hAnsi="Arial"/>
          <w:sz w:val="19"/>
          <w:szCs w:val="19"/>
          <w:color w:val="auto"/>
        </w:rPr>
        <w:t xml:space="preserve">1.3 Exhibit B of the Master Lease is hereby amended to add the legal descriptions for the Additional Leased Property as set forth in </w:t>
      </w:r>
      <w:r>
        <w:rPr>
          <w:rFonts w:ascii="Arial" w:cs="Arial" w:eastAsia="Arial" w:hAnsi="Arial"/>
          <w:sz w:val="19"/>
          <w:szCs w:val="19"/>
          <w:u w:val="single" w:color="auto"/>
          <w:color w:val="auto"/>
        </w:rPr>
        <w:t>Annex B</w:t>
      </w:r>
      <w:r>
        <w:rPr>
          <w:rFonts w:ascii="Arial" w:cs="Arial" w:eastAsia="Arial" w:hAnsi="Arial"/>
          <w:sz w:val="19"/>
          <w:szCs w:val="19"/>
          <w:color w:val="auto"/>
        </w:rPr>
        <w:t xml:space="preserve"> attached hereto and incorporated hereby by this reference to the description of the Land.</w:t>
      </w:r>
    </w:p>
    <w:p>
      <w:pPr>
        <w:spacing w:after="0" w:line="145" w:lineRule="exact"/>
        <w:rPr>
          <w:sz w:val="20"/>
          <w:szCs w:val="20"/>
          <w:color w:val="auto"/>
        </w:rPr>
      </w:pPr>
    </w:p>
    <w:p>
      <w:pPr>
        <w:ind w:right="220" w:firstLine="648"/>
        <w:spacing w:after="0" w:line="287" w:lineRule="auto"/>
        <w:rPr>
          <w:sz w:val="20"/>
          <w:szCs w:val="20"/>
          <w:color w:val="auto"/>
        </w:rPr>
      </w:pPr>
      <w:r>
        <w:rPr>
          <w:rFonts w:ascii="Arial" w:cs="Arial" w:eastAsia="Arial" w:hAnsi="Arial"/>
          <w:sz w:val="21"/>
          <w:szCs w:val="21"/>
          <w:color w:val="auto"/>
        </w:rPr>
        <w:t xml:space="preserve">1.4 Exhibit D of the Master Lease is hereby amended to add the Gaming Licenses for the Additional Leased Property as set forth in </w:t>
      </w:r>
      <w:r>
        <w:rPr>
          <w:rFonts w:ascii="Arial" w:cs="Arial" w:eastAsia="Arial" w:hAnsi="Arial"/>
          <w:sz w:val="21"/>
          <w:szCs w:val="21"/>
          <w:u w:val="single" w:color="auto"/>
          <w:color w:val="auto"/>
        </w:rPr>
        <w:t>Annex C</w:t>
      </w:r>
      <w:r>
        <w:rPr>
          <w:rFonts w:ascii="Arial" w:cs="Arial" w:eastAsia="Arial" w:hAnsi="Arial"/>
          <w:sz w:val="21"/>
          <w:szCs w:val="21"/>
          <w:color w:val="auto"/>
        </w:rPr>
        <w:t xml:space="preserve"> attached hereto and incorporated hereby by this reference to the Gaming Licenses.</w:t>
      </w:r>
    </w:p>
    <w:p>
      <w:pPr>
        <w:spacing w:after="0" w:line="192" w:lineRule="exact"/>
        <w:rPr>
          <w:sz w:val="20"/>
          <w:szCs w:val="20"/>
          <w:color w:val="auto"/>
        </w:rPr>
      </w:pPr>
    </w:p>
    <w:p>
      <w:pPr>
        <w:jc w:val="both"/>
        <w:ind w:right="360" w:firstLine="648"/>
        <w:spacing w:after="0" w:line="253" w:lineRule="auto"/>
        <w:rPr>
          <w:sz w:val="20"/>
          <w:szCs w:val="20"/>
          <w:color w:val="auto"/>
        </w:rPr>
      </w:pPr>
      <w:r>
        <w:rPr>
          <w:rFonts w:ascii="Arial" w:cs="Arial" w:eastAsia="Arial" w:hAnsi="Arial"/>
          <w:sz w:val="22"/>
          <w:szCs w:val="22"/>
          <w:color w:val="auto"/>
        </w:rPr>
        <w:t xml:space="preserve">1.5 Schedule 1A of the Master Lease relating to Ground Leases is hereby amended to add those Ground Leases for the Additional Leased Property as set forth in </w:t>
      </w:r>
      <w:r>
        <w:rPr>
          <w:rFonts w:ascii="Arial" w:cs="Arial" w:eastAsia="Arial" w:hAnsi="Arial"/>
          <w:sz w:val="22"/>
          <w:szCs w:val="22"/>
          <w:u w:val="single" w:color="auto"/>
          <w:color w:val="auto"/>
        </w:rPr>
        <w:t>Annex D</w:t>
      </w:r>
      <w:r>
        <w:rPr>
          <w:rFonts w:ascii="Arial" w:cs="Arial" w:eastAsia="Arial" w:hAnsi="Arial"/>
          <w:sz w:val="22"/>
          <w:szCs w:val="22"/>
          <w:color w:val="auto"/>
        </w:rPr>
        <w:t xml:space="preserve"> attached hereto and incorporated hereby by this reference to the Disclosure Items.</w:t>
      </w:r>
    </w:p>
    <w:p>
      <w:pPr>
        <w:spacing w:after="0" w:line="226" w:lineRule="exact"/>
        <w:rPr>
          <w:sz w:val="20"/>
          <w:szCs w:val="20"/>
          <w:color w:val="auto"/>
        </w:rPr>
      </w:pPr>
    </w:p>
    <w:p>
      <w:pPr>
        <w:ind w:right="40" w:firstLine="648"/>
        <w:spacing w:after="0" w:line="253" w:lineRule="auto"/>
        <w:rPr>
          <w:sz w:val="20"/>
          <w:szCs w:val="20"/>
          <w:color w:val="auto"/>
        </w:rPr>
      </w:pPr>
      <w:r>
        <w:rPr>
          <w:rFonts w:ascii="Arial" w:cs="Arial" w:eastAsia="Arial" w:hAnsi="Arial"/>
          <w:sz w:val="22"/>
          <w:szCs w:val="22"/>
          <w:color w:val="auto"/>
        </w:rPr>
        <w:t xml:space="preserve">1.6 Schedule 1A of the Master Lease relating to Environmental Matters / Hazardous Substances is hereby amended to add those Environmental Matters / Hazardous Substances for the Additional Leased Property as set forth in </w:t>
      </w:r>
      <w:r>
        <w:rPr>
          <w:rFonts w:ascii="Arial" w:cs="Arial" w:eastAsia="Arial" w:hAnsi="Arial"/>
          <w:sz w:val="22"/>
          <w:szCs w:val="22"/>
          <w:u w:val="single" w:color="auto"/>
          <w:color w:val="auto"/>
        </w:rPr>
        <w:t>Annex E</w:t>
      </w:r>
      <w:r>
        <w:rPr>
          <w:rFonts w:ascii="Arial" w:cs="Arial" w:eastAsia="Arial" w:hAnsi="Arial"/>
          <w:sz w:val="22"/>
          <w:szCs w:val="22"/>
          <w:color w:val="auto"/>
        </w:rPr>
        <w:t xml:space="preserve"> attached hereto and incorporated hereby by reference to the Disclosure Items.</w:t>
      </w:r>
    </w:p>
    <w:p>
      <w:pPr>
        <w:spacing w:after="0" w:line="226" w:lineRule="exact"/>
        <w:rPr>
          <w:sz w:val="20"/>
          <w:szCs w:val="20"/>
          <w:color w:val="auto"/>
        </w:rPr>
      </w:pPr>
    </w:p>
    <w:p>
      <w:pPr>
        <w:ind w:right="240" w:firstLine="648"/>
        <w:spacing w:after="0" w:line="248" w:lineRule="auto"/>
        <w:rPr>
          <w:sz w:val="20"/>
          <w:szCs w:val="20"/>
          <w:color w:val="auto"/>
        </w:rPr>
      </w:pPr>
      <w:r>
        <w:rPr>
          <w:rFonts w:ascii="Arial" w:cs="Arial" w:eastAsia="Arial" w:hAnsi="Arial"/>
          <w:sz w:val="22"/>
          <w:szCs w:val="22"/>
          <w:color w:val="auto"/>
        </w:rPr>
        <w:t>1.7 Schedule 6.3 of the Master Lease relating to Guarantors Under the Master Lease is hereby amended to add those Guarantors for the Additional Leased Property (the “</w:t>
      </w:r>
      <w:r>
        <w:rPr>
          <w:rFonts w:ascii="Arial" w:cs="Arial" w:eastAsia="Arial" w:hAnsi="Arial"/>
          <w:sz w:val="22"/>
          <w:szCs w:val="22"/>
          <w:b w:val="1"/>
          <w:bCs w:val="1"/>
          <w:color w:val="auto"/>
        </w:rPr>
        <w:t>Additional Guarantors</w:t>
      </w:r>
      <w:r>
        <w:rPr>
          <w:rFonts w:ascii="Arial" w:cs="Arial" w:eastAsia="Arial" w:hAnsi="Arial"/>
          <w:sz w:val="22"/>
          <w:szCs w:val="22"/>
          <w:color w:val="auto"/>
        </w:rPr>
        <w:t xml:space="preserve">”) as set forth in </w:t>
      </w:r>
      <w:r>
        <w:rPr>
          <w:rFonts w:ascii="Arial" w:cs="Arial" w:eastAsia="Arial" w:hAnsi="Arial"/>
          <w:sz w:val="22"/>
          <w:szCs w:val="22"/>
          <w:u w:val="single" w:color="auto"/>
          <w:color w:val="auto"/>
        </w:rPr>
        <w:t>Annex F</w:t>
      </w:r>
      <w:r>
        <w:rPr>
          <w:rFonts w:ascii="Arial" w:cs="Arial" w:eastAsia="Arial" w:hAnsi="Arial"/>
          <w:sz w:val="22"/>
          <w:szCs w:val="22"/>
          <w:color w:val="auto"/>
        </w:rPr>
        <w:t xml:space="preserve"> attached hereto and incorporated hereby by reference to the Guarantors. In accordance with the terms and conditions of Section 6.3 of the Master Lease, those Additional Guarantors shall execute that form attached as Appendix A of Exhibit E of the Master Lease and provide the same to Landlord.</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TO SECTION 2.1 OF THE MASTER LEASE</w:t>
      </w:r>
    </w:p>
    <w:p>
      <w:pPr>
        <w:spacing w:after="0" w:line="24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color w:val="auto"/>
        </w:rPr>
        <w:t>The parties hereby agree as follows:</w:t>
      </w:r>
    </w:p>
    <w:p>
      <w:pPr>
        <w:spacing w:after="0" w:line="260" w:lineRule="exact"/>
        <w:rPr>
          <w:sz w:val="20"/>
          <w:szCs w:val="20"/>
          <w:color w:val="auto"/>
        </w:rPr>
      </w:pPr>
    </w:p>
    <w:p>
      <w:pPr>
        <w:ind w:firstLine="1305"/>
        <w:spacing w:after="0" w:line="297" w:lineRule="auto"/>
        <w:tabs>
          <w:tab w:leader="none" w:pos="2185"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following shall be added at the end of the definition of Adjusted Revenue to Rent Ratio: “Notwithstanding anything to the contrary contained herein, including in the definition of Adjusted Revenue above, with respect to the Additional Leased Property, Adjusted Revenue and Rent attributable to the Additional Leased Property shall include actual Adjusted Revenue received and Rent incurred by Tenant during the Test Period in which the Additional Leased Property is added to the Master Lease and shall not be determined on a pro forma basis as otherwise provided herein.”</w:t>
      </w:r>
    </w:p>
    <w:p>
      <w:pPr>
        <w:spacing w:after="0" w:line="187" w:lineRule="exact"/>
        <w:rPr>
          <w:rFonts w:ascii="Arial" w:cs="Arial" w:eastAsia="Arial" w:hAnsi="Arial"/>
          <w:sz w:val="19"/>
          <w:szCs w:val="19"/>
          <w:color w:val="auto"/>
        </w:rPr>
      </w:pPr>
    </w:p>
    <w:p>
      <w:pPr>
        <w:ind w:right="100" w:firstLine="1305"/>
        <w:spacing w:after="0" w:line="343" w:lineRule="auto"/>
        <w:tabs>
          <w:tab w:leader="none" w:pos="2197" w:val="left"/>
        </w:tabs>
        <w:numPr>
          <w:ilvl w:val="0"/>
          <w:numId w:val="30"/>
        </w:numPr>
        <w:rPr>
          <w:rFonts w:ascii="Arial" w:cs="Arial" w:eastAsia="Arial" w:hAnsi="Arial"/>
          <w:sz w:val="19"/>
          <w:szCs w:val="19"/>
          <w:color w:val="auto"/>
        </w:rPr>
      </w:pPr>
      <w:r>
        <w:rPr>
          <w:rFonts w:ascii="Arial" w:cs="Arial" w:eastAsia="Arial" w:hAnsi="Arial"/>
          <w:sz w:val="19"/>
          <w:szCs w:val="19"/>
          <w:color w:val="auto"/>
        </w:rPr>
        <w:t>After giving effect to the adjustments required by the Master Lease from inception of the Master Lease through the date of this Amendment, the parties agree that notwithstanding anything to the contrary contained in the Master Lease:</w:t>
      </w:r>
    </w:p>
    <w:p>
      <w:pPr>
        <w:spacing w:after="0" w:line="139" w:lineRule="exact"/>
        <w:rPr>
          <w:rFonts w:ascii="Arial" w:cs="Arial" w:eastAsia="Arial" w:hAnsi="Arial"/>
          <w:sz w:val="19"/>
          <w:szCs w:val="19"/>
          <w:color w:val="auto"/>
        </w:rPr>
      </w:pPr>
    </w:p>
    <w:p>
      <w:pPr>
        <w:ind w:left="1300" w:right="60" w:firstLine="653"/>
        <w:spacing w:after="0" w:line="315" w:lineRule="auto"/>
        <w:tabs>
          <w:tab w:leader="none" w:pos="2800" w:val="left"/>
        </w:tabs>
        <w:numPr>
          <w:ilvl w:val="1"/>
          <w:numId w:val="30"/>
        </w:numPr>
        <w:rPr>
          <w:rFonts w:ascii="Arial" w:cs="Arial" w:eastAsia="Arial" w:hAnsi="Arial"/>
          <w:sz w:val="19"/>
          <w:szCs w:val="19"/>
          <w:color w:val="auto"/>
        </w:rPr>
      </w:pPr>
      <w:r>
        <w:rPr>
          <w:rFonts w:ascii="Arial" w:cs="Arial" w:eastAsia="Arial" w:hAnsi="Arial"/>
          <w:sz w:val="19"/>
          <w:szCs w:val="19"/>
          <w:color w:val="auto"/>
        </w:rPr>
        <w:t>Building Base Rent for the Lease Year expiring on October 31, 2017 (the “</w:t>
      </w:r>
      <w:r>
        <w:rPr>
          <w:rFonts w:ascii="Arial" w:cs="Arial" w:eastAsia="Arial" w:hAnsi="Arial"/>
          <w:sz w:val="19"/>
          <w:szCs w:val="19"/>
          <w:b w:val="1"/>
          <w:bCs w:val="1"/>
          <w:color w:val="auto"/>
        </w:rPr>
        <w:t>Fourth Lease Year</w:t>
      </w:r>
      <w:r>
        <w:rPr>
          <w:rFonts w:ascii="Arial" w:cs="Arial" w:eastAsia="Arial" w:hAnsi="Arial"/>
          <w:sz w:val="19"/>
          <w:szCs w:val="19"/>
          <w:color w:val="auto"/>
        </w:rPr>
        <w:t>”) is equal to Two Hundred Sixty-Six Million One Hundred Forty-Nine Thousand Eight Hundred Ten Dollars ($266,149,810). Building Base Rent shall be subject to further adjustment as provided for in the Master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91" w:right="239" w:bottom="1440" w:gutter="0" w:footer="0" w:header="0"/>
        </w:sectPr>
      </w:pPr>
    </w:p>
    <w:bookmarkStart w:id="133" w:name="page134"/>
    <w:bookmarkEnd w:id="133"/>
    <w:p>
      <w:pPr>
        <w:ind w:left="1280" w:right="440" w:firstLine="653"/>
        <w:spacing w:after="0" w:line="253" w:lineRule="auto"/>
        <w:tabs>
          <w:tab w:leader="none" w:pos="2840" w:val="left"/>
        </w:tabs>
        <w:numPr>
          <w:ilvl w:val="1"/>
          <w:numId w:val="31"/>
        </w:numPr>
        <w:rPr>
          <w:rFonts w:ascii="Arial" w:cs="Arial" w:eastAsia="Arial" w:hAnsi="Arial"/>
          <w:sz w:val="22"/>
          <w:szCs w:val="22"/>
          <w:color w:val="auto"/>
        </w:rPr>
      </w:pPr>
      <w:r>
        <w:rPr>
          <w:rFonts w:ascii="Arial" w:cs="Arial" w:eastAsia="Arial" w:hAnsi="Arial"/>
          <w:sz w:val="22"/>
          <w:szCs w:val="22"/>
          <w:color w:val="auto"/>
        </w:rPr>
        <w:t>Other Land Base Rent for the Fourth Lease Year is equal to Fifty-One Million One Hundred Eleven Thousand Three Hundred Twenty-Four Dollars ($51,111,324). Other Land Base Rent shall be subject to further adjustment as provided for in the Master Lease.</w:t>
      </w:r>
    </w:p>
    <w:p>
      <w:pPr>
        <w:spacing w:after="0" w:line="226" w:lineRule="exact"/>
        <w:rPr>
          <w:rFonts w:ascii="Arial" w:cs="Arial" w:eastAsia="Arial" w:hAnsi="Arial"/>
          <w:sz w:val="22"/>
          <w:szCs w:val="22"/>
          <w:color w:val="auto"/>
        </w:rPr>
      </w:pPr>
    </w:p>
    <w:p>
      <w:pPr>
        <w:ind w:left="-20" w:right="160" w:firstLine="1305"/>
        <w:spacing w:after="0" w:line="253" w:lineRule="auto"/>
        <w:tabs>
          <w:tab w:leader="none" w:pos="2165" w:val="left"/>
        </w:tabs>
        <w:numPr>
          <w:ilvl w:val="0"/>
          <w:numId w:val="32"/>
        </w:numPr>
        <w:rPr>
          <w:rFonts w:ascii="Arial" w:cs="Arial" w:eastAsia="Arial" w:hAnsi="Arial"/>
          <w:sz w:val="22"/>
          <w:szCs w:val="22"/>
          <w:color w:val="auto"/>
        </w:rPr>
      </w:pPr>
      <w:r>
        <w:rPr>
          <w:rFonts w:ascii="Arial" w:cs="Arial" w:eastAsia="Arial" w:hAnsi="Arial"/>
          <w:sz w:val="22"/>
          <w:szCs w:val="22"/>
          <w:color w:val="auto"/>
        </w:rPr>
        <w:t>After giving effect to the adjustments required by the Master Lease from inception of the Master Lease through the date of this Amendment, the definition of “</w:t>
      </w:r>
      <w:r>
        <w:rPr>
          <w:rFonts w:ascii="Arial" w:cs="Arial" w:eastAsia="Arial" w:hAnsi="Arial"/>
          <w:sz w:val="22"/>
          <w:szCs w:val="22"/>
          <w:b w:val="1"/>
          <w:bCs w:val="1"/>
          <w:color w:val="auto"/>
        </w:rPr>
        <w:t>Percentage Rent</w:t>
      </w:r>
      <w:r>
        <w:rPr>
          <w:rFonts w:ascii="Arial" w:cs="Arial" w:eastAsia="Arial" w:hAnsi="Arial"/>
          <w:sz w:val="22"/>
          <w:szCs w:val="22"/>
          <w:color w:val="auto"/>
        </w:rPr>
        <w:t>” is hereby amended and restated in its entirety to read as follows:</w:t>
      </w:r>
    </w:p>
    <w:p>
      <w:pPr>
        <w:spacing w:after="0" w:line="226" w:lineRule="exact"/>
        <w:rPr>
          <w:sz w:val="20"/>
          <w:szCs w:val="20"/>
          <w:color w:val="auto"/>
        </w:rPr>
      </w:pPr>
    </w:p>
    <w:p>
      <w:pPr>
        <w:ind w:left="1280"/>
        <w:spacing w:after="0"/>
        <w:rPr>
          <w:sz w:val="20"/>
          <w:szCs w:val="20"/>
          <w:color w:val="auto"/>
        </w:rPr>
      </w:pPr>
      <w:r>
        <w:rPr>
          <w:rFonts w:ascii="Arial" w:cs="Arial" w:eastAsia="Arial" w:hAnsi="Arial"/>
          <w:sz w:val="19"/>
          <w:szCs w:val="19"/>
          <w:u w:val="single" w:color="auto"/>
          <w:color w:val="auto"/>
        </w:rPr>
        <w:t>Percentage Rent</w:t>
      </w:r>
      <w:r>
        <w:rPr>
          <w:rFonts w:ascii="Arial" w:cs="Arial" w:eastAsia="Arial" w:hAnsi="Arial"/>
          <w:sz w:val="19"/>
          <w:szCs w:val="19"/>
          <w:color w:val="auto"/>
        </w:rPr>
        <w:t>: The sum of (1) for all Facilities other than the CT Facilities, an annual amount equal to Fifty-One</w:t>
      </w:r>
    </w:p>
    <w:p>
      <w:pPr>
        <w:spacing w:after="0" w:line="56"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 xml:space="preserve">Million One Hundred Eleven Thousand Three Hundred Twenty-Four Dollars ($51,111,324);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w:t>
      </w:r>
    </w:p>
    <w:p>
      <w:pPr>
        <w:spacing w:after="0" w:line="38"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the Percentage Rent for all Facilities other than the CT Facilities shall be reset each Percentage Rent Reset Year to a</w:t>
      </w:r>
    </w:p>
    <w:p>
      <w:pPr>
        <w:spacing w:after="0" w:line="38"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fixed annual amount equal to the product of (i) four percent (4%) and (ii) the excess (if any) of (a) the average</w:t>
      </w:r>
    </w:p>
    <w:p>
      <w:pPr>
        <w:spacing w:after="0" w:line="38"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annual Net Revenues of all the Facilities other than the CT Facilities for the trailing five-year period (i.e., the first</w:t>
      </w:r>
    </w:p>
    <w:p>
      <w:pPr>
        <w:ind w:left="1280"/>
        <w:spacing w:after="0" w:line="236" w:lineRule="auto"/>
        <w:rPr>
          <w:sz w:val="20"/>
          <w:szCs w:val="20"/>
          <w:color w:val="auto"/>
        </w:rPr>
      </w:pPr>
      <w:r>
        <w:rPr>
          <w:rFonts w:ascii="Arial" w:cs="Arial" w:eastAsia="Arial" w:hAnsi="Arial"/>
          <w:sz w:val="20"/>
          <w:szCs w:val="20"/>
          <w:color w:val="auto"/>
        </w:rPr>
        <w:t>(1</w:t>
      </w:r>
      <w:r>
        <w:rPr>
          <w:rFonts w:ascii="Arial" w:cs="Arial" w:eastAsia="Arial" w:hAnsi="Arial"/>
          <w:sz w:val="26"/>
          <w:szCs w:val="26"/>
          <w:color w:val="auto"/>
          <w:vertAlign w:val="superscript"/>
        </w:rPr>
        <w:t>st</w:t>
      </w:r>
      <w:r>
        <w:rPr>
          <w:rFonts w:ascii="Arial" w:cs="Arial" w:eastAsia="Arial" w:hAnsi="Arial"/>
          <w:sz w:val="20"/>
          <w:szCs w:val="20"/>
          <w:color w:val="auto"/>
        </w:rPr>
        <w:t>) through fifth (5</w:t>
      </w:r>
      <w:r>
        <w:rPr>
          <w:rFonts w:ascii="Arial" w:cs="Arial" w:eastAsia="Arial" w:hAnsi="Arial"/>
          <w:sz w:val="26"/>
          <w:szCs w:val="26"/>
          <w:color w:val="auto"/>
          <w:vertAlign w:val="superscript"/>
        </w:rPr>
        <w:t>th</w:t>
      </w:r>
      <w:r>
        <w:rPr>
          <w:rFonts w:ascii="Arial" w:cs="Arial" w:eastAsia="Arial" w:hAnsi="Arial"/>
          <w:sz w:val="20"/>
          <w:szCs w:val="20"/>
          <w:color w:val="auto"/>
        </w:rPr>
        <w:t>) Lease Years, the sixth (6</w:t>
      </w:r>
      <w:r>
        <w:rPr>
          <w:rFonts w:ascii="Arial" w:cs="Arial" w:eastAsia="Arial" w:hAnsi="Arial"/>
          <w:sz w:val="26"/>
          <w:szCs w:val="26"/>
          <w:color w:val="auto"/>
          <w:vertAlign w:val="superscript"/>
        </w:rPr>
        <w:t>th</w:t>
      </w:r>
      <w:r>
        <w:rPr>
          <w:rFonts w:ascii="Arial" w:cs="Arial" w:eastAsia="Arial" w:hAnsi="Arial"/>
          <w:sz w:val="20"/>
          <w:szCs w:val="20"/>
          <w:color w:val="auto"/>
        </w:rPr>
        <w:t>) through tenth (10</w:t>
      </w:r>
      <w:r>
        <w:rPr>
          <w:rFonts w:ascii="Arial" w:cs="Arial" w:eastAsia="Arial" w:hAnsi="Arial"/>
          <w:sz w:val="26"/>
          <w:szCs w:val="26"/>
          <w:color w:val="auto"/>
          <w:vertAlign w:val="superscript"/>
        </w:rPr>
        <w:t>th</w:t>
      </w:r>
      <w:r>
        <w:rPr>
          <w:rFonts w:ascii="Arial" w:cs="Arial" w:eastAsia="Arial" w:hAnsi="Arial"/>
          <w:sz w:val="20"/>
          <w:szCs w:val="20"/>
          <w:color w:val="auto"/>
        </w:rPr>
        <w:t>) Lease Years, the eleventh (11</w:t>
      </w:r>
      <w:r>
        <w:rPr>
          <w:rFonts w:ascii="Arial" w:cs="Arial" w:eastAsia="Arial" w:hAnsi="Arial"/>
          <w:sz w:val="26"/>
          <w:szCs w:val="26"/>
          <w:color w:val="auto"/>
          <w:vertAlign w:val="superscript"/>
        </w:rPr>
        <w:t>th</w:t>
      </w:r>
      <w:r>
        <w:rPr>
          <w:rFonts w:ascii="Arial" w:cs="Arial" w:eastAsia="Arial" w:hAnsi="Arial"/>
          <w:sz w:val="20"/>
          <w:szCs w:val="20"/>
          <w:color w:val="auto"/>
        </w:rPr>
        <w:t>) though</w:t>
      </w:r>
    </w:p>
    <w:p>
      <w:pPr>
        <w:ind w:left="1280"/>
        <w:spacing w:after="0" w:line="214" w:lineRule="auto"/>
        <w:rPr>
          <w:sz w:val="20"/>
          <w:szCs w:val="20"/>
          <w:color w:val="auto"/>
        </w:rPr>
      </w:pPr>
      <w:r>
        <w:rPr>
          <w:rFonts w:ascii="Arial" w:cs="Arial" w:eastAsia="Arial" w:hAnsi="Arial"/>
          <w:sz w:val="19"/>
          <w:szCs w:val="19"/>
          <w:color w:val="auto"/>
        </w:rPr>
        <w:t>fifteenth (15th) Lease Years, the sixteenth (16</w:t>
      </w:r>
      <w:r>
        <w:rPr>
          <w:rFonts w:ascii="Arial" w:cs="Arial" w:eastAsia="Arial" w:hAnsi="Arial"/>
          <w:sz w:val="25"/>
          <w:szCs w:val="25"/>
          <w:color w:val="auto"/>
          <w:vertAlign w:val="superscript"/>
        </w:rPr>
        <w:t>th</w:t>
      </w:r>
      <w:r>
        <w:rPr>
          <w:rFonts w:ascii="Arial" w:cs="Arial" w:eastAsia="Arial" w:hAnsi="Arial"/>
          <w:sz w:val="19"/>
          <w:szCs w:val="19"/>
          <w:color w:val="auto"/>
        </w:rPr>
        <w:t>) through twentieth (20</w:t>
      </w:r>
      <w:r>
        <w:rPr>
          <w:rFonts w:ascii="Arial" w:cs="Arial" w:eastAsia="Arial" w:hAnsi="Arial"/>
          <w:sz w:val="25"/>
          <w:szCs w:val="25"/>
          <w:color w:val="auto"/>
          <w:vertAlign w:val="superscript"/>
        </w:rPr>
        <w:t>th</w:t>
      </w:r>
      <w:r>
        <w:rPr>
          <w:rFonts w:ascii="Arial" w:cs="Arial" w:eastAsia="Arial" w:hAnsi="Arial"/>
          <w:sz w:val="19"/>
          <w:szCs w:val="19"/>
          <w:color w:val="auto"/>
        </w:rPr>
        <w:t>) Lease Years, the twenty-first (21</w:t>
      </w:r>
      <w:r>
        <w:rPr>
          <w:rFonts w:ascii="Arial" w:cs="Arial" w:eastAsia="Arial" w:hAnsi="Arial"/>
          <w:sz w:val="25"/>
          <w:szCs w:val="25"/>
          <w:color w:val="auto"/>
          <w:vertAlign w:val="superscript"/>
        </w:rPr>
        <w:t>st</w:t>
      </w:r>
      <w:r>
        <w:rPr>
          <w:rFonts w:ascii="Arial" w:cs="Arial" w:eastAsia="Arial" w:hAnsi="Arial"/>
          <w:sz w:val="19"/>
          <w:szCs w:val="19"/>
          <w:color w:val="auto"/>
        </w:rPr>
        <w:t>) through</w:t>
      </w:r>
    </w:p>
    <w:p>
      <w:pPr>
        <w:ind w:left="1280"/>
        <w:spacing w:after="0" w:line="215" w:lineRule="auto"/>
        <w:rPr>
          <w:sz w:val="20"/>
          <w:szCs w:val="20"/>
          <w:color w:val="auto"/>
        </w:rPr>
      </w:pPr>
      <w:r>
        <w:rPr>
          <w:rFonts w:ascii="Arial" w:cs="Arial" w:eastAsia="Arial" w:hAnsi="Arial"/>
          <w:sz w:val="19"/>
          <w:szCs w:val="19"/>
          <w:color w:val="auto"/>
        </w:rPr>
        <w:t>twenty-fifth (25</w:t>
      </w:r>
      <w:r>
        <w:rPr>
          <w:rFonts w:ascii="Arial" w:cs="Arial" w:eastAsia="Arial" w:hAnsi="Arial"/>
          <w:sz w:val="25"/>
          <w:szCs w:val="25"/>
          <w:color w:val="auto"/>
          <w:vertAlign w:val="superscript"/>
        </w:rPr>
        <w:t>th</w:t>
      </w:r>
      <w:r>
        <w:rPr>
          <w:rFonts w:ascii="Arial" w:cs="Arial" w:eastAsia="Arial" w:hAnsi="Arial"/>
          <w:sz w:val="19"/>
          <w:szCs w:val="19"/>
          <w:color w:val="auto"/>
        </w:rPr>
        <w:t>) Lease Years and the twenty-sixth (26</w:t>
      </w:r>
      <w:r>
        <w:rPr>
          <w:rFonts w:ascii="Arial" w:cs="Arial" w:eastAsia="Arial" w:hAnsi="Arial"/>
          <w:sz w:val="25"/>
          <w:szCs w:val="25"/>
          <w:color w:val="auto"/>
          <w:vertAlign w:val="superscript"/>
        </w:rPr>
        <w:t>th</w:t>
      </w:r>
      <w:r>
        <w:rPr>
          <w:rFonts w:ascii="Arial" w:cs="Arial" w:eastAsia="Arial" w:hAnsi="Arial"/>
          <w:sz w:val="19"/>
          <w:szCs w:val="19"/>
          <w:color w:val="auto"/>
        </w:rPr>
        <w:t>) through thirtieth (30</w:t>
      </w:r>
      <w:r>
        <w:rPr>
          <w:rFonts w:ascii="Arial" w:cs="Arial" w:eastAsia="Arial" w:hAnsi="Arial"/>
          <w:sz w:val="25"/>
          <w:szCs w:val="25"/>
          <w:color w:val="auto"/>
          <w:vertAlign w:val="superscript"/>
        </w:rPr>
        <w:t>th</w:t>
      </w:r>
      <w:r>
        <w:rPr>
          <w:rFonts w:ascii="Arial" w:cs="Arial" w:eastAsia="Arial" w:hAnsi="Arial"/>
          <w:sz w:val="19"/>
          <w:szCs w:val="19"/>
          <w:color w:val="auto"/>
        </w:rPr>
        <w:t>) Lease Years) over (b) One Billion</w:t>
      </w:r>
    </w:p>
    <w:p>
      <w:pPr>
        <w:ind w:left="1280"/>
        <w:spacing w:after="0"/>
        <w:rPr>
          <w:sz w:val="20"/>
          <w:szCs w:val="20"/>
          <w:color w:val="auto"/>
        </w:rPr>
      </w:pPr>
      <w:r>
        <w:rPr>
          <w:rFonts w:ascii="Arial" w:cs="Arial" w:eastAsia="Arial" w:hAnsi="Arial"/>
          <w:sz w:val="22"/>
          <w:szCs w:val="22"/>
          <w:color w:val="auto"/>
        </w:rPr>
        <w:t>Two Hundred Seventy-Seven Million Seven Hundred Eighty-Three Thousand One Hundred Dollars</w:t>
      </w:r>
    </w:p>
    <w:p>
      <w:pPr>
        <w:spacing w:after="0" w:line="4"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($1,277,783,100), and (2) for the CT Facilities, a variable amount, determined monthly, equal to (i) 20% of the</w:t>
      </w:r>
    </w:p>
    <w:p>
      <w:pPr>
        <w:spacing w:after="0" w:line="38"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excess of actual Net Revenues of the month then ended for the CT Facilities over (ii) seventeen million, eight</w:t>
      </w:r>
    </w:p>
    <w:p>
      <w:pPr>
        <w:spacing w:after="0" w:line="38"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hundred fifty-seven thousand, two hundred forty-one Dollars ($17,857,241). For purposes of clause (a) in the</w:t>
      </w:r>
    </w:p>
    <w:p>
      <w:pPr>
        <w:spacing w:after="0" w:line="15"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preceding sentence, (x) in determining the “average annual Net Revenues” of any Development Facility added to the</w:t>
      </w:r>
    </w:p>
    <w:p>
      <w:pPr>
        <w:spacing w:after="0" w:line="38"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Leased Property hereunder during any such trailing five-year period, the “average annual Net Revenue” shall be</w:t>
      </w:r>
    </w:p>
    <w:p>
      <w:pPr>
        <w:spacing w:after="0" w:line="38"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calculated separately for each such Development Facility by using the actual Net Revenues for such Development</w:t>
      </w:r>
    </w:p>
    <w:p>
      <w:pPr>
        <w:spacing w:after="0" w:line="38"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Facility for such trailing five-year period divided by the time period during such trailing five-year period that the</w:t>
      </w:r>
    </w:p>
    <w:p>
      <w:pPr>
        <w:spacing w:after="0" w:line="38"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Development Facility was open commencing on the relevant Development Facility Commencement Date (with the</w:t>
      </w:r>
    </w:p>
    <w:p>
      <w:pPr>
        <w:spacing w:after="0" w:line="38"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average annual Net Revenues for each Development Facility then added to the average annual Net Revenues for the</w:t>
      </w:r>
    </w:p>
    <w:p>
      <w:pPr>
        <w:spacing w:after="0" w:line="38"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remaining Facilities), (y) in the case of any Leased Property Rent Adjustment Event other than with respect to a CT</w:t>
      </w:r>
    </w:p>
    <w:p>
      <w:pPr>
        <w:spacing w:after="0" w:line="38"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Facility, the "average annual Net Revenues" shall be calculated as if such Leased Property Rent Adjustment Event</w:t>
      </w:r>
    </w:p>
    <w:p>
      <w:pPr>
        <w:spacing w:after="0" w:line="38"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occurred on the first day of such trailing five-year period. Percentage Rent shall be subject to further adjustment as</w:t>
      </w:r>
    </w:p>
    <w:p>
      <w:pPr>
        <w:spacing w:after="0" w:line="38"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and to the extent provided in Section 14.6 and (z) in determining the “average annual Net Revenues” of the</w:t>
      </w:r>
    </w:p>
    <w:p>
      <w:pPr>
        <w:spacing w:after="0" w:line="15"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Additional Leased Property during the initial trailing five-year period, the “average annual Net Revenue” shall be</w:t>
      </w:r>
    </w:p>
    <w:p>
      <w:pPr>
        <w:spacing w:after="0" w:line="38"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calculated separately for the Additional Leased Property by using the actual Net Revenues for such Additional</w:t>
      </w:r>
    </w:p>
    <w:p>
      <w:pPr>
        <w:spacing w:after="0" w:line="38"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Leased Property received during such trailing five-year period divided by the time period during such trailing five-</w:t>
      </w:r>
    </w:p>
    <w:p>
      <w:pPr>
        <w:spacing w:after="0" w:line="38"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year period that the Additional Leased Property is part of the Master Lease (with the average annual Net Revenues</w:t>
      </w:r>
    </w:p>
    <w:p>
      <w:pPr>
        <w:spacing w:after="0" w:line="38" w:lineRule="exact"/>
        <w:rPr>
          <w:sz w:val="20"/>
          <w:szCs w:val="20"/>
          <w:color w:val="auto"/>
        </w:rPr>
      </w:pPr>
    </w:p>
    <w:p>
      <w:pPr>
        <w:ind w:left="1280"/>
        <w:spacing w:after="0"/>
        <w:rPr>
          <w:sz w:val="20"/>
          <w:szCs w:val="20"/>
          <w:color w:val="auto"/>
        </w:rPr>
      </w:pPr>
      <w:r>
        <w:rPr>
          <w:rFonts w:ascii="Arial" w:cs="Arial" w:eastAsia="Arial" w:hAnsi="Arial"/>
          <w:sz w:val="22"/>
          <w:szCs w:val="22"/>
          <w:color w:val="auto"/>
        </w:rPr>
        <w:t>for the Additional Leased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60" w:top="591" w:right="259" w:bottom="1440" w:gutter="0" w:footer="0" w:header="0"/>
        </w:sectPr>
      </w:pPr>
    </w:p>
    <w:bookmarkStart w:id="134" w:name="page135"/>
    <w:bookmarkEnd w:id="134"/>
    <w:p>
      <w:pPr>
        <w:ind w:left="1300"/>
        <w:spacing w:after="0"/>
        <w:rPr>
          <w:sz w:val="20"/>
          <w:szCs w:val="20"/>
          <w:color w:val="auto"/>
        </w:rPr>
      </w:pPr>
      <w:r>
        <w:rPr>
          <w:rFonts w:ascii="Arial" w:cs="Arial" w:eastAsia="Arial" w:hAnsi="Arial"/>
          <w:sz w:val="21"/>
          <w:szCs w:val="21"/>
          <w:color w:val="auto"/>
        </w:rPr>
        <w:t>then added to the average annual Net Revenues for the remaining Facilities and the Development Facilities).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TO SECTION 8.6 OF THE MASTER LEASE</w:t>
      </w:r>
    </w:p>
    <w:p>
      <w:pPr>
        <w:spacing w:after="0" w:line="202" w:lineRule="exact"/>
        <w:rPr>
          <w:sz w:val="20"/>
          <w:szCs w:val="20"/>
          <w:color w:val="auto"/>
        </w:rPr>
      </w:pPr>
    </w:p>
    <w:p>
      <w:pPr>
        <w:ind w:right="360" w:firstLine="648"/>
        <w:spacing w:after="0" w:line="253" w:lineRule="auto"/>
        <w:rPr>
          <w:sz w:val="20"/>
          <w:szCs w:val="20"/>
          <w:color w:val="auto"/>
        </w:rPr>
      </w:pPr>
      <w:r>
        <w:rPr>
          <w:rFonts w:ascii="Arial" w:cs="Arial" w:eastAsia="Arial" w:hAnsi="Arial"/>
          <w:sz w:val="22"/>
          <w:szCs w:val="22"/>
          <w:color w:val="auto"/>
        </w:rPr>
        <w:t>3.1 The following shall be added at the end of Section 8.6(a) of the Master Lease: “Notwithstanding anything to the contrary contained herein, with respect to those Ground Leases associated with the Additional Leased Property, the Tenant shall pay all rent due thereunder.”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TO SECTION 14.6 OF THE MASTER LEASE</w:t>
      </w:r>
    </w:p>
    <w:p>
      <w:pPr>
        <w:spacing w:after="0" w:line="242" w:lineRule="exact"/>
        <w:rPr>
          <w:sz w:val="20"/>
          <w:szCs w:val="20"/>
          <w:color w:val="auto"/>
        </w:rPr>
      </w:pPr>
    </w:p>
    <w:p>
      <w:pPr>
        <w:ind w:right="20" w:firstLine="648"/>
        <w:spacing w:after="0" w:line="297" w:lineRule="auto"/>
        <w:rPr>
          <w:sz w:val="20"/>
          <w:szCs w:val="20"/>
          <w:color w:val="auto"/>
        </w:rPr>
      </w:pPr>
      <w:r>
        <w:rPr>
          <w:rFonts w:ascii="Arial" w:cs="Arial" w:eastAsia="Arial" w:hAnsi="Arial"/>
          <w:sz w:val="19"/>
          <w:szCs w:val="19"/>
          <w:color w:val="auto"/>
        </w:rPr>
        <w:t>4.1 The following shall be added at the end of Section 14.6 of the Master Lease: “Notwithstanding anything to the contrary contained herein, in no event shall the termination of the Master Lease as to the Resorts Casino Tunica property, as identified on Annex A, as a result of Tenant discontinuing operations and forfeiting the Gaming License for such Additional Leased Property be considered a "Leased Property Rent Adjustment Event,” and no adjustments to Rent will be made as a result of the closure of the Resorts Casino Tunica property, including pursuant to Section 7.2(d) or elsewhere in the Master Lease.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TO ARTICLE XXXII OF THE MASTER LEASE</w:t>
      </w:r>
    </w:p>
    <w:p>
      <w:pPr>
        <w:spacing w:after="0" w:line="202" w:lineRule="exact"/>
        <w:rPr>
          <w:sz w:val="20"/>
          <w:szCs w:val="20"/>
          <w:color w:val="auto"/>
        </w:rPr>
      </w:pPr>
    </w:p>
    <w:p>
      <w:pPr>
        <w:ind w:right="480" w:firstLine="648"/>
        <w:spacing w:after="0" w:line="263" w:lineRule="auto"/>
        <w:rPr>
          <w:sz w:val="20"/>
          <w:szCs w:val="20"/>
          <w:color w:val="auto"/>
        </w:rPr>
      </w:pPr>
      <w:r>
        <w:rPr>
          <w:rFonts w:ascii="Arial" w:cs="Arial" w:eastAsia="Arial" w:hAnsi="Arial"/>
          <w:sz w:val="22"/>
          <w:szCs w:val="22"/>
          <w:color w:val="auto"/>
        </w:rPr>
        <w:t>As to the Additional Leased Property only, Article XXXII of the Master Lease shall not apply and, as to the Additional Leased Property only, the following shall apply:</w:t>
      </w:r>
    </w:p>
    <w:p>
      <w:pPr>
        <w:spacing w:after="0" w:line="16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b w:val="1"/>
          <w:bCs w:val="1"/>
          <w:u w:val="single" w:color="auto"/>
          <w:color w:val="auto"/>
        </w:rPr>
        <w:t>Hazardous Substances</w:t>
      </w:r>
      <w:r>
        <w:rPr>
          <w:rFonts w:ascii="Arial" w:cs="Arial" w:eastAsia="Arial" w:hAnsi="Arial"/>
          <w:sz w:val="19"/>
          <w:szCs w:val="19"/>
          <w:color w:val="auto"/>
        </w:rPr>
        <w:t xml:space="preserve">. Tenant shall not allow any Hazardous Substance to be located, stored, disposed of or released in, on, under or about the Additional Leased Property or incorporated into the Additional Leased Property Facilities;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Hazardous Substances may be brought, kept, used or disposed of in, on or about the Additional Leased Property in</w:t>
      </w:r>
      <w:r>
        <w:rPr>
          <w:rFonts w:ascii="Arial" w:cs="Arial" w:eastAsia="Arial" w:hAnsi="Arial"/>
          <w:sz w:val="19"/>
          <w:szCs w:val="19"/>
          <w:i w:val="1"/>
          <w:iCs w:val="1"/>
          <w:color w:val="auto"/>
        </w:rPr>
        <w:t xml:space="preserve"> </w:t>
      </w:r>
      <w:r>
        <w:rPr>
          <w:rFonts w:ascii="Arial" w:cs="Arial" w:eastAsia="Arial" w:hAnsi="Arial"/>
          <w:sz w:val="19"/>
          <w:szCs w:val="19"/>
          <w:color w:val="auto"/>
        </w:rPr>
        <w:t>quantities and for purposes similar to those brought, kept, used or disposed of in, on or about similar facilities used for purposes similar to the Primary Intended Use, including construction and maintenance of the facilities similar to the applicable Facility or to the extent in existence at any Facility, but only to the extent the same are brought, kept, used and disposed of in strict compliance with Legal Requirements. Tenant shall not allow the Additional Leased Property to be used as a waste disposal site or for the manufacturing, handling, storage, distribution or disposal of any Hazardous Substance other than in the ordinary course of the business conducted at the Additional Leased Property and in compliance with applicable Legal Requirements.</w:t>
      </w:r>
    </w:p>
    <w:p>
      <w:pPr>
        <w:spacing w:after="0" w:line="190"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b w:val="1"/>
          <w:bCs w:val="1"/>
          <w:u w:val="single" w:color="auto"/>
          <w:color w:val="auto"/>
        </w:rPr>
        <w:t>Notices</w:t>
      </w:r>
      <w:r>
        <w:rPr>
          <w:rFonts w:ascii="Arial" w:cs="Arial" w:eastAsia="Arial" w:hAnsi="Arial"/>
          <w:sz w:val="19"/>
          <w:szCs w:val="19"/>
          <w:color w:val="auto"/>
        </w:rPr>
        <w:t>. Tenant shall provide to Landlord, within five (5) Business Days after Tenant’s receipt thereof, a copy of any notice, or notification with respect to, (i) any violation of a Legal Requirement relating to Hazardous Substances located in, on, or under the Additional Leased Property or any adjacent property; (ii) any enforcement, cleanup, removal, or other governmental or regulatory action instituted, completed or threatened with respect to the Additional Leased Property; (iii) any claim made or threatened by any Person against Tenant or the Additional Leased Property relating to damage, contribution, cost recovery, compensation, loss, or injury resulting from or claimed to result from any Hazardous Substance; and (iv) 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1" w:right="239" w:bottom="1440" w:gutter="0" w:footer="0" w:header="0"/>
        </w:sectPr>
      </w:pPr>
    </w:p>
    <w:bookmarkStart w:id="135" w:name="page136"/>
    <w:bookmarkEnd w:id="135"/>
    <w:p>
      <w:pPr>
        <w:jc w:val="both"/>
        <w:spacing w:after="0" w:line="253" w:lineRule="auto"/>
        <w:rPr>
          <w:sz w:val="20"/>
          <w:szCs w:val="20"/>
          <w:color w:val="auto"/>
        </w:rPr>
      </w:pPr>
      <w:r>
        <w:rPr>
          <w:rFonts w:ascii="Arial" w:cs="Arial" w:eastAsia="Arial" w:hAnsi="Arial"/>
          <w:sz w:val="22"/>
          <w:szCs w:val="22"/>
          <w:color w:val="auto"/>
        </w:rPr>
        <w:t>reports made to any federal, state or local environmental agency arising out of or in connection with any Hazardous Substance in, on, under or removed from the Additional Leased Property, including any complaints, notices, warnings or asserted violations in connection therewith.</w:t>
      </w:r>
    </w:p>
    <w:p>
      <w:pPr>
        <w:spacing w:after="0" w:line="22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b w:val="1"/>
          <w:bCs w:val="1"/>
          <w:u w:val="single" w:color="auto"/>
          <w:color w:val="auto"/>
        </w:rPr>
        <w:t>Remediation</w:t>
      </w:r>
      <w:r>
        <w:rPr>
          <w:rFonts w:ascii="Arial" w:cs="Arial" w:eastAsia="Arial" w:hAnsi="Arial"/>
          <w:sz w:val="19"/>
          <w:szCs w:val="19"/>
          <w:color w:val="auto"/>
        </w:rPr>
        <w:t>. If Tenant becomes aware of a violation of any Legal Requirement relating to any Hazardous Substance in, on, under or about the Additional Leased Property or any adjacent property first occurring from and after the Effective Date, or if Tenant, Landlord or the Additional Leased Property becomes subject to any order of any federal, state or local agency to repair, close, detoxify, decontaminate or otherwise remediate the Additional Leased Property, Tenant shall promptly notify Landlord of such event and, subject to Section 5.5 below, at its sole cost and expense, cure such violation or effect such repair, closure, detoxification, decontamination or other remediation (or if migrating from adjacent properties or otherwise the responsibility of a third party, with Landlord’s consent not to be unreasonably withheld, shall use commercially reasonable efforts to take appropriate legal action to cause the third party to do so). If Tenant fails to implement and diligently pursue any such cure, repair, closure, detoxification, decontamination or other remediation, Landlord shall have the right, but not the obligation, upon prior written notice to Tenant, to carry out such action and to recover from Tenant all of Landlord’s reasonable costs and expenses incurred in connection therewith. In such an event, Tenant shall allow Landlord and Landlord's agents to have reasonable access to the Additional Leased Property at reasonable times in order to carry out Landlord's remediation activities.</w:t>
      </w:r>
    </w:p>
    <w:p>
      <w:pPr>
        <w:spacing w:after="0" w:line="19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b w:val="1"/>
          <w:bCs w:val="1"/>
          <w:u w:val="single" w:color="auto"/>
          <w:color w:val="auto"/>
        </w:rPr>
        <w:t>Indemnity by Tenant</w:t>
      </w:r>
      <w:r>
        <w:rPr>
          <w:rFonts w:ascii="Arial" w:cs="Arial" w:eastAsia="Arial" w:hAnsi="Arial"/>
          <w:sz w:val="19"/>
          <w:szCs w:val="19"/>
          <w:color w:val="auto"/>
        </w:rPr>
        <w:t>. Except as otherwise provided in this Amendment, Tenant shall indemnify, defend, protect, save, hold harmless, and reimburse Landlord and Landlord’s Affiliates, employees, agents and representatives (“</w:t>
      </w:r>
      <w:r>
        <w:rPr>
          <w:rFonts w:ascii="Arial" w:cs="Arial" w:eastAsia="Arial" w:hAnsi="Arial"/>
          <w:sz w:val="19"/>
          <w:szCs w:val="19"/>
          <w:b w:val="1"/>
          <w:bCs w:val="1"/>
          <w:color w:val="auto"/>
        </w:rPr>
        <w:t>Indemnitees</w:t>
      </w:r>
      <w:r>
        <w:rPr>
          <w:rFonts w:ascii="Arial" w:cs="Arial" w:eastAsia="Arial" w:hAnsi="Arial"/>
          <w:sz w:val="19"/>
          <w:szCs w:val="19"/>
          <w:color w:val="auto"/>
        </w:rPr>
        <w:t>”) for, from and against any and all costs, losses (including, losses of use or economic benefit or diminution in value), liabilities, damages, assessments, lawsuits, deficiencies, demands, claims and expenses (collectively, “</w:t>
      </w:r>
      <w:r>
        <w:rPr>
          <w:rFonts w:ascii="Arial" w:cs="Arial" w:eastAsia="Arial" w:hAnsi="Arial"/>
          <w:sz w:val="19"/>
          <w:szCs w:val="19"/>
          <w:b w:val="1"/>
          <w:bCs w:val="1"/>
          <w:color w:val="auto"/>
        </w:rPr>
        <w:t>Environmental Costs</w:t>
      </w:r>
      <w:r>
        <w:rPr>
          <w:rFonts w:ascii="Arial" w:cs="Arial" w:eastAsia="Arial" w:hAnsi="Arial"/>
          <w:sz w:val="19"/>
          <w:szCs w:val="19"/>
          <w:color w:val="auto"/>
        </w:rPr>
        <w:t>”) (whether or not arising out of third-party claims and regardless of whether liability without fault is imposed, or sought to be imposed, on such Indemnitees) incurred in connection with, arising out of, resulting from or incident to, directly or indirectly, during (but not before, subject to Section 5.5, or after) the Term or such portion thereof during which the Additional Leased Property is leased to Tenant (i) the production, use, generation, storage, treatment, transporting, disposal, discharge, release or other handling or disposition of any Hazardous Substances from, in, on or about the Additional Leased Property (collectively, “</w:t>
      </w:r>
      <w:r>
        <w:rPr>
          <w:rFonts w:ascii="Arial" w:cs="Arial" w:eastAsia="Arial" w:hAnsi="Arial"/>
          <w:sz w:val="19"/>
          <w:szCs w:val="19"/>
          <w:b w:val="1"/>
          <w:bCs w:val="1"/>
          <w:color w:val="auto"/>
        </w:rPr>
        <w:t>Handling</w:t>
      </w:r>
      <w:r>
        <w:rPr>
          <w:rFonts w:ascii="Arial" w:cs="Arial" w:eastAsia="Arial" w:hAnsi="Arial"/>
          <w:sz w:val="19"/>
          <w:szCs w:val="19"/>
          <w:color w:val="auto"/>
        </w:rPr>
        <w:t>”), including the effects of such Handling of any Hazardous Substances on any Person or property within or outside the boundaries of the Additional Leased Property, and (ii) the presence of any Hazardous Substances in, on, under or about the Additional Leased Property , solely to the extent such were introduced after the Effective Date, and (iii) the violation of any Environmental Law by Tenant or any third party other than Landlord acting on behalf of Tenant. “Environmental Costs” include interest, costs of response, removal, remedial action, containment, cleanup, investigation, abatement, encapsulation, design, engineering and construction, damages (including actual and consequential damages) for personal injuries and for injury or contamination to, destruction of or loss of property or natural resources, relocation or replacement costs, penalties, fines, charges or expenses, attorney’s fees, expert fees, consultation fees, and court costs, and all amounts paid in investigating, defending or settling any of the foregoing. For purposes of this Article V, “Environmental Laws” shall include: any and all federal, state, municipal and local laws, statutes, ordinances, rules, regulations, guidances, policies, orders, decrees or judgments, whether statutory or common law, as amended from time to time, now or hereafter in effect,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91" w:right="239" w:bottom="1440" w:gutter="0" w:footer="0" w:header="0"/>
        </w:sectPr>
      </w:pPr>
    </w:p>
    <w:bookmarkStart w:id="136" w:name="page137"/>
    <w:bookmarkEnd w:id="136"/>
    <w:p>
      <w:pPr>
        <w:jc w:val="both"/>
        <w:spacing w:after="0" w:line="261" w:lineRule="auto"/>
        <w:rPr>
          <w:sz w:val="20"/>
          <w:szCs w:val="20"/>
          <w:color w:val="auto"/>
        </w:rPr>
      </w:pPr>
      <w:r>
        <w:rPr>
          <w:rFonts w:ascii="Arial" w:cs="Arial" w:eastAsia="Arial" w:hAnsi="Arial"/>
          <w:sz w:val="21"/>
          <w:szCs w:val="21"/>
          <w:color w:val="auto"/>
        </w:rPr>
        <w:t>promulgated, pertaining to the environment, public health and safety and industrial hygiene, including, without limitation, the use, generation, manufacture, production, storage, release, discharge, disposal, handling, treatment, removal, decontamination, cleanup, transportation or regulation of any Hazardous Substance, including, without limitation, such applicable provisions in the Clean Air Act, the Clean Water Act, the Toxic Substances Control Act, the Comprehensive Environmental Response Compensation and Liability Act, the Resource Conservation and Recovery Act, the Federal Insecticide, Fungicide, Rodenticide Act, the Safe Drinking Water Act, and the Occupational Safety and Health Act.</w:t>
      </w:r>
    </w:p>
    <w:p>
      <w:pPr>
        <w:spacing w:after="0" w:line="22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Without limiting the scope or generality of the foregoing, Tenant expressly agrees that, in the event of a breach by Tenant in its obligations under this Section 5.4 which is not cured within any applicable cure period, Tenant shall reimburse Landlord for any and all reasonable costs and expenses incurred by Landlord under the terms of this Amendment in connection with, arising out of, resulting from or incident to, directly or indirectly, during (but not before or after except with respect to any period of time in which the Tenant or its Affiliates were in possession and control of the Additional Leased Property) the Term or such portion thereof during which the Additional Leased Property is leased to Tenant of the following:</w:t>
      </w:r>
    </w:p>
    <w:p>
      <w:pPr>
        <w:spacing w:after="0" w:line="150" w:lineRule="exact"/>
        <w:rPr>
          <w:sz w:val="20"/>
          <w:szCs w:val="20"/>
          <w:color w:val="auto"/>
        </w:rPr>
      </w:pPr>
    </w:p>
    <w:p>
      <w:pPr>
        <w:ind w:right="20" w:firstLine="656"/>
        <w:spacing w:after="0" w:line="263" w:lineRule="auto"/>
        <w:tabs>
          <w:tab w:leader="none" w:pos="1114" w:val="left"/>
        </w:tabs>
        <w:numPr>
          <w:ilvl w:val="0"/>
          <w:numId w:val="33"/>
        </w:numPr>
        <w:rPr>
          <w:rFonts w:ascii="Arial" w:cs="Arial" w:eastAsia="Arial" w:hAnsi="Arial"/>
          <w:sz w:val="22"/>
          <w:szCs w:val="22"/>
          <w:color w:val="auto"/>
        </w:rPr>
      </w:pPr>
      <w:r>
        <w:rPr>
          <w:rFonts w:ascii="Arial" w:cs="Arial" w:eastAsia="Arial" w:hAnsi="Arial"/>
          <w:sz w:val="22"/>
          <w:szCs w:val="22"/>
          <w:color w:val="auto"/>
        </w:rPr>
        <w:t>In investigating any and all matters relating to the Handling of any Hazardous Substances, in, on, from, under or about the Additional Leased Property;</w:t>
      </w:r>
    </w:p>
    <w:p>
      <w:pPr>
        <w:spacing w:after="0" w:line="215" w:lineRule="exact"/>
        <w:rPr>
          <w:rFonts w:ascii="Arial" w:cs="Arial" w:eastAsia="Arial" w:hAnsi="Arial"/>
          <w:sz w:val="22"/>
          <w:szCs w:val="22"/>
          <w:color w:val="auto"/>
        </w:rPr>
      </w:pPr>
    </w:p>
    <w:p>
      <w:pPr>
        <w:ind w:left="1120" w:hanging="464"/>
        <w:spacing w:after="0"/>
        <w:tabs>
          <w:tab w:leader="none" w:pos="1120" w:val="left"/>
        </w:tabs>
        <w:numPr>
          <w:ilvl w:val="0"/>
          <w:numId w:val="33"/>
        </w:numPr>
        <w:rPr>
          <w:rFonts w:ascii="Arial" w:cs="Arial" w:eastAsia="Arial" w:hAnsi="Arial"/>
          <w:sz w:val="22"/>
          <w:szCs w:val="22"/>
          <w:color w:val="auto"/>
        </w:rPr>
      </w:pPr>
      <w:r>
        <w:rPr>
          <w:rFonts w:ascii="Arial" w:cs="Arial" w:eastAsia="Arial" w:hAnsi="Arial"/>
          <w:sz w:val="22"/>
          <w:szCs w:val="22"/>
          <w:color w:val="auto"/>
        </w:rPr>
        <w:t>In bringing the Additional Leased Property into compliance with all Legal Requirements; and</w:t>
      </w:r>
    </w:p>
    <w:p>
      <w:pPr>
        <w:spacing w:after="0" w:line="260" w:lineRule="exact"/>
        <w:rPr>
          <w:rFonts w:ascii="Arial" w:cs="Arial" w:eastAsia="Arial" w:hAnsi="Arial"/>
          <w:sz w:val="22"/>
          <w:szCs w:val="22"/>
          <w:color w:val="auto"/>
        </w:rPr>
      </w:pPr>
    </w:p>
    <w:p>
      <w:pPr>
        <w:jc w:val="both"/>
        <w:ind w:firstLine="656"/>
        <w:spacing w:after="0" w:line="312" w:lineRule="auto"/>
        <w:tabs>
          <w:tab w:leader="none" w:pos="1209" w:val="left"/>
        </w:tabs>
        <w:numPr>
          <w:ilvl w:val="0"/>
          <w:numId w:val="33"/>
        </w:numPr>
        <w:rPr>
          <w:rFonts w:ascii="Arial" w:cs="Arial" w:eastAsia="Arial" w:hAnsi="Arial"/>
          <w:sz w:val="19"/>
          <w:szCs w:val="19"/>
          <w:color w:val="auto"/>
        </w:rPr>
      </w:pPr>
      <w:r>
        <w:rPr>
          <w:rFonts w:ascii="Arial" w:cs="Arial" w:eastAsia="Arial" w:hAnsi="Arial"/>
          <w:sz w:val="19"/>
          <w:szCs w:val="19"/>
          <w:color w:val="auto"/>
        </w:rPr>
        <w:t>Removing, treating, storing, transporting, cleaning-up and/or disposing of any Hazardous Substances used, stored, generated, released or disposed of in, on, from, under or about the Additional Leased Property or off-site other than in the ordinary course of the business conducted at the Additional Leased Property and in compliance with applicable Legal Requirements.</w:t>
      </w:r>
    </w:p>
    <w:p>
      <w:pPr>
        <w:spacing w:after="0" w:line="174" w:lineRule="exact"/>
        <w:rPr>
          <w:sz w:val="20"/>
          <w:szCs w:val="20"/>
          <w:color w:val="auto"/>
        </w:rPr>
      </w:pPr>
    </w:p>
    <w:p>
      <w:pPr>
        <w:ind w:right="100" w:firstLine="324"/>
        <w:spacing w:after="0" w:line="250" w:lineRule="auto"/>
        <w:rPr>
          <w:sz w:val="20"/>
          <w:szCs w:val="20"/>
          <w:color w:val="auto"/>
        </w:rPr>
      </w:pPr>
      <w:r>
        <w:rPr>
          <w:rFonts w:ascii="Arial" w:cs="Arial" w:eastAsia="Arial" w:hAnsi="Arial"/>
          <w:sz w:val="22"/>
          <w:szCs w:val="22"/>
          <w:color w:val="auto"/>
        </w:rPr>
        <w:t>If any claim is made by Landlord for reimbursement for Environmental Costs incurred by it hereunder, Tenant agrees to pay such claim promptly, and in any event to pay such claim within sixty (60) calendar days after receipt by Tenant of written notice thereof and any amount not so paid within such sixty (60) calendar day period shall bear interest at the Overdue Rate from the date due to the date paid in full.</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5.5 </w:t>
      </w:r>
      <w:r>
        <w:rPr>
          <w:rFonts w:ascii="Arial" w:cs="Arial" w:eastAsia="Arial" w:hAnsi="Arial"/>
          <w:sz w:val="21"/>
          <w:szCs w:val="21"/>
          <w:b w:val="1"/>
          <w:bCs w:val="1"/>
          <w:u w:val="single" w:color="auto"/>
          <w:color w:val="auto"/>
        </w:rPr>
        <w:t>Indemnity by Landlord</w:t>
      </w:r>
      <w:r>
        <w:rPr>
          <w:rFonts w:ascii="Arial" w:cs="Arial" w:eastAsia="Arial" w:hAnsi="Arial"/>
          <w:sz w:val="21"/>
          <w:szCs w:val="21"/>
          <w:color w:val="auto"/>
        </w:rPr>
        <w:t>. Notwithstanding anything set forth in this Article V to the contrary, Landlord shall be responsible for and shall indemnify, defend, protect, save, hold harmless, and reimburse Tenant and Tenant’s Affiliates, employees, agents and representatives (“</w:t>
      </w:r>
      <w:r>
        <w:rPr>
          <w:rFonts w:ascii="Arial" w:cs="Arial" w:eastAsia="Arial" w:hAnsi="Arial"/>
          <w:sz w:val="21"/>
          <w:szCs w:val="21"/>
          <w:b w:val="1"/>
          <w:bCs w:val="1"/>
          <w:color w:val="auto"/>
        </w:rPr>
        <w:t>Tenant Indemnitees</w:t>
      </w:r>
      <w:r>
        <w:rPr>
          <w:rFonts w:ascii="Arial" w:cs="Arial" w:eastAsia="Arial" w:hAnsi="Arial"/>
          <w:sz w:val="21"/>
          <w:szCs w:val="21"/>
          <w:color w:val="auto"/>
        </w:rPr>
        <w:t>”) for, from and against any and all Environmental Costs (whether or not arising out of third-party claims and regardless of whether liability without fault is imposed, or sought to be imposed, on Tenant Indemnitees) incurred in connection with, arising out of, resulting from or incident to, directly or indirectly, before or during (but not after) the Term or such portion thereof, any Pre-Existing Environmental Conditions (as hereinafter defined), provided that such Environmental Costs (including but not limited to the cost of investigation, removal, remediation, restoration, abatement or encapsulation of any Pre-Existing Environmental Conditions in accordance with applicable Environmental Law) are not incurred solely as a result of 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91" w:right="239" w:bottom="1440" w:gutter="0" w:footer="0" w:header="0"/>
        </w:sectPr>
      </w:pPr>
    </w:p>
    <w:bookmarkStart w:id="137" w:name="page138"/>
    <w:bookmarkEnd w:id="137"/>
    <w:p>
      <w:pPr>
        <w:jc w:val="both"/>
        <w:spacing w:after="0" w:line="285" w:lineRule="auto"/>
        <w:rPr>
          <w:sz w:val="20"/>
          <w:szCs w:val="20"/>
          <w:color w:val="auto"/>
        </w:rPr>
      </w:pPr>
      <w:r>
        <w:rPr>
          <w:rFonts w:ascii="Arial" w:cs="Arial" w:eastAsia="Arial" w:hAnsi="Arial"/>
          <w:sz w:val="19"/>
          <w:szCs w:val="19"/>
          <w:color w:val="auto"/>
        </w:rPr>
        <w:t xml:space="preserve">connection with any discretionary renovation, remodeling or expansion activities performed or to be performed by Tenant in, on or about the Additional Leased Property during the Term, in which case Tenant shall be solely responsible for, and shall indemnify, defend, protect, save, hold harmless and reimburse any Indemnitees for, such Environmental Costs in accordance with this Article V;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any maintenance, repair, Capital Improvements or other alterations, modifications and/or additions undertaken by Tenant that is required under the Master Lease or is required in order to comply with any and all Legal Requirements shall not be considered discretionary renovation, remodeling or expansion activities. Should any test boring or other investigatory work by or for Tenant reveal the presence of Pre-Existing Environmental Conditions, such test boring or other investigative work shall not be considered to be part of any discretionary renovation, remodeling or expansion activities of Tenant (and therefore Environmental Costs associated with the investigation, removal, remediation, restoration, abatement or encapsulation of such Pre-Existing Environmental Conditions shall be borne by Landlord) unless and until Tenant makes an affirmative decision to proceed with such discretionary renovation, remodeling or expansion activities, in which case Tenant shall be solely responsible for the Environmental Costs associated with the investigation, removal, remediation, restoration, abatement or encapsulation of such Pre-Existing Environmental Conditions revealed by such test boring or other investigatory work, in accordance with this Article IV. “</w:t>
      </w:r>
      <w:r>
        <w:rPr>
          <w:rFonts w:ascii="Arial" w:cs="Arial" w:eastAsia="Arial" w:hAnsi="Arial"/>
          <w:sz w:val="19"/>
          <w:szCs w:val="19"/>
          <w:b w:val="1"/>
          <w:bCs w:val="1"/>
          <w:color w:val="auto"/>
        </w:rPr>
        <w:t>Pre-Existing Environmental Conditions</w:t>
      </w:r>
      <w:r>
        <w:rPr>
          <w:rFonts w:ascii="Arial" w:cs="Arial" w:eastAsia="Arial" w:hAnsi="Arial"/>
          <w:sz w:val="19"/>
          <w:szCs w:val="19"/>
          <w:color w:val="auto"/>
        </w:rPr>
        <w:t>" means (i) any condition that may exist at or on the Additional Leased Property on or prior to the Effective Date with respect to contamination of soil, surface or ground waters, stream sediments, and every other environmental media, (ii) any Hazardous Substances located in, on or about the Additional Leased Property on or prior to the Effective Date and (iii) any Hazardous Substances that have migrated from the Additional Leased Property prior to the Effective Date.</w:t>
      </w:r>
    </w:p>
    <w:p>
      <w:pPr>
        <w:spacing w:after="0" w:line="200" w:lineRule="exact"/>
        <w:rPr>
          <w:sz w:val="20"/>
          <w:szCs w:val="20"/>
          <w:color w:val="auto"/>
        </w:rPr>
      </w:pPr>
    </w:p>
    <w:p>
      <w:pPr>
        <w:spacing w:after="0" w:line="25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5.6 </w:t>
      </w:r>
      <w:r>
        <w:rPr>
          <w:rFonts w:ascii="Arial" w:cs="Arial" w:eastAsia="Arial" w:hAnsi="Arial"/>
          <w:sz w:val="19"/>
          <w:szCs w:val="19"/>
          <w:b w:val="1"/>
          <w:bCs w:val="1"/>
          <w:u w:val="single" w:color="auto"/>
          <w:color w:val="auto"/>
        </w:rPr>
        <w:t>Environmental Inspections</w:t>
      </w:r>
      <w:r>
        <w:rPr>
          <w:rFonts w:ascii="Arial" w:cs="Arial" w:eastAsia="Arial" w:hAnsi="Arial"/>
          <w:sz w:val="19"/>
          <w:szCs w:val="19"/>
          <w:color w:val="auto"/>
        </w:rPr>
        <w:t>. In the event Landlord has a reasonable basis to believe that Tenant is in breach of its obligations under this Article V, Landlord shall have the right, from time to time, during normal business hours, in a reasonable manner and upon not less than five (5) days’ written notice to Tenant, except in the case of an emergency in which event no notice shall be required, to conduct an inspection of the Additional Leased Property to determine the existence or presence of Hazardous Substances on or about the Additional Leased Property. Landlord shall have the right to enter and inspect the Additional Leased Property, conduct any testing, sampling and analyses it deems necessary and shall have the right to inspect materials brought into the Additional Leased Property. Landlord may, in its discretion, retain such experts to conduct the inspection, perform the tests referred to herein, and to prepare a written report in connection therewith. All reasonable costs and expenses incurred by Landlord under this Section shall be paid on demand as Additional Charges by Tenant to Landlord. Failure to conduct an environmental inspection or to detect unfavorable conditions if such inspection is conducted shall in no fashion be intended as a release of any liability for environmental conditions subsequently determined to be associated with or to have occurred during Tenant’s tenancy. Tenant shall remain liable for any environmental condition related to or having occurred during its tenancy regardless of when such conditions are discovered and regardless of whether or not Landlord conducts an environmental inspection at the termination of the Master Lease. The obligations set forth in this Article shall survive the expiration or earlier termination of the Master Lease.</w:t>
      </w:r>
    </w:p>
    <w:p>
      <w:pPr>
        <w:spacing w:after="0" w:line="191"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 xml:space="preserve">5.7 </w:t>
      </w:r>
      <w:r>
        <w:rPr>
          <w:rFonts w:ascii="Arial" w:cs="Arial" w:eastAsia="Arial" w:hAnsi="Arial"/>
          <w:sz w:val="22"/>
          <w:szCs w:val="22"/>
          <w:b w:val="1"/>
          <w:bCs w:val="1"/>
          <w:u w:val="single" w:color="auto"/>
          <w:color w:val="auto"/>
        </w:rPr>
        <w:t>Bally’s Casino Tunica Hotel</w:t>
      </w:r>
      <w:r>
        <w:rPr>
          <w:rFonts w:ascii="Arial" w:cs="Arial" w:eastAsia="Arial" w:hAnsi="Arial"/>
          <w:sz w:val="22"/>
          <w:szCs w:val="22"/>
          <w:color w:val="auto"/>
        </w:rPr>
        <w:t>. Notwithstanding anything to contrary contained herein, Pre-Existing Environmental Conditions present in the hotel at the Bally’s Casino Tunica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91" w:right="239" w:bottom="1440" w:gutter="0" w:footer="0" w:header="0"/>
        </w:sectPr>
      </w:pPr>
    </w:p>
    <w:bookmarkStart w:id="138" w:name="page139"/>
    <w:bookmarkEnd w:id="138"/>
    <w:p>
      <w:pPr>
        <w:spacing w:after="0" w:line="263" w:lineRule="auto"/>
        <w:rPr>
          <w:sz w:val="20"/>
          <w:szCs w:val="20"/>
          <w:color w:val="auto"/>
        </w:rPr>
      </w:pPr>
      <w:r>
        <w:rPr>
          <w:rFonts w:ascii="Arial" w:cs="Arial" w:eastAsia="Arial" w:hAnsi="Arial"/>
          <w:sz w:val="22"/>
          <w:szCs w:val="22"/>
          <w:color w:val="auto"/>
        </w:rPr>
        <w:t>property are not covered the provisions of Section 5.5 above. Tenant has assumed responsibility for, and Landlord hereby consents to, the destruction and removal of the hotel building.</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TO EXHIBIT B TO MASTER LEASE</w:t>
      </w:r>
    </w:p>
    <w:p>
      <w:pPr>
        <w:spacing w:after="0" w:line="202" w:lineRule="exact"/>
        <w:rPr>
          <w:sz w:val="20"/>
          <w:szCs w:val="20"/>
          <w:color w:val="auto"/>
        </w:rPr>
      </w:pPr>
    </w:p>
    <w:p>
      <w:pPr>
        <w:ind w:right="620" w:firstLine="648"/>
        <w:spacing w:after="0" w:line="263" w:lineRule="auto"/>
        <w:rPr>
          <w:sz w:val="20"/>
          <w:szCs w:val="20"/>
          <w:color w:val="auto"/>
        </w:rPr>
      </w:pPr>
      <w:r>
        <w:rPr>
          <w:rFonts w:ascii="Arial" w:cs="Arial" w:eastAsia="Arial" w:hAnsi="Arial"/>
          <w:sz w:val="22"/>
          <w:szCs w:val="22"/>
          <w:color w:val="auto"/>
        </w:rPr>
        <w:t>6.1 Exhibit B to the Master Lease, as it relates to the following Facility only, is hereby amended to modify the legal descriptions of the following Facility:</w:t>
      </w:r>
    </w:p>
    <w:p>
      <w:pPr>
        <w:spacing w:after="0" w:line="215" w:lineRule="exact"/>
        <w:rPr>
          <w:sz w:val="20"/>
          <w:szCs w:val="20"/>
          <w:color w:val="auto"/>
        </w:rPr>
      </w:pPr>
    </w:p>
    <w:p>
      <w:pPr>
        <w:ind w:left="660" w:right="140" w:firstLine="645"/>
        <w:spacing w:after="0" w:line="251" w:lineRule="auto"/>
        <w:tabs>
          <w:tab w:leader="none" w:pos="1698" w:val="left"/>
        </w:tabs>
        <w:numPr>
          <w:ilvl w:val="0"/>
          <w:numId w:val="34"/>
        </w:numPr>
        <w:rPr>
          <w:rFonts w:ascii="Arial" w:cs="Arial" w:eastAsia="Arial" w:hAnsi="Arial"/>
          <w:sz w:val="22"/>
          <w:szCs w:val="22"/>
          <w:color w:val="auto"/>
        </w:rPr>
      </w:pPr>
      <w:r>
        <w:rPr>
          <w:rFonts w:ascii="Arial" w:cs="Arial" w:eastAsia="Arial" w:hAnsi="Arial"/>
          <w:sz w:val="22"/>
          <w:szCs w:val="22"/>
          <w:color w:val="auto"/>
        </w:rPr>
        <w:t>Hollywood Casino Lawrenceburg. That portion of the Leased Property that has been conveyed by Landlord to the City of Greendale, Indiana by deed dated February 2, 2016 and recorded on February 4, 2016 (Instrument Number 20160000693, Dearborn County Recorder's records) is hereby removed from the description of the Leased Property with respect to the Hollywood Casino Lawrenceburg, Lawrenceburg, Indiana. The portion of the Leased Property so removed is set forth in Annex B-1 attached hereto.</w:t>
      </w:r>
    </w:p>
    <w:p>
      <w:pPr>
        <w:spacing w:after="0" w:line="200" w:lineRule="exact"/>
        <w:rPr>
          <w:sz w:val="20"/>
          <w:szCs w:val="20"/>
          <w:color w:val="auto"/>
        </w:rPr>
      </w:pPr>
    </w:p>
    <w:p>
      <w:pPr>
        <w:spacing w:after="0" w:line="240" w:lineRule="exact"/>
        <w:rPr>
          <w:sz w:val="20"/>
          <w:szCs w:val="20"/>
          <w:color w:val="auto"/>
        </w:rPr>
      </w:pPr>
    </w:p>
    <w:p>
      <w:pPr>
        <w:ind w:left="5360"/>
        <w:spacing w:after="0"/>
        <w:rPr>
          <w:sz w:val="20"/>
          <w:szCs w:val="20"/>
          <w:color w:val="auto"/>
        </w:rPr>
      </w:pPr>
      <w:r>
        <w:rPr>
          <w:rFonts w:ascii="Arial" w:cs="Arial" w:eastAsia="Arial" w:hAnsi="Arial"/>
          <w:sz w:val="22"/>
          <w:szCs w:val="22"/>
          <w:b w:val="1"/>
          <w:bCs w:val="1"/>
          <w:color w:val="auto"/>
        </w:rPr>
        <w:t>ARTICLE VII</w:t>
      </w:r>
    </w:p>
    <w:p>
      <w:pPr>
        <w:spacing w:after="0" w:line="28" w:lineRule="exact"/>
        <w:rPr>
          <w:sz w:val="20"/>
          <w:szCs w:val="20"/>
          <w:color w:val="auto"/>
        </w:rPr>
      </w:pPr>
    </w:p>
    <w:p>
      <w:pPr>
        <w:ind w:left="3360"/>
        <w:spacing w:after="0"/>
        <w:rPr>
          <w:sz w:val="20"/>
          <w:szCs w:val="20"/>
          <w:color w:val="auto"/>
        </w:rPr>
      </w:pPr>
      <w:r>
        <w:rPr>
          <w:rFonts w:ascii="Arial" w:cs="Arial" w:eastAsia="Arial" w:hAnsi="Arial"/>
          <w:sz w:val="22"/>
          <w:szCs w:val="22"/>
          <w:b w:val="1"/>
          <w:bCs w:val="1"/>
          <w:color w:val="auto"/>
        </w:rPr>
        <w:t>AMENDMENT TO MEMORANDUM OF LEASE</w:t>
      </w:r>
    </w:p>
    <w:p>
      <w:pPr>
        <w:spacing w:after="0" w:line="202" w:lineRule="exact"/>
        <w:rPr>
          <w:sz w:val="20"/>
          <w:szCs w:val="20"/>
          <w:color w:val="auto"/>
        </w:rPr>
      </w:pPr>
    </w:p>
    <w:p>
      <w:pPr>
        <w:ind w:right="140"/>
        <w:spacing w:after="0" w:line="297" w:lineRule="auto"/>
        <w:rPr>
          <w:sz w:val="20"/>
          <w:szCs w:val="20"/>
          <w:color w:val="auto"/>
        </w:rPr>
      </w:pPr>
      <w:r>
        <w:rPr>
          <w:rFonts w:ascii="Arial" w:cs="Arial" w:eastAsia="Arial" w:hAnsi="Arial"/>
          <w:sz w:val="19"/>
          <w:szCs w:val="19"/>
          <w:color w:val="auto"/>
        </w:rPr>
        <w:t>Landlord and Tenant shall enter into one or more amendments to any memorandum of lease which may be been recorded in accordance with Article XXXIII of the Master Lease, in form suitable for recording in each county or other application location in which a Leased Property is located which amendment is pursuant to this Amendment. Tenant shall pay all costs and expenses of recording any such amendment to memorandum and shall fully cooperate with Landlord in removing from record any such memorandum upon the expiration or earlier termination of the Term with respect to the applicable Facility.</w:t>
      </w:r>
    </w:p>
    <w:p>
      <w:pPr>
        <w:spacing w:after="0" w:line="357" w:lineRule="exact"/>
        <w:rPr>
          <w:sz w:val="20"/>
          <w:szCs w:val="20"/>
          <w:color w:val="auto"/>
        </w:rPr>
      </w:pPr>
    </w:p>
    <w:p>
      <w:pPr>
        <w:ind w:left="5320"/>
        <w:spacing w:after="0"/>
        <w:rPr>
          <w:sz w:val="20"/>
          <w:szCs w:val="20"/>
          <w:color w:val="auto"/>
        </w:rPr>
      </w:pPr>
      <w:r>
        <w:rPr>
          <w:rFonts w:ascii="Arial" w:cs="Arial" w:eastAsia="Arial" w:hAnsi="Arial"/>
          <w:sz w:val="22"/>
          <w:szCs w:val="22"/>
          <w:b w:val="1"/>
          <w:bCs w:val="1"/>
          <w:color w:val="auto"/>
        </w:rPr>
        <w:t>ARTICLE VIII</w:t>
      </w:r>
    </w:p>
    <w:p>
      <w:pPr>
        <w:spacing w:after="0" w:line="28" w:lineRule="exact"/>
        <w:rPr>
          <w:sz w:val="20"/>
          <w:szCs w:val="20"/>
          <w:color w:val="auto"/>
        </w:rPr>
      </w:pPr>
    </w:p>
    <w:p>
      <w:pPr>
        <w:ind w:left="3400"/>
        <w:spacing w:after="0"/>
        <w:rPr>
          <w:sz w:val="20"/>
          <w:szCs w:val="20"/>
          <w:color w:val="auto"/>
        </w:rPr>
      </w:pPr>
      <w:r>
        <w:rPr>
          <w:rFonts w:ascii="Arial" w:cs="Arial" w:eastAsia="Arial" w:hAnsi="Arial"/>
          <w:sz w:val="22"/>
          <w:szCs w:val="22"/>
          <w:b w:val="1"/>
          <w:bCs w:val="1"/>
          <w:color w:val="auto"/>
        </w:rPr>
        <w:t>AUTHORITY TO ENTER INTO AMENDMENT</w:t>
      </w:r>
    </w:p>
    <w:p>
      <w:pPr>
        <w:spacing w:after="0" w:line="242" w:lineRule="exact"/>
        <w:rPr>
          <w:sz w:val="20"/>
          <w:szCs w:val="20"/>
          <w:color w:val="auto"/>
        </w:rPr>
      </w:pPr>
    </w:p>
    <w:p>
      <w:pPr>
        <w:spacing w:after="0" w:line="261" w:lineRule="auto"/>
        <w:rPr>
          <w:sz w:val="20"/>
          <w:szCs w:val="20"/>
          <w:color w:val="auto"/>
        </w:rPr>
      </w:pPr>
      <w:r>
        <w:rPr>
          <w:rFonts w:ascii="Arial" w:cs="Arial" w:eastAsia="Arial" w:hAnsi="Arial"/>
          <w:sz w:val="21"/>
          <w:szCs w:val="21"/>
          <w:color w:val="auto"/>
        </w:rPr>
        <w:t>Each party represents and warrants to the other that: (i) this Amendment and all other documents executed or to be executed by it in connection herewith have been duly authorized and shall be binding upon it; (ii) it is duly organized, validly existing and in good standing under the laws of the state of its formation and is duly authorized and qualified to perform this Amendment and the Master Lease, as amended hereby, within the State(s) where any portion of the Leased Property is located, and (iii) neither this Amendment, the Master Lease, as amended hereby, nor any other document executed or to be executed in connection herewith violates the terms of any other agreement of such party.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IX</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MISCELLANEOUS</w:t>
      </w:r>
    </w:p>
    <w:p>
      <w:pPr>
        <w:spacing w:after="0" w:line="236" w:lineRule="exact"/>
        <w:rPr>
          <w:sz w:val="20"/>
          <w:szCs w:val="20"/>
          <w:color w:val="auto"/>
        </w:rPr>
      </w:pPr>
    </w:p>
    <w:p>
      <w:pPr>
        <w:ind w:firstLine="648"/>
        <w:spacing w:after="0" w:line="315" w:lineRule="auto"/>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b w:val="1"/>
          <w:bCs w:val="1"/>
          <w:u w:val="single" w:color="auto"/>
          <w:color w:val="auto"/>
        </w:rPr>
        <w:t>Brokers</w:t>
      </w:r>
      <w:r>
        <w:rPr>
          <w:rFonts w:ascii="Arial" w:cs="Arial" w:eastAsia="Arial" w:hAnsi="Arial"/>
          <w:sz w:val="19"/>
          <w:szCs w:val="19"/>
          <w:color w:val="auto"/>
        </w:rPr>
        <w:t>. Tenant warrants that it has not had any contact or dealings with any Person or real estate broker which would give rise to the payment of any fee or brokerage commission in connection with this Amendment, and Tenant shall indemnify, protect, hold harmless and defend Landlord from and against any liability with respect to any fee or brokerage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91" w:right="239" w:bottom="1440" w:gutter="0" w:footer="0" w:header="0"/>
        </w:sectPr>
      </w:pPr>
    </w:p>
    <w:bookmarkStart w:id="139" w:name="page140"/>
    <w:bookmarkEnd w:id="139"/>
    <w:p>
      <w:pPr>
        <w:ind w:right="80"/>
        <w:spacing w:after="0" w:line="265" w:lineRule="auto"/>
        <w:rPr>
          <w:sz w:val="20"/>
          <w:szCs w:val="20"/>
          <w:color w:val="auto"/>
        </w:rPr>
      </w:pPr>
      <w:r>
        <w:rPr>
          <w:rFonts w:ascii="Arial" w:cs="Arial" w:eastAsia="Arial" w:hAnsi="Arial"/>
          <w:sz w:val="21"/>
          <w:szCs w:val="21"/>
          <w:color w:val="auto"/>
        </w:rPr>
        <w:t>commission arising out of any act or omission of Tenant. Landlord warrants that it has not had any contact or dealings with any Person or real estate broker which would give rise to the payment of any fee or brokerage commission in connection with this Amendment, and Landlord shall indemnify, protect, hold harmless and defend Tenant from and against any liability with respect to any fee or brokerage commission arising out of any act or omission of Landlord.</w:t>
      </w:r>
    </w:p>
    <w:p>
      <w:pPr>
        <w:spacing w:after="0" w:line="21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 xml:space="preserve">9.2 </w:t>
      </w:r>
      <w:r>
        <w:rPr>
          <w:rFonts w:ascii="Arial" w:cs="Arial" w:eastAsia="Arial" w:hAnsi="Arial"/>
          <w:sz w:val="21"/>
          <w:szCs w:val="21"/>
          <w:b w:val="1"/>
          <w:bCs w:val="1"/>
          <w:u w:val="single" w:color="auto"/>
          <w:color w:val="auto"/>
        </w:rPr>
        <w:t>Costs and Expenses; Fees</w:t>
      </w:r>
      <w:r>
        <w:rPr>
          <w:rFonts w:ascii="Arial" w:cs="Arial" w:eastAsia="Arial" w:hAnsi="Arial"/>
          <w:sz w:val="21"/>
          <w:szCs w:val="21"/>
          <w:color w:val="auto"/>
        </w:rPr>
        <w:t>. Each party shall be responsible for and bear all of its own expenses incurred in connection with pursuing or consummating this Amendment and the transactions contemplated by this Amendment, including, but not limited to, fees and expenses, legal counsel, accountants, and other facilitators and advisors.</w:t>
      </w:r>
    </w:p>
    <w:p>
      <w:pPr>
        <w:spacing w:after="0" w:line="199" w:lineRule="exact"/>
        <w:rPr>
          <w:sz w:val="20"/>
          <w:szCs w:val="20"/>
          <w:color w:val="auto"/>
        </w:rPr>
      </w:pPr>
    </w:p>
    <w:p>
      <w:pPr>
        <w:jc w:val="both"/>
        <w:ind w:right="120" w:firstLine="648"/>
        <w:spacing w:after="0" w:line="256" w:lineRule="auto"/>
        <w:rPr>
          <w:sz w:val="20"/>
          <w:szCs w:val="20"/>
          <w:color w:val="auto"/>
        </w:rPr>
      </w:pPr>
      <w:r>
        <w:rPr>
          <w:rFonts w:ascii="Arial" w:cs="Arial" w:eastAsia="Arial" w:hAnsi="Arial"/>
          <w:sz w:val="22"/>
          <w:szCs w:val="22"/>
          <w:color w:val="auto"/>
        </w:rPr>
        <w:t xml:space="preserve">9.3 </w:t>
      </w:r>
      <w:r>
        <w:rPr>
          <w:rFonts w:ascii="Arial" w:cs="Arial" w:eastAsia="Arial" w:hAnsi="Arial"/>
          <w:sz w:val="22"/>
          <w:szCs w:val="22"/>
          <w:b w:val="1"/>
          <w:bCs w:val="1"/>
          <w:u w:val="single" w:color="auto"/>
          <w:color w:val="auto"/>
        </w:rPr>
        <w:t>Choice of Law and Forum Selection Clause</w:t>
      </w:r>
      <w:r>
        <w:rPr>
          <w:rFonts w:ascii="Arial" w:cs="Arial" w:eastAsia="Arial" w:hAnsi="Arial"/>
          <w:sz w:val="22"/>
          <w:szCs w:val="22"/>
          <w:color w:val="auto"/>
        </w:rPr>
        <w:t>. This Amendment shall be construed and interpreted, and the rights of the parties shall be determined, in accordance with the substantive Laws of the State of New York without regard to the conflict of law principles thereof or of any other jurisdiction.</w:t>
      </w:r>
    </w:p>
    <w:p>
      <w:pPr>
        <w:spacing w:after="0" w:line="217" w:lineRule="exact"/>
        <w:rPr>
          <w:sz w:val="20"/>
          <w:szCs w:val="20"/>
          <w:color w:val="auto"/>
        </w:rPr>
      </w:pPr>
    </w:p>
    <w:p>
      <w:pPr>
        <w:jc w:val="both"/>
        <w:ind w:right="80" w:firstLine="648"/>
        <w:spacing w:after="0" w:line="304" w:lineRule="auto"/>
        <w:rPr>
          <w:sz w:val="20"/>
          <w:szCs w:val="20"/>
          <w:color w:val="auto"/>
        </w:rPr>
      </w:pPr>
      <w:r>
        <w:rPr>
          <w:rFonts w:ascii="Arial" w:cs="Arial" w:eastAsia="Arial" w:hAnsi="Arial"/>
          <w:sz w:val="19"/>
          <w:szCs w:val="19"/>
          <w:color w:val="auto"/>
        </w:rPr>
        <w:t xml:space="preserve">9.4 </w:t>
      </w:r>
      <w:r>
        <w:rPr>
          <w:rFonts w:ascii="Arial" w:cs="Arial" w:eastAsia="Arial" w:hAnsi="Arial"/>
          <w:sz w:val="19"/>
          <w:szCs w:val="19"/>
          <w:b w:val="1"/>
          <w:bCs w:val="1"/>
          <w:u w:val="single" w:color="auto"/>
          <w:color w:val="auto"/>
        </w:rPr>
        <w:t>Counterparts; Facsimile Signatures</w:t>
      </w:r>
      <w:r>
        <w:rPr>
          <w:rFonts w:ascii="Arial" w:cs="Arial" w:eastAsia="Arial" w:hAnsi="Arial"/>
          <w:sz w:val="19"/>
          <w:szCs w:val="19"/>
          <w:color w:val="auto"/>
        </w:rPr>
        <w:t>. This Amendment may be executed in two or more counterparts, each of which shall be deemed an original, but all of which together shall constitute one and the same instrument. In proving this Amendment, it shall not be necessary to produce or account for more than one such counterpart signed by the party against whom enforcement is sought. Any counterpart may be executed by facsimile signature and such facsimile signature shall be deemed an original.</w:t>
      </w:r>
    </w:p>
    <w:p>
      <w:pPr>
        <w:spacing w:after="0" w:line="17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9.5</w:t>
      </w:r>
      <w:r>
        <w:rPr>
          <w:sz w:val="20"/>
          <w:szCs w:val="20"/>
          <w:color w:val="auto"/>
        </w:rPr>
        <w:tab/>
      </w:r>
      <w:r>
        <w:rPr>
          <w:rFonts w:ascii="Arial" w:cs="Arial" w:eastAsia="Arial" w:hAnsi="Arial"/>
          <w:sz w:val="19"/>
          <w:szCs w:val="19"/>
          <w:b w:val="1"/>
          <w:bCs w:val="1"/>
          <w:u w:val="single" w:color="auto"/>
          <w:color w:val="auto"/>
        </w:rPr>
        <w:t>No Further Modification</w:t>
      </w:r>
      <w:r>
        <w:rPr>
          <w:rFonts w:ascii="Arial" w:cs="Arial" w:eastAsia="Arial" w:hAnsi="Arial"/>
          <w:sz w:val="19"/>
          <w:szCs w:val="19"/>
          <w:color w:val="auto"/>
        </w:rPr>
        <w:t>. Except as modified hereby, the Master Lease remains in full force and effect.</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Follow]</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591" w:right="259" w:bottom="1440" w:gutter="0" w:footer="0" w:header="0"/>
        </w:sectPr>
      </w:pPr>
    </w:p>
    <w:bookmarkStart w:id="140" w:name="page141"/>
    <w:bookmarkEnd w:id="140"/>
    <w:p>
      <w:pPr>
        <w:ind w:firstLine="648"/>
        <w:spacing w:after="0" w:line="263" w:lineRule="auto"/>
        <w:rPr>
          <w:sz w:val="20"/>
          <w:szCs w:val="20"/>
          <w:color w:val="auto"/>
        </w:rPr>
      </w:pPr>
      <w:r>
        <w:rPr>
          <w:rFonts w:ascii="Arial" w:cs="Arial" w:eastAsia="Arial" w:hAnsi="Arial"/>
          <w:sz w:val="22"/>
          <w:szCs w:val="22"/>
          <w:color w:val="auto"/>
        </w:rPr>
        <w:t>IN WITNESS WHEREOF, this Amendment has been duly executed and delivered by each of the undersigned as of the date first above written.</w:t>
      </w:r>
    </w:p>
    <w:p>
      <w:pPr>
        <w:spacing w:after="0" w:line="169"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LANDLORD:</w:t>
      </w:r>
    </w:p>
    <w:p>
      <w:pPr>
        <w:spacing w:after="0" w:line="220"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GLP CAPITAL, L.P.</w:t>
      </w:r>
    </w:p>
    <w:p>
      <w:pPr>
        <w:spacing w:after="0" w:line="226" w:lineRule="exact"/>
        <w:rPr>
          <w:sz w:val="20"/>
          <w:szCs w:val="20"/>
          <w:color w:val="auto"/>
        </w:rPr>
      </w:pPr>
    </w:p>
    <w:p>
      <w:pPr>
        <w:ind w:left="4540"/>
        <w:spacing w:after="0"/>
        <w:tabs>
          <w:tab w:leader="none" w:pos="51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William J. Clifford</w:t>
      </w:r>
    </w:p>
    <w:p>
      <w:pPr>
        <w:spacing w:after="0" w:line="22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William J. Clifford</w:t>
      </w:r>
    </w:p>
    <w:p>
      <w:pPr>
        <w:spacing w:after="0" w:line="22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CFO and Treasurer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TENANT:</w:t>
      </w:r>
    </w:p>
    <w:p>
      <w:pPr>
        <w:spacing w:after="0" w:line="220"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PENN TENANT, LLC</w:t>
      </w:r>
    </w:p>
    <w:p>
      <w:pPr>
        <w:spacing w:after="0" w:line="226" w:lineRule="exact"/>
        <w:rPr>
          <w:sz w:val="20"/>
          <w:szCs w:val="20"/>
          <w:color w:val="auto"/>
        </w:rPr>
      </w:pPr>
    </w:p>
    <w:p>
      <w:pPr>
        <w:ind w:left="4540"/>
        <w:spacing w:after="0"/>
        <w:tabs>
          <w:tab w:leader="none" w:pos="51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Penn National Gaming, Inc.</w:t>
      </w:r>
    </w:p>
    <w:p>
      <w:pPr>
        <w:spacing w:after="0" w:line="22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its managing member</w:t>
      </w:r>
    </w:p>
    <w:p>
      <w:pPr>
        <w:spacing w:after="0" w:line="220" w:lineRule="exact"/>
        <w:rPr>
          <w:sz w:val="20"/>
          <w:szCs w:val="20"/>
          <w:color w:val="auto"/>
        </w:rPr>
      </w:pPr>
    </w:p>
    <w:p>
      <w:pPr>
        <w:ind w:left="4540"/>
        <w:spacing w:after="0"/>
        <w:tabs>
          <w:tab w:leader="none" w:pos="50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7"/>
          <w:szCs w:val="17"/>
          <w:u w:val="single" w:color="auto"/>
          <w:color w:val="auto"/>
        </w:rPr>
        <w:t xml:space="preserve">/s/ </w:t>
      </w:r>
      <w:r>
        <w:rPr>
          <w:rFonts w:ascii="Arial" w:cs="Arial" w:eastAsia="Arial" w:hAnsi="Arial"/>
          <w:sz w:val="20"/>
          <w:szCs w:val="20"/>
          <w:u w:val="single" w:color="auto"/>
          <w:color w:val="auto"/>
        </w:rPr>
        <w:t>William J. Fair</w:t>
      </w:r>
    </w:p>
    <w:p>
      <w:pPr>
        <w:spacing w:after="0" w:line="233"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William J. Fair</w:t>
      </w:r>
    </w:p>
    <w:p>
      <w:pPr>
        <w:spacing w:after="0" w:line="22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1063" w:right="299" w:bottom="1440" w:gutter="0" w:footer="0" w:header="0"/>
        </w:sectPr>
      </w:pPr>
    </w:p>
    <w:bookmarkStart w:id="141" w:name="page142"/>
    <w:bookmarkEnd w:id="14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Facility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21780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Argosy Casino Alton (excluding riverboat)</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Argosy Casino Riverside</w:t>
      </w:r>
    </w:p>
    <w:p>
      <w:pPr>
        <w:spacing w:after="0" w:line="325" w:lineRule="exact"/>
        <w:rPr>
          <w:sz w:val="20"/>
          <w:szCs w:val="20"/>
          <w:color w:val="auto"/>
        </w:rPr>
      </w:pPr>
    </w:p>
    <w:p>
      <w:pPr>
        <w:ind w:right="140"/>
        <w:spacing w:after="0" w:line="297" w:lineRule="auto"/>
        <w:rPr>
          <w:sz w:val="20"/>
          <w:szCs w:val="20"/>
          <w:color w:val="auto"/>
        </w:rPr>
      </w:pPr>
      <w:r>
        <w:rPr>
          <w:rFonts w:ascii="Arial" w:cs="Arial" w:eastAsia="Arial" w:hAnsi="Arial"/>
          <w:sz w:val="13"/>
          <w:szCs w:val="13"/>
          <w:b w:val="1"/>
          <w:bCs w:val="1"/>
          <w:color w:val="auto"/>
        </w:rPr>
        <w:t>Argosy Casino Sioux City (excluding riverboat and property listed on Schedule 1.1 paragraph 2)</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Boomtown Casino</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(excluding Skrmetta Ground Lease property)</w:t>
      </w: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Hollywood Casino Aurora</w:t>
      </w:r>
    </w:p>
    <w:p>
      <w:pPr>
        <w:spacing w:after="0" w:line="25" w:lineRule="exact"/>
        <w:rPr>
          <w:sz w:val="20"/>
          <w:szCs w:val="20"/>
          <w:color w:val="auto"/>
        </w:rPr>
      </w:pPr>
    </w:p>
    <w:p>
      <w:pPr>
        <w:spacing w:after="0" w:line="243" w:lineRule="auto"/>
        <w:rPr>
          <w:sz w:val="20"/>
          <w:szCs w:val="20"/>
          <w:color w:val="auto"/>
        </w:rPr>
      </w:pPr>
      <w:r>
        <w:rPr>
          <w:rFonts w:ascii="Arial" w:cs="Arial" w:eastAsia="Arial" w:hAnsi="Arial"/>
          <w:sz w:val="14"/>
          <w:szCs w:val="14"/>
          <w:b w:val="1"/>
          <w:bCs w:val="1"/>
          <w:color w:val="auto"/>
        </w:rPr>
        <w:t>(excluding property listed on Schedule 1.1 paragraph 3)</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Hollywood Casino Bangor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Hollywood Casino Bay St. Louis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Hollywood Casino at Charles Town Races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Hollywood Casino Columbus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Hollywood Casino Joliet</w:t>
      </w:r>
    </w:p>
    <w:p>
      <w:pPr>
        <w:spacing w:after="0" w:line="271" w:lineRule="exact"/>
        <w:rPr>
          <w:sz w:val="20"/>
          <w:szCs w:val="20"/>
          <w:color w:val="auto"/>
        </w:rPr>
      </w:pPr>
    </w:p>
    <w:p>
      <w:pPr>
        <w:ind w:right="1120"/>
        <w:spacing w:after="0" w:line="389" w:lineRule="auto"/>
        <w:rPr>
          <w:sz w:val="20"/>
          <w:szCs w:val="20"/>
          <w:color w:val="auto"/>
        </w:rPr>
      </w:pPr>
      <w:r>
        <w:rPr>
          <w:rFonts w:ascii="Arial" w:cs="Arial" w:eastAsia="Arial" w:hAnsi="Arial"/>
          <w:sz w:val="12"/>
          <w:szCs w:val="12"/>
          <w:b w:val="1"/>
          <w:bCs w:val="1"/>
          <w:color w:val="auto"/>
        </w:rPr>
        <w:t>Hollywood Casino Lawrenceburg (excluding employee parking lease)</w:t>
      </w: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Hollywood Casino Penn National Race Course</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Hollywood Casino St. Louis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Hollywood Casino Toledo</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Hollywood Casino Tunica</w:t>
      </w:r>
    </w:p>
    <w:p>
      <w:pPr>
        <w:spacing w:after="0" w:line="20" w:lineRule="exact"/>
        <w:rPr>
          <w:sz w:val="20"/>
          <w:szCs w:val="20"/>
          <w:color w:val="auto"/>
        </w:rPr>
      </w:pPr>
      <w:r>
        <w:rPr>
          <w:sz w:val="20"/>
          <w:szCs w:val="20"/>
          <w:color w:val="auto"/>
        </w:rPr>
        <w:br w:type="column"/>
      </w:r>
    </w:p>
    <w:p>
      <w:pPr>
        <w:jc w:val="center"/>
        <w:ind w:right="3560"/>
        <w:spacing w:after="0"/>
        <w:rPr>
          <w:sz w:val="20"/>
          <w:szCs w:val="20"/>
          <w:color w:val="auto"/>
        </w:rPr>
      </w:pPr>
      <w:r>
        <w:rPr>
          <w:rFonts w:ascii="Arial" w:cs="Arial" w:eastAsia="Arial" w:hAnsi="Arial"/>
          <w:sz w:val="22"/>
          <w:szCs w:val="22"/>
          <w:color w:val="auto"/>
        </w:rPr>
        <w:t>ANNEX A</w:t>
      </w:r>
    </w:p>
    <w:p>
      <w:pPr>
        <w:spacing w:after="0" w:line="214" w:lineRule="exact"/>
        <w:rPr>
          <w:sz w:val="20"/>
          <w:szCs w:val="20"/>
          <w:color w:val="auto"/>
        </w:rPr>
      </w:pPr>
    </w:p>
    <w:p>
      <w:pPr>
        <w:jc w:val="center"/>
        <w:ind w:right="3560"/>
        <w:spacing w:after="0"/>
        <w:rPr>
          <w:sz w:val="20"/>
          <w:szCs w:val="20"/>
          <w:color w:val="auto"/>
        </w:rPr>
      </w:pPr>
      <w:r>
        <w:rPr>
          <w:rFonts w:ascii="Arial" w:cs="Arial" w:eastAsia="Arial" w:hAnsi="Arial"/>
          <w:sz w:val="22"/>
          <w:szCs w:val="22"/>
          <w:b w:val="1"/>
          <w:bCs w:val="1"/>
          <w:color w:val="auto"/>
        </w:rPr>
        <w:t>EXHIBIT A</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20" w:type="dxa"/>
            <w:vAlign w:val="bottom"/>
            <w:tcBorders>
              <w:bottom w:val="single" w:sz="8" w:color="auto"/>
            </w:tcBorders>
          </w:tcPr>
          <w:p>
            <w:pPr>
              <w:ind w:left="1200"/>
              <w:spacing w:after="0"/>
              <w:rPr>
                <w:sz w:val="20"/>
                <w:szCs w:val="20"/>
                <w:color w:val="auto"/>
              </w:rPr>
            </w:pPr>
            <w:r>
              <w:rPr>
                <w:rFonts w:ascii="Arial" w:cs="Arial" w:eastAsia="Arial" w:hAnsi="Arial"/>
                <w:sz w:val="14"/>
                <w:szCs w:val="14"/>
                <w:b w:val="1"/>
                <w:bCs w:val="1"/>
                <w:color w:val="auto"/>
              </w:rPr>
              <w:t>Facility Address</w:t>
            </w:r>
          </w:p>
        </w:tc>
        <w:tc>
          <w:tcPr>
            <w:tcW w:w="100" w:type="dxa"/>
            <w:vAlign w:val="bottom"/>
          </w:tcPr>
          <w:p>
            <w:pPr>
              <w:spacing w:after="0"/>
              <w:rPr>
                <w:sz w:val="16"/>
                <w:szCs w:val="16"/>
                <w:color w:val="auto"/>
              </w:rPr>
            </w:pPr>
          </w:p>
        </w:tc>
        <w:tc>
          <w:tcPr>
            <w:tcW w:w="4340" w:type="dxa"/>
            <w:vAlign w:val="bottom"/>
            <w:tcBorders>
              <w:bottom w:val="single" w:sz="8" w:color="auto"/>
            </w:tcBorders>
          </w:tcPr>
          <w:p>
            <w:pPr>
              <w:ind w:left="2060"/>
              <w:spacing w:after="0"/>
              <w:rPr>
                <w:sz w:val="20"/>
                <w:szCs w:val="20"/>
                <w:color w:val="auto"/>
              </w:rPr>
            </w:pPr>
            <w:r>
              <w:rPr>
                <w:rFonts w:ascii="Arial" w:cs="Arial" w:eastAsia="Arial" w:hAnsi="Arial"/>
                <w:sz w:val="14"/>
                <w:szCs w:val="14"/>
                <w:b w:val="1"/>
                <w:bCs w:val="1"/>
                <w:color w:val="auto"/>
              </w:rPr>
              <w:t>Use</w:t>
            </w:r>
          </w:p>
        </w:tc>
      </w:tr>
      <w:tr>
        <w:trPr>
          <w:trHeight w:val="179"/>
        </w:trPr>
        <w:tc>
          <w:tcPr>
            <w:tcW w:w="3520" w:type="dxa"/>
            <w:vAlign w:val="bottom"/>
            <w:gridSpan w:val="2"/>
          </w:tcPr>
          <w:p>
            <w:pPr>
              <w:ind w:left="20"/>
              <w:spacing w:after="0"/>
              <w:rPr>
                <w:sz w:val="20"/>
                <w:szCs w:val="20"/>
                <w:color w:val="auto"/>
              </w:rPr>
            </w:pPr>
            <w:r>
              <w:rPr>
                <w:rFonts w:ascii="Arial" w:cs="Arial" w:eastAsia="Arial" w:hAnsi="Arial"/>
                <w:sz w:val="14"/>
                <w:szCs w:val="14"/>
                <w:b w:val="1"/>
                <w:bCs w:val="1"/>
                <w:color w:val="auto"/>
              </w:rPr>
              <w:t>#1 Piasa Street</w:t>
            </w:r>
          </w:p>
        </w:tc>
        <w:tc>
          <w:tcPr>
            <w:tcW w:w="4340" w:type="dxa"/>
            <w:vAlign w:val="bottom"/>
          </w:tcPr>
          <w:p>
            <w:pPr>
              <w:ind w:left="40"/>
              <w:spacing w:after="0"/>
              <w:rPr>
                <w:sz w:val="20"/>
                <w:szCs w:val="20"/>
                <w:color w:val="auto"/>
              </w:rPr>
            </w:pPr>
            <w:r>
              <w:rPr>
                <w:rFonts w:ascii="Arial" w:cs="Arial" w:eastAsia="Arial" w:hAnsi="Arial"/>
                <w:sz w:val="14"/>
                <w:szCs w:val="14"/>
                <w:b w:val="1"/>
                <w:bCs w:val="1"/>
                <w:color w:val="auto"/>
              </w:rPr>
              <w:t>Dockside Gaming</w:t>
            </w:r>
          </w:p>
        </w:tc>
      </w:tr>
      <w:tr>
        <w:trPr>
          <w:trHeight w:val="186"/>
        </w:trPr>
        <w:tc>
          <w:tcPr>
            <w:tcW w:w="3520" w:type="dxa"/>
            <w:vAlign w:val="bottom"/>
            <w:gridSpan w:val="2"/>
          </w:tcPr>
          <w:p>
            <w:pPr>
              <w:ind w:left="20"/>
              <w:spacing w:after="0"/>
              <w:rPr>
                <w:sz w:val="20"/>
                <w:szCs w:val="20"/>
                <w:color w:val="auto"/>
              </w:rPr>
            </w:pPr>
            <w:r>
              <w:rPr>
                <w:rFonts w:ascii="Arial" w:cs="Arial" w:eastAsia="Arial" w:hAnsi="Arial"/>
                <w:sz w:val="14"/>
                <w:szCs w:val="14"/>
                <w:b w:val="1"/>
                <w:bCs w:val="1"/>
                <w:color w:val="auto"/>
              </w:rPr>
              <w:t>Alton, Illinois</w:t>
            </w:r>
          </w:p>
        </w:tc>
        <w:tc>
          <w:tcPr>
            <w:tcW w:w="4340" w:type="dxa"/>
            <w:vAlign w:val="bottom"/>
          </w:tcPr>
          <w:p>
            <w:pPr>
              <w:ind w:left="40"/>
              <w:spacing w:after="0"/>
              <w:rPr>
                <w:sz w:val="20"/>
                <w:szCs w:val="20"/>
                <w:color w:val="auto"/>
              </w:rPr>
            </w:pPr>
            <w:r>
              <w:rPr>
                <w:rFonts w:ascii="Arial" w:cs="Arial" w:eastAsia="Arial" w:hAnsi="Arial"/>
                <w:sz w:val="14"/>
                <w:szCs w:val="14"/>
                <w:b w:val="1"/>
                <w:bCs w:val="1"/>
                <w:color w:val="auto"/>
              </w:rPr>
              <w:t>Barge-Based Facility</w:t>
            </w:r>
          </w:p>
        </w:tc>
      </w:tr>
      <w:tr>
        <w:trPr>
          <w:trHeight w:val="448"/>
        </w:trPr>
        <w:tc>
          <w:tcPr>
            <w:tcW w:w="3520" w:type="dxa"/>
            <w:vAlign w:val="bottom"/>
            <w:gridSpan w:val="2"/>
          </w:tcPr>
          <w:p>
            <w:pPr>
              <w:ind w:left="20"/>
              <w:spacing w:after="0"/>
              <w:rPr>
                <w:sz w:val="20"/>
                <w:szCs w:val="20"/>
                <w:color w:val="auto"/>
              </w:rPr>
            </w:pPr>
            <w:r>
              <w:rPr>
                <w:rFonts w:ascii="Arial" w:cs="Arial" w:eastAsia="Arial" w:hAnsi="Arial"/>
                <w:sz w:val="14"/>
                <w:szCs w:val="14"/>
                <w:b w:val="1"/>
                <w:bCs w:val="1"/>
                <w:color w:val="auto"/>
              </w:rPr>
              <w:t>777 Argosy Parkway</w:t>
            </w:r>
          </w:p>
        </w:tc>
        <w:tc>
          <w:tcPr>
            <w:tcW w:w="4340" w:type="dxa"/>
            <w:vAlign w:val="bottom"/>
          </w:tcPr>
          <w:p>
            <w:pPr>
              <w:ind w:left="40"/>
              <w:spacing w:after="0"/>
              <w:rPr>
                <w:sz w:val="20"/>
                <w:szCs w:val="20"/>
                <w:color w:val="auto"/>
              </w:rPr>
            </w:pPr>
            <w:r>
              <w:rPr>
                <w:rFonts w:ascii="Arial" w:cs="Arial" w:eastAsia="Arial" w:hAnsi="Arial"/>
                <w:sz w:val="14"/>
                <w:szCs w:val="14"/>
                <w:b w:val="1"/>
                <w:bCs w:val="1"/>
                <w:color w:val="auto"/>
              </w:rPr>
              <w:t>Dockside Gaming</w:t>
            </w:r>
          </w:p>
        </w:tc>
      </w:tr>
      <w:tr>
        <w:trPr>
          <w:trHeight w:val="186"/>
        </w:trPr>
        <w:tc>
          <w:tcPr>
            <w:tcW w:w="3520" w:type="dxa"/>
            <w:vAlign w:val="bottom"/>
            <w:gridSpan w:val="2"/>
          </w:tcPr>
          <w:p>
            <w:pPr>
              <w:ind w:left="20"/>
              <w:spacing w:after="0"/>
              <w:rPr>
                <w:sz w:val="20"/>
                <w:szCs w:val="20"/>
                <w:color w:val="auto"/>
              </w:rPr>
            </w:pPr>
            <w:r>
              <w:rPr>
                <w:rFonts w:ascii="Arial" w:cs="Arial" w:eastAsia="Arial" w:hAnsi="Arial"/>
                <w:sz w:val="14"/>
                <w:szCs w:val="14"/>
                <w:b w:val="1"/>
                <w:bCs w:val="1"/>
                <w:color w:val="auto"/>
              </w:rPr>
              <w:t>Riverside, Missouri</w:t>
            </w:r>
          </w:p>
        </w:tc>
        <w:tc>
          <w:tcPr>
            <w:tcW w:w="4340" w:type="dxa"/>
            <w:vAlign w:val="bottom"/>
          </w:tcPr>
          <w:p>
            <w:pPr>
              <w:ind w:left="40"/>
              <w:spacing w:after="0"/>
              <w:rPr>
                <w:sz w:val="20"/>
                <w:szCs w:val="20"/>
                <w:color w:val="auto"/>
              </w:rPr>
            </w:pPr>
            <w:r>
              <w:rPr>
                <w:rFonts w:ascii="Arial" w:cs="Arial" w:eastAsia="Arial" w:hAnsi="Arial"/>
                <w:sz w:val="14"/>
                <w:szCs w:val="14"/>
                <w:b w:val="1"/>
                <w:bCs w:val="1"/>
                <w:color w:val="auto"/>
              </w:rPr>
              <w:t>Barge-Based Facility</w:t>
            </w:r>
          </w:p>
        </w:tc>
      </w:tr>
      <w:tr>
        <w:trPr>
          <w:trHeight w:val="448"/>
        </w:trPr>
        <w:tc>
          <w:tcPr>
            <w:tcW w:w="3520" w:type="dxa"/>
            <w:vAlign w:val="bottom"/>
            <w:gridSpan w:val="2"/>
          </w:tcPr>
          <w:p>
            <w:pPr>
              <w:ind w:left="20"/>
              <w:spacing w:after="0"/>
              <w:rPr>
                <w:sz w:val="20"/>
                <w:szCs w:val="20"/>
                <w:color w:val="auto"/>
              </w:rPr>
            </w:pPr>
            <w:r>
              <w:rPr>
                <w:rFonts w:ascii="Arial" w:cs="Arial" w:eastAsia="Arial" w:hAnsi="Arial"/>
                <w:sz w:val="14"/>
                <w:szCs w:val="14"/>
                <w:b w:val="1"/>
                <w:bCs w:val="1"/>
                <w:color w:val="auto"/>
              </w:rPr>
              <w:t>100 Larson Park Road</w:t>
            </w:r>
          </w:p>
        </w:tc>
        <w:tc>
          <w:tcPr>
            <w:tcW w:w="4340" w:type="dxa"/>
            <w:vAlign w:val="bottom"/>
          </w:tcPr>
          <w:p>
            <w:pPr>
              <w:ind w:left="40"/>
              <w:spacing w:after="0"/>
              <w:rPr>
                <w:sz w:val="20"/>
                <w:szCs w:val="20"/>
                <w:color w:val="auto"/>
              </w:rPr>
            </w:pPr>
            <w:r>
              <w:rPr>
                <w:rFonts w:ascii="Arial" w:cs="Arial" w:eastAsia="Arial" w:hAnsi="Arial"/>
                <w:sz w:val="14"/>
                <w:szCs w:val="14"/>
                <w:b w:val="1"/>
                <w:bCs w:val="1"/>
                <w:color w:val="auto"/>
              </w:rPr>
              <w:t>Dockside Gaming</w:t>
            </w:r>
          </w:p>
        </w:tc>
      </w:tr>
      <w:tr>
        <w:trPr>
          <w:trHeight w:val="186"/>
        </w:trPr>
        <w:tc>
          <w:tcPr>
            <w:tcW w:w="3520" w:type="dxa"/>
            <w:vAlign w:val="bottom"/>
            <w:gridSpan w:val="2"/>
          </w:tcPr>
          <w:p>
            <w:pPr>
              <w:ind w:left="20"/>
              <w:spacing w:after="0"/>
              <w:rPr>
                <w:sz w:val="20"/>
                <w:szCs w:val="20"/>
                <w:color w:val="auto"/>
              </w:rPr>
            </w:pPr>
            <w:r>
              <w:rPr>
                <w:rFonts w:ascii="Arial" w:cs="Arial" w:eastAsia="Arial" w:hAnsi="Arial"/>
                <w:sz w:val="14"/>
                <w:szCs w:val="14"/>
                <w:b w:val="1"/>
                <w:bCs w:val="1"/>
                <w:color w:val="auto"/>
              </w:rPr>
              <w:t>Sioux City, Iowa</w:t>
            </w:r>
          </w:p>
        </w:tc>
        <w:tc>
          <w:tcPr>
            <w:tcW w:w="4340" w:type="dxa"/>
            <w:vAlign w:val="bottom"/>
          </w:tcPr>
          <w:p>
            <w:pPr>
              <w:ind w:left="40"/>
              <w:spacing w:after="0"/>
              <w:rPr>
                <w:sz w:val="20"/>
                <w:szCs w:val="20"/>
                <w:color w:val="auto"/>
              </w:rPr>
            </w:pPr>
            <w:r>
              <w:rPr>
                <w:rFonts w:ascii="Arial" w:cs="Arial" w:eastAsia="Arial" w:hAnsi="Arial"/>
                <w:sz w:val="14"/>
                <w:szCs w:val="14"/>
                <w:b w:val="1"/>
                <w:bCs w:val="1"/>
                <w:color w:val="auto"/>
              </w:rPr>
              <w:t>Barge-Based Facility</w:t>
            </w:r>
          </w:p>
        </w:tc>
      </w:tr>
      <w:tr>
        <w:trPr>
          <w:trHeight w:val="448"/>
        </w:trPr>
        <w:tc>
          <w:tcPr>
            <w:tcW w:w="3520" w:type="dxa"/>
            <w:vAlign w:val="bottom"/>
            <w:gridSpan w:val="2"/>
          </w:tcPr>
          <w:p>
            <w:pPr>
              <w:ind w:left="20"/>
              <w:spacing w:after="0"/>
              <w:rPr>
                <w:sz w:val="20"/>
                <w:szCs w:val="20"/>
                <w:color w:val="auto"/>
              </w:rPr>
            </w:pPr>
            <w:r>
              <w:rPr>
                <w:rFonts w:ascii="Arial" w:cs="Arial" w:eastAsia="Arial" w:hAnsi="Arial"/>
                <w:sz w:val="14"/>
                <w:szCs w:val="14"/>
                <w:b w:val="1"/>
                <w:bCs w:val="1"/>
                <w:color w:val="auto"/>
              </w:rPr>
              <w:t>676 Bayview Avenue</w:t>
            </w:r>
          </w:p>
        </w:tc>
        <w:tc>
          <w:tcPr>
            <w:tcW w:w="4340" w:type="dxa"/>
            <w:vAlign w:val="bottom"/>
          </w:tcPr>
          <w:p>
            <w:pPr>
              <w:ind w:left="40"/>
              <w:spacing w:after="0"/>
              <w:rPr>
                <w:sz w:val="20"/>
                <w:szCs w:val="20"/>
                <w:color w:val="auto"/>
              </w:rPr>
            </w:pPr>
            <w:r>
              <w:rPr>
                <w:rFonts w:ascii="Arial" w:cs="Arial" w:eastAsia="Arial" w:hAnsi="Arial"/>
                <w:sz w:val="14"/>
                <w:szCs w:val="14"/>
                <w:b w:val="1"/>
                <w:bCs w:val="1"/>
                <w:color w:val="auto"/>
              </w:rPr>
              <w:t>Dockside Gaming</w:t>
            </w:r>
          </w:p>
        </w:tc>
      </w:tr>
      <w:tr>
        <w:trPr>
          <w:trHeight w:val="186"/>
        </w:trPr>
        <w:tc>
          <w:tcPr>
            <w:tcW w:w="3520" w:type="dxa"/>
            <w:vAlign w:val="bottom"/>
            <w:gridSpan w:val="2"/>
          </w:tcPr>
          <w:p>
            <w:pPr>
              <w:ind w:left="20"/>
              <w:spacing w:after="0"/>
              <w:rPr>
                <w:sz w:val="20"/>
                <w:szCs w:val="20"/>
                <w:color w:val="auto"/>
              </w:rPr>
            </w:pPr>
            <w:r>
              <w:rPr>
                <w:rFonts w:ascii="Arial" w:cs="Arial" w:eastAsia="Arial" w:hAnsi="Arial"/>
                <w:sz w:val="14"/>
                <w:szCs w:val="14"/>
                <w:b w:val="1"/>
                <w:bCs w:val="1"/>
                <w:color w:val="auto"/>
              </w:rPr>
              <w:t>Biloxi, Mississippi</w:t>
            </w:r>
          </w:p>
        </w:tc>
        <w:tc>
          <w:tcPr>
            <w:tcW w:w="4340" w:type="dxa"/>
            <w:vAlign w:val="bottom"/>
          </w:tcPr>
          <w:p>
            <w:pPr>
              <w:ind w:left="40"/>
              <w:spacing w:after="0"/>
              <w:rPr>
                <w:sz w:val="20"/>
                <w:szCs w:val="20"/>
                <w:color w:val="auto"/>
              </w:rPr>
            </w:pPr>
            <w:r>
              <w:rPr>
                <w:rFonts w:ascii="Arial" w:cs="Arial" w:eastAsia="Arial" w:hAnsi="Arial"/>
                <w:sz w:val="14"/>
                <w:szCs w:val="14"/>
                <w:b w:val="1"/>
                <w:bCs w:val="1"/>
                <w:color w:val="auto"/>
              </w:rPr>
              <w:t>Barge-Based Facility</w:t>
            </w:r>
          </w:p>
        </w:tc>
      </w:tr>
      <w:tr>
        <w:trPr>
          <w:trHeight w:val="597"/>
        </w:trPr>
        <w:tc>
          <w:tcPr>
            <w:tcW w:w="3520" w:type="dxa"/>
            <w:vAlign w:val="bottom"/>
            <w:gridSpan w:val="2"/>
          </w:tcPr>
          <w:p>
            <w:pPr>
              <w:ind w:left="20"/>
              <w:spacing w:after="0"/>
              <w:rPr>
                <w:sz w:val="20"/>
                <w:szCs w:val="20"/>
                <w:color w:val="auto"/>
              </w:rPr>
            </w:pPr>
            <w:r>
              <w:rPr>
                <w:rFonts w:ascii="Arial" w:cs="Arial" w:eastAsia="Arial" w:hAnsi="Arial"/>
                <w:sz w:val="14"/>
                <w:szCs w:val="14"/>
                <w:b w:val="1"/>
                <w:bCs w:val="1"/>
                <w:color w:val="auto"/>
              </w:rPr>
              <w:t>1 W. New York Street</w:t>
            </w:r>
          </w:p>
        </w:tc>
        <w:tc>
          <w:tcPr>
            <w:tcW w:w="4340" w:type="dxa"/>
            <w:vAlign w:val="bottom"/>
          </w:tcPr>
          <w:p>
            <w:pPr>
              <w:ind w:left="40"/>
              <w:spacing w:after="0"/>
              <w:rPr>
                <w:sz w:val="20"/>
                <w:szCs w:val="20"/>
                <w:color w:val="auto"/>
              </w:rPr>
            </w:pPr>
            <w:r>
              <w:rPr>
                <w:rFonts w:ascii="Arial" w:cs="Arial" w:eastAsia="Arial" w:hAnsi="Arial"/>
                <w:sz w:val="14"/>
                <w:szCs w:val="14"/>
                <w:b w:val="1"/>
                <w:bCs w:val="1"/>
                <w:color w:val="auto"/>
              </w:rPr>
              <w:t>Dockside Gaming</w:t>
            </w:r>
          </w:p>
        </w:tc>
      </w:tr>
      <w:tr>
        <w:trPr>
          <w:trHeight w:val="186"/>
        </w:trPr>
        <w:tc>
          <w:tcPr>
            <w:tcW w:w="3520" w:type="dxa"/>
            <w:vAlign w:val="bottom"/>
            <w:gridSpan w:val="2"/>
          </w:tcPr>
          <w:p>
            <w:pPr>
              <w:ind w:left="20"/>
              <w:spacing w:after="0"/>
              <w:rPr>
                <w:sz w:val="20"/>
                <w:szCs w:val="20"/>
                <w:color w:val="auto"/>
              </w:rPr>
            </w:pPr>
            <w:r>
              <w:rPr>
                <w:rFonts w:ascii="Arial" w:cs="Arial" w:eastAsia="Arial" w:hAnsi="Arial"/>
                <w:sz w:val="14"/>
                <w:szCs w:val="14"/>
                <w:b w:val="1"/>
                <w:bCs w:val="1"/>
                <w:color w:val="auto"/>
              </w:rPr>
              <w:t>Aurora, Illinois</w:t>
            </w:r>
          </w:p>
        </w:tc>
        <w:tc>
          <w:tcPr>
            <w:tcW w:w="4340" w:type="dxa"/>
            <w:vAlign w:val="bottom"/>
          </w:tcPr>
          <w:p>
            <w:pPr>
              <w:ind w:left="40"/>
              <w:spacing w:after="0"/>
              <w:rPr>
                <w:sz w:val="20"/>
                <w:szCs w:val="20"/>
                <w:color w:val="auto"/>
              </w:rPr>
            </w:pPr>
            <w:r>
              <w:rPr>
                <w:rFonts w:ascii="Arial" w:cs="Arial" w:eastAsia="Arial" w:hAnsi="Arial"/>
                <w:sz w:val="14"/>
                <w:szCs w:val="14"/>
                <w:b w:val="1"/>
                <w:bCs w:val="1"/>
                <w:color w:val="auto"/>
              </w:rPr>
              <w:t>Barge-Based Facility</w:t>
            </w:r>
          </w:p>
        </w:tc>
      </w:tr>
      <w:tr>
        <w:trPr>
          <w:trHeight w:val="448"/>
        </w:trPr>
        <w:tc>
          <w:tcPr>
            <w:tcW w:w="3520" w:type="dxa"/>
            <w:vAlign w:val="bottom"/>
            <w:gridSpan w:val="2"/>
          </w:tcPr>
          <w:p>
            <w:pPr>
              <w:ind w:left="20"/>
              <w:spacing w:after="0"/>
              <w:rPr>
                <w:sz w:val="20"/>
                <w:szCs w:val="20"/>
                <w:color w:val="auto"/>
              </w:rPr>
            </w:pPr>
            <w:r>
              <w:rPr>
                <w:rFonts w:ascii="Arial" w:cs="Arial" w:eastAsia="Arial" w:hAnsi="Arial"/>
                <w:sz w:val="14"/>
                <w:szCs w:val="14"/>
                <w:b w:val="1"/>
                <w:bCs w:val="1"/>
                <w:color w:val="auto"/>
              </w:rPr>
              <w:t>500 Main Street</w:t>
            </w:r>
          </w:p>
        </w:tc>
        <w:tc>
          <w:tcPr>
            <w:tcW w:w="4340" w:type="dxa"/>
            <w:vAlign w:val="bottom"/>
          </w:tcPr>
          <w:p>
            <w:pPr>
              <w:spacing w:after="0"/>
              <w:rPr>
                <w:sz w:val="24"/>
                <w:szCs w:val="24"/>
                <w:color w:val="auto"/>
              </w:rPr>
            </w:pPr>
          </w:p>
        </w:tc>
      </w:tr>
      <w:tr>
        <w:trPr>
          <w:trHeight w:val="213"/>
        </w:trPr>
        <w:tc>
          <w:tcPr>
            <w:tcW w:w="3520" w:type="dxa"/>
            <w:vAlign w:val="bottom"/>
            <w:gridSpan w:val="2"/>
          </w:tcPr>
          <w:p>
            <w:pPr>
              <w:ind w:left="20"/>
              <w:spacing w:after="0"/>
              <w:rPr>
                <w:sz w:val="20"/>
                <w:szCs w:val="20"/>
                <w:color w:val="auto"/>
              </w:rPr>
            </w:pPr>
            <w:r>
              <w:rPr>
                <w:rFonts w:ascii="Arial" w:cs="Arial" w:eastAsia="Arial" w:hAnsi="Arial"/>
                <w:sz w:val="14"/>
                <w:szCs w:val="14"/>
                <w:b w:val="1"/>
                <w:bCs w:val="1"/>
                <w:color w:val="auto"/>
              </w:rPr>
              <w:t>Bangor, Maine</w:t>
            </w:r>
          </w:p>
        </w:tc>
        <w:tc>
          <w:tcPr>
            <w:tcW w:w="4340" w:type="dxa"/>
            <w:vAlign w:val="bottom"/>
          </w:tcPr>
          <w:p>
            <w:pPr>
              <w:ind w:left="40"/>
              <w:spacing w:after="0"/>
              <w:rPr>
                <w:sz w:val="20"/>
                <w:szCs w:val="20"/>
                <w:color w:val="auto"/>
              </w:rPr>
            </w:pPr>
            <w:r>
              <w:rPr>
                <w:rFonts w:ascii="Arial" w:cs="Arial" w:eastAsia="Arial" w:hAnsi="Arial"/>
                <w:sz w:val="14"/>
                <w:szCs w:val="14"/>
                <w:b w:val="1"/>
                <w:bCs w:val="1"/>
                <w:color w:val="auto"/>
              </w:rPr>
              <w:t>Land-based Gaming and Harness Racing</w:t>
            </w:r>
          </w:p>
        </w:tc>
      </w:tr>
      <w:tr>
        <w:trPr>
          <w:trHeight w:val="421"/>
        </w:trPr>
        <w:tc>
          <w:tcPr>
            <w:tcW w:w="3520" w:type="dxa"/>
            <w:vAlign w:val="bottom"/>
            <w:gridSpan w:val="2"/>
          </w:tcPr>
          <w:p>
            <w:pPr>
              <w:ind w:left="20"/>
              <w:spacing w:after="0"/>
              <w:rPr>
                <w:sz w:val="20"/>
                <w:szCs w:val="20"/>
                <w:color w:val="auto"/>
              </w:rPr>
            </w:pPr>
            <w:r>
              <w:rPr>
                <w:rFonts w:ascii="Arial" w:cs="Arial" w:eastAsia="Arial" w:hAnsi="Arial"/>
                <w:sz w:val="14"/>
                <w:szCs w:val="14"/>
                <w:b w:val="1"/>
                <w:bCs w:val="1"/>
                <w:color w:val="auto"/>
              </w:rPr>
              <w:t>711 Hollywood Blvd.</w:t>
            </w:r>
          </w:p>
        </w:tc>
        <w:tc>
          <w:tcPr>
            <w:tcW w:w="4340" w:type="dxa"/>
            <w:vAlign w:val="bottom"/>
          </w:tcPr>
          <w:p>
            <w:pPr>
              <w:ind w:left="40"/>
              <w:spacing w:after="0"/>
              <w:rPr>
                <w:sz w:val="20"/>
                <w:szCs w:val="20"/>
                <w:color w:val="auto"/>
              </w:rPr>
            </w:pPr>
            <w:r>
              <w:rPr>
                <w:rFonts w:ascii="Arial" w:cs="Arial" w:eastAsia="Arial" w:hAnsi="Arial"/>
                <w:sz w:val="14"/>
                <w:szCs w:val="14"/>
                <w:b w:val="1"/>
                <w:bCs w:val="1"/>
                <w:color w:val="auto"/>
              </w:rPr>
              <w:t>Land-based Gaming</w:t>
            </w:r>
          </w:p>
        </w:tc>
      </w:tr>
      <w:tr>
        <w:trPr>
          <w:trHeight w:val="186"/>
        </w:trPr>
        <w:tc>
          <w:tcPr>
            <w:tcW w:w="3520" w:type="dxa"/>
            <w:vAlign w:val="bottom"/>
            <w:gridSpan w:val="2"/>
          </w:tcPr>
          <w:p>
            <w:pPr>
              <w:ind w:left="20"/>
              <w:spacing w:after="0"/>
              <w:rPr>
                <w:sz w:val="20"/>
                <w:szCs w:val="20"/>
                <w:color w:val="auto"/>
              </w:rPr>
            </w:pPr>
            <w:r>
              <w:rPr>
                <w:rFonts w:ascii="Arial" w:cs="Arial" w:eastAsia="Arial" w:hAnsi="Arial"/>
                <w:sz w:val="14"/>
                <w:szCs w:val="14"/>
                <w:b w:val="1"/>
                <w:bCs w:val="1"/>
                <w:color w:val="auto"/>
              </w:rPr>
              <w:t>Bay St. Louis, Mississippi</w:t>
            </w:r>
          </w:p>
        </w:tc>
        <w:tc>
          <w:tcPr>
            <w:tcW w:w="4340" w:type="dxa"/>
            <w:vAlign w:val="bottom"/>
          </w:tcPr>
          <w:p>
            <w:pPr>
              <w:ind w:left="40"/>
              <w:spacing w:after="0"/>
              <w:rPr>
                <w:sz w:val="20"/>
                <w:szCs w:val="20"/>
                <w:color w:val="auto"/>
              </w:rPr>
            </w:pPr>
            <w:r>
              <w:rPr>
                <w:rFonts w:ascii="Arial" w:cs="Arial" w:eastAsia="Arial" w:hAnsi="Arial"/>
                <w:sz w:val="14"/>
                <w:szCs w:val="14"/>
                <w:b w:val="1"/>
                <w:bCs w:val="1"/>
                <w:color w:val="auto"/>
              </w:rPr>
              <w:t>Barge-Based Facility</w:t>
            </w:r>
          </w:p>
        </w:tc>
      </w:tr>
      <w:tr>
        <w:trPr>
          <w:trHeight w:val="448"/>
        </w:trPr>
        <w:tc>
          <w:tcPr>
            <w:tcW w:w="3520" w:type="dxa"/>
            <w:vAlign w:val="bottom"/>
            <w:gridSpan w:val="2"/>
          </w:tcPr>
          <w:p>
            <w:pPr>
              <w:ind w:left="20"/>
              <w:spacing w:after="0"/>
              <w:rPr>
                <w:sz w:val="20"/>
                <w:szCs w:val="20"/>
                <w:color w:val="auto"/>
              </w:rPr>
            </w:pPr>
            <w:r>
              <w:rPr>
                <w:rFonts w:ascii="Arial" w:cs="Arial" w:eastAsia="Arial" w:hAnsi="Arial"/>
                <w:sz w:val="14"/>
                <w:szCs w:val="14"/>
                <w:b w:val="1"/>
                <w:bCs w:val="1"/>
                <w:color w:val="auto"/>
              </w:rPr>
              <w:t>750 Hollywood Drive</w:t>
            </w:r>
          </w:p>
        </w:tc>
        <w:tc>
          <w:tcPr>
            <w:tcW w:w="4340" w:type="dxa"/>
            <w:vAlign w:val="bottom"/>
          </w:tcPr>
          <w:p>
            <w:pPr>
              <w:spacing w:after="0"/>
              <w:rPr>
                <w:sz w:val="24"/>
                <w:szCs w:val="24"/>
                <w:color w:val="auto"/>
              </w:rPr>
            </w:pPr>
          </w:p>
        </w:tc>
      </w:tr>
      <w:tr>
        <w:trPr>
          <w:trHeight w:val="213"/>
        </w:trPr>
        <w:tc>
          <w:tcPr>
            <w:tcW w:w="3520" w:type="dxa"/>
            <w:vAlign w:val="bottom"/>
            <w:gridSpan w:val="2"/>
          </w:tcPr>
          <w:p>
            <w:pPr>
              <w:ind w:left="20"/>
              <w:spacing w:after="0"/>
              <w:rPr>
                <w:sz w:val="20"/>
                <w:szCs w:val="20"/>
                <w:color w:val="auto"/>
              </w:rPr>
            </w:pPr>
            <w:r>
              <w:rPr>
                <w:rFonts w:ascii="Arial" w:cs="Arial" w:eastAsia="Arial" w:hAnsi="Arial"/>
                <w:sz w:val="14"/>
                <w:szCs w:val="14"/>
                <w:b w:val="1"/>
                <w:bCs w:val="1"/>
                <w:color w:val="auto"/>
              </w:rPr>
              <w:t>Charles Town, West Virginia</w:t>
            </w:r>
          </w:p>
        </w:tc>
        <w:tc>
          <w:tcPr>
            <w:tcW w:w="4340" w:type="dxa"/>
            <w:vAlign w:val="bottom"/>
          </w:tcPr>
          <w:p>
            <w:pPr>
              <w:ind w:left="40"/>
              <w:spacing w:after="0"/>
              <w:rPr>
                <w:sz w:val="20"/>
                <w:szCs w:val="20"/>
                <w:color w:val="auto"/>
              </w:rPr>
            </w:pPr>
            <w:r>
              <w:rPr>
                <w:rFonts w:ascii="Arial" w:cs="Arial" w:eastAsia="Arial" w:hAnsi="Arial"/>
                <w:sz w:val="14"/>
                <w:szCs w:val="14"/>
                <w:b w:val="1"/>
                <w:bCs w:val="1"/>
                <w:color w:val="auto"/>
              </w:rPr>
              <w:t>Land-based Gaming and Thoroughbred Racing</w:t>
            </w:r>
          </w:p>
        </w:tc>
      </w:tr>
      <w:tr>
        <w:trPr>
          <w:trHeight w:val="421"/>
        </w:trPr>
        <w:tc>
          <w:tcPr>
            <w:tcW w:w="3520" w:type="dxa"/>
            <w:vAlign w:val="bottom"/>
            <w:gridSpan w:val="2"/>
          </w:tcPr>
          <w:p>
            <w:pPr>
              <w:ind w:left="20"/>
              <w:spacing w:after="0"/>
              <w:rPr>
                <w:sz w:val="20"/>
                <w:szCs w:val="20"/>
                <w:color w:val="auto"/>
              </w:rPr>
            </w:pPr>
            <w:r>
              <w:rPr>
                <w:rFonts w:ascii="Arial" w:cs="Arial" w:eastAsia="Arial" w:hAnsi="Arial"/>
                <w:sz w:val="14"/>
                <w:szCs w:val="14"/>
                <w:b w:val="1"/>
                <w:bCs w:val="1"/>
                <w:color w:val="auto"/>
              </w:rPr>
              <w:t>200 Georgesville Road</w:t>
            </w:r>
          </w:p>
        </w:tc>
        <w:tc>
          <w:tcPr>
            <w:tcW w:w="4340" w:type="dxa"/>
            <w:vAlign w:val="bottom"/>
          </w:tcPr>
          <w:p>
            <w:pPr>
              <w:spacing w:after="0"/>
              <w:rPr>
                <w:sz w:val="24"/>
                <w:szCs w:val="24"/>
                <w:color w:val="auto"/>
              </w:rPr>
            </w:pPr>
          </w:p>
        </w:tc>
      </w:tr>
      <w:tr>
        <w:trPr>
          <w:trHeight w:val="213"/>
        </w:trPr>
        <w:tc>
          <w:tcPr>
            <w:tcW w:w="3520" w:type="dxa"/>
            <w:vAlign w:val="bottom"/>
            <w:gridSpan w:val="2"/>
          </w:tcPr>
          <w:p>
            <w:pPr>
              <w:ind w:left="20"/>
              <w:spacing w:after="0"/>
              <w:rPr>
                <w:sz w:val="20"/>
                <w:szCs w:val="20"/>
                <w:color w:val="auto"/>
              </w:rPr>
            </w:pPr>
            <w:r>
              <w:rPr>
                <w:rFonts w:ascii="Arial" w:cs="Arial" w:eastAsia="Arial" w:hAnsi="Arial"/>
                <w:sz w:val="14"/>
                <w:szCs w:val="14"/>
                <w:b w:val="1"/>
                <w:bCs w:val="1"/>
                <w:color w:val="auto"/>
              </w:rPr>
              <w:t>Columbus, Ohio</w:t>
            </w:r>
          </w:p>
        </w:tc>
        <w:tc>
          <w:tcPr>
            <w:tcW w:w="4340" w:type="dxa"/>
            <w:vAlign w:val="bottom"/>
          </w:tcPr>
          <w:p>
            <w:pPr>
              <w:ind w:left="40"/>
              <w:spacing w:after="0"/>
              <w:rPr>
                <w:sz w:val="20"/>
                <w:szCs w:val="20"/>
                <w:color w:val="auto"/>
              </w:rPr>
            </w:pPr>
            <w:r>
              <w:rPr>
                <w:rFonts w:ascii="Arial" w:cs="Arial" w:eastAsia="Arial" w:hAnsi="Arial"/>
                <w:sz w:val="14"/>
                <w:szCs w:val="14"/>
                <w:b w:val="1"/>
                <w:bCs w:val="1"/>
                <w:color w:val="auto"/>
              </w:rPr>
              <w:t>Land-based Gaming</w:t>
            </w:r>
          </w:p>
        </w:tc>
      </w:tr>
      <w:tr>
        <w:trPr>
          <w:trHeight w:val="421"/>
        </w:trPr>
        <w:tc>
          <w:tcPr>
            <w:tcW w:w="3520" w:type="dxa"/>
            <w:vAlign w:val="bottom"/>
            <w:gridSpan w:val="2"/>
          </w:tcPr>
          <w:p>
            <w:pPr>
              <w:ind w:left="20"/>
              <w:spacing w:after="0"/>
              <w:rPr>
                <w:sz w:val="20"/>
                <w:szCs w:val="20"/>
                <w:color w:val="auto"/>
              </w:rPr>
            </w:pPr>
            <w:r>
              <w:rPr>
                <w:rFonts w:ascii="Arial" w:cs="Arial" w:eastAsia="Arial" w:hAnsi="Arial"/>
                <w:sz w:val="14"/>
                <w:szCs w:val="14"/>
                <w:b w:val="1"/>
                <w:bCs w:val="1"/>
                <w:color w:val="auto"/>
              </w:rPr>
              <w:t>777 Hollywood Blvd.</w:t>
            </w:r>
          </w:p>
        </w:tc>
        <w:tc>
          <w:tcPr>
            <w:tcW w:w="4340" w:type="dxa"/>
            <w:vAlign w:val="bottom"/>
          </w:tcPr>
          <w:p>
            <w:pPr>
              <w:ind w:left="40"/>
              <w:spacing w:after="0"/>
              <w:rPr>
                <w:sz w:val="20"/>
                <w:szCs w:val="20"/>
                <w:color w:val="auto"/>
              </w:rPr>
            </w:pPr>
            <w:r>
              <w:rPr>
                <w:rFonts w:ascii="Arial" w:cs="Arial" w:eastAsia="Arial" w:hAnsi="Arial"/>
                <w:sz w:val="14"/>
                <w:szCs w:val="14"/>
                <w:b w:val="1"/>
                <w:bCs w:val="1"/>
                <w:color w:val="auto"/>
              </w:rPr>
              <w:t>Dockside gaming</w:t>
            </w:r>
          </w:p>
        </w:tc>
      </w:tr>
      <w:tr>
        <w:trPr>
          <w:trHeight w:val="186"/>
        </w:trPr>
        <w:tc>
          <w:tcPr>
            <w:tcW w:w="3520" w:type="dxa"/>
            <w:vAlign w:val="bottom"/>
            <w:gridSpan w:val="2"/>
          </w:tcPr>
          <w:p>
            <w:pPr>
              <w:ind w:left="20"/>
              <w:spacing w:after="0"/>
              <w:rPr>
                <w:sz w:val="20"/>
                <w:szCs w:val="20"/>
                <w:color w:val="auto"/>
              </w:rPr>
            </w:pPr>
            <w:r>
              <w:rPr>
                <w:rFonts w:ascii="Arial" w:cs="Arial" w:eastAsia="Arial" w:hAnsi="Arial"/>
                <w:sz w:val="14"/>
                <w:szCs w:val="14"/>
                <w:b w:val="1"/>
                <w:bCs w:val="1"/>
                <w:color w:val="auto"/>
              </w:rPr>
              <w:t>Joliet, Illinois</w:t>
            </w:r>
          </w:p>
        </w:tc>
        <w:tc>
          <w:tcPr>
            <w:tcW w:w="4340" w:type="dxa"/>
            <w:vAlign w:val="bottom"/>
          </w:tcPr>
          <w:p>
            <w:pPr>
              <w:ind w:left="40"/>
              <w:spacing w:after="0"/>
              <w:rPr>
                <w:sz w:val="20"/>
                <w:szCs w:val="20"/>
                <w:color w:val="auto"/>
              </w:rPr>
            </w:pPr>
            <w:r>
              <w:rPr>
                <w:rFonts w:ascii="Arial" w:cs="Arial" w:eastAsia="Arial" w:hAnsi="Arial"/>
                <w:sz w:val="14"/>
                <w:szCs w:val="14"/>
                <w:b w:val="1"/>
                <w:bCs w:val="1"/>
                <w:color w:val="auto"/>
              </w:rPr>
              <w:t>Barge-Based Facility</w:t>
            </w:r>
          </w:p>
        </w:tc>
      </w:tr>
      <w:tr>
        <w:trPr>
          <w:trHeight w:val="448"/>
        </w:trPr>
        <w:tc>
          <w:tcPr>
            <w:tcW w:w="3520" w:type="dxa"/>
            <w:vAlign w:val="bottom"/>
            <w:gridSpan w:val="2"/>
          </w:tcPr>
          <w:p>
            <w:pPr>
              <w:ind w:left="20"/>
              <w:spacing w:after="0"/>
              <w:rPr>
                <w:sz w:val="20"/>
                <w:szCs w:val="20"/>
                <w:color w:val="auto"/>
              </w:rPr>
            </w:pPr>
            <w:r>
              <w:rPr>
                <w:rFonts w:ascii="Arial" w:cs="Arial" w:eastAsia="Arial" w:hAnsi="Arial"/>
                <w:sz w:val="14"/>
                <w:szCs w:val="14"/>
                <w:b w:val="1"/>
                <w:bCs w:val="1"/>
                <w:color w:val="auto"/>
              </w:rPr>
              <w:t>777 Hollywood Blvd.</w:t>
            </w:r>
          </w:p>
        </w:tc>
        <w:tc>
          <w:tcPr>
            <w:tcW w:w="4340" w:type="dxa"/>
            <w:vAlign w:val="bottom"/>
          </w:tcPr>
          <w:p>
            <w:pPr>
              <w:ind w:left="40"/>
              <w:spacing w:after="0"/>
              <w:rPr>
                <w:sz w:val="20"/>
                <w:szCs w:val="20"/>
                <w:color w:val="auto"/>
              </w:rPr>
            </w:pPr>
            <w:r>
              <w:rPr>
                <w:rFonts w:ascii="Arial" w:cs="Arial" w:eastAsia="Arial" w:hAnsi="Arial"/>
                <w:sz w:val="14"/>
                <w:szCs w:val="14"/>
                <w:b w:val="1"/>
                <w:bCs w:val="1"/>
                <w:color w:val="auto"/>
              </w:rPr>
              <w:t>Dockside Gaming</w:t>
            </w:r>
          </w:p>
        </w:tc>
      </w:tr>
      <w:tr>
        <w:trPr>
          <w:trHeight w:val="186"/>
        </w:trPr>
        <w:tc>
          <w:tcPr>
            <w:tcW w:w="3520" w:type="dxa"/>
            <w:vAlign w:val="bottom"/>
            <w:gridSpan w:val="2"/>
          </w:tcPr>
          <w:p>
            <w:pPr>
              <w:ind w:left="20"/>
              <w:spacing w:after="0"/>
              <w:rPr>
                <w:sz w:val="20"/>
                <w:szCs w:val="20"/>
                <w:color w:val="auto"/>
              </w:rPr>
            </w:pPr>
            <w:r>
              <w:rPr>
                <w:rFonts w:ascii="Arial" w:cs="Arial" w:eastAsia="Arial" w:hAnsi="Arial"/>
                <w:sz w:val="14"/>
                <w:szCs w:val="14"/>
                <w:b w:val="1"/>
                <w:bCs w:val="1"/>
                <w:color w:val="auto"/>
              </w:rPr>
              <w:t>Lawrenceburg, Indiana</w:t>
            </w:r>
          </w:p>
        </w:tc>
        <w:tc>
          <w:tcPr>
            <w:tcW w:w="4340" w:type="dxa"/>
            <w:vAlign w:val="bottom"/>
          </w:tcPr>
          <w:p>
            <w:pPr>
              <w:ind w:left="40"/>
              <w:spacing w:after="0"/>
              <w:rPr>
                <w:sz w:val="20"/>
                <w:szCs w:val="20"/>
                <w:color w:val="auto"/>
              </w:rPr>
            </w:pPr>
            <w:r>
              <w:rPr>
                <w:rFonts w:ascii="Arial" w:cs="Arial" w:eastAsia="Arial" w:hAnsi="Arial"/>
                <w:sz w:val="14"/>
                <w:szCs w:val="14"/>
                <w:b w:val="1"/>
                <w:bCs w:val="1"/>
                <w:color w:val="auto"/>
              </w:rPr>
              <w:t>Barge-Based Facility</w:t>
            </w:r>
          </w:p>
        </w:tc>
      </w:tr>
      <w:tr>
        <w:trPr>
          <w:trHeight w:val="448"/>
        </w:trPr>
        <w:tc>
          <w:tcPr>
            <w:tcW w:w="3520" w:type="dxa"/>
            <w:vAlign w:val="bottom"/>
            <w:gridSpan w:val="2"/>
          </w:tcPr>
          <w:p>
            <w:pPr>
              <w:ind w:left="20"/>
              <w:spacing w:after="0"/>
              <w:rPr>
                <w:sz w:val="20"/>
                <w:szCs w:val="20"/>
                <w:color w:val="auto"/>
              </w:rPr>
            </w:pPr>
            <w:r>
              <w:rPr>
                <w:rFonts w:ascii="Arial" w:cs="Arial" w:eastAsia="Arial" w:hAnsi="Arial"/>
                <w:sz w:val="14"/>
                <w:szCs w:val="14"/>
                <w:b w:val="1"/>
                <w:bCs w:val="1"/>
                <w:color w:val="auto"/>
              </w:rPr>
              <w:t>777 Hollywood Blvd.</w:t>
            </w:r>
          </w:p>
        </w:tc>
        <w:tc>
          <w:tcPr>
            <w:tcW w:w="4340" w:type="dxa"/>
            <w:vAlign w:val="bottom"/>
          </w:tcPr>
          <w:p>
            <w:pPr>
              <w:spacing w:after="0"/>
              <w:rPr>
                <w:sz w:val="24"/>
                <w:szCs w:val="24"/>
                <w:color w:val="auto"/>
              </w:rPr>
            </w:pPr>
          </w:p>
        </w:tc>
      </w:tr>
      <w:tr>
        <w:trPr>
          <w:trHeight w:val="213"/>
        </w:trPr>
        <w:tc>
          <w:tcPr>
            <w:tcW w:w="3520" w:type="dxa"/>
            <w:vAlign w:val="bottom"/>
            <w:gridSpan w:val="2"/>
          </w:tcPr>
          <w:p>
            <w:pPr>
              <w:ind w:left="20"/>
              <w:spacing w:after="0"/>
              <w:rPr>
                <w:sz w:val="20"/>
                <w:szCs w:val="20"/>
                <w:color w:val="auto"/>
              </w:rPr>
            </w:pPr>
            <w:r>
              <w:rPr>
                <w:rFonts w:ascii="Arial" w:cs="Arial" w:eastAsia="Arial" w:hAnsi="Arial"/>
                <w:sz w:val="14"/>
                <w:szCs w:val="14"/>
                <w:b w:val="1"/>
                <w:bCs w:val="1"/>
                <w:color w:val="auto"/>
              </w:rPr>
              <w:t>Grantville, Pennsylvania</w:t>
            </w:r>
          </w:p>
        </w:tc>
        <w:tc>
          <w:tcPr>
            <w:tcW w:w="4340" w:type="dxa"/>
            <w:vAlign w:val="bottom"/>
          </w:tcPr>
          <w:p>
            <w:pPr>
              <w:ind w:left="40"/>
              <w:spacing w:after="0"/>
              <w:rPr>
                <w:sz w:val="20"/>
                <w:szCs w:val="20"/>
                <w:color w:val="auto"/>
              </w:rPr>
            </w:pPr>
            <w:r>
              <w:rPr>
                <w:rFonts w:ascii="Arial" w:cs="Arial" w:eastAsia="Arial" w:hAnsi="Arial"/>
                <w:sz w:val="14"/>
                <w:szCs w:val="14"/>
                <w:b w:val="1"/>
                <w:bCs w:val="1"/>
                <w:color w:val="auto"/>
              </w:rPr>
              <w:t>Land-based Gaming and Thoroughbred Racing</w:t>
            </w:r>
          </w:p>
        </w:tc>
      </w:tr>
      <w:tr>
        <w:trPr>
          <w:trHeight w:val="421"/>
        </w:trPr>
        <w:tc>
          <w:tcPr>
            <w:tcW w:w="3520" w:type="dxa"/>
            <w:vAlign w:val="bottom"/>
            <w:gridSpan w:val="2"/>
          </w:tcPr>
          <w:p>
            <w:pPr>
              <w:ind w:left="20"/>
              <w:spacing w:after="0"/>
              <w:rPr>
                <w:sz w:val="20"/>
                <w:szCs w:val="20"/>
                <w:color w:val="auto"/>
              </w:rPr>
            </w:pPr>
            <w:r>
              <w:rPr>
                <w:rFonts w:ascii="Arial" w:cs="Arial" w:eastAsia="Arial" w:hAnsi="Arial"/>
                <w:sz w:val="14"/>
                <w:szCs w:val="14"/>
                <w:b w:val="1"/>
                <w:bCs w:val="1"/>
                <w:color w:val="auto"/>
              </w:rPr>
              <w:t>777 Casino Center Drive</w:t>
            </w:r>
          </w:p>
        </w:tc>
        <w:tc>
          <w:tcPr>
            <w:tcW w:w="4340" w:type="dxa"/>
            <w:vAlign w:val="bottom"/>
          </w:tcPr>
          <w:p>
            <w:pPr>
              <w:ind w:left="40"/>
              <w:spacing w:after="0"/>
              <w:rPr>
                <w:sz w:val="20"/>
                <w:szCs w:val="20"/>
                <w:color w:val="auto"/>
              </w:rPr>
            </w:pPr>
            <w:r>
              <w:rPr>
                <w:rFonts w:ascii="Arial" w:cs="Arial" w:eastAsia="Arial" w:hAnsi="Arial"/>
                <w:sz w:val="14"/>
                <w:szCs w:val="14"/>
                <w:b w:val="1"/>
                <w:bCs w:val="1"/>
                <w:color w:val="auto"/>
              </w:rPr>
              <w:t>Dockside Gaming</w:t>
            </w:r>
          </w:p>
        </w:tc>
      </w:tr>
      <w:tr>
        <w:trPr>
          <w:trHeight w:val="186"/>
        </w:trPr>
        <w:tc>
          <w:tcPr>
            <w:tcW w:w="35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Maryland Heights, Missouri</w:t>
            </w:r>
          </w:p>
        </w:tc>
        <w:tc>
          <w:tcPr>
            <w:tcW w:w="4340" w:type="dxa"/>
            <w:vAlign w:val="bottom"/>
          </w:tcPr>
          <w:p>
            <w:pPr>
              <w:ind w:left="40"/>
              <w:spacing w:after="0"/>
              <w:rPr>
                <w:sz w:val="20"/>
                <w:szCs w:val="20"/>
                <w:color w:val="auto"/>
              </w:rPr>
            </w:pPr>
            <w:r>
              <w:rPr>
                <w:rFonts w:ascii="Arial" w:cs="Arial" w:eastAsia="Arial" w:hAnsi="Arial"/>
                <w:sz w:val="14"/>
                <w:szCs w:val="14"/>
                <w:b w:val="1"/>
                <w:bCs w:val="1"/>
                <w:color w:val="auto"/>
              </w:rPr>
              <w:t>Barge-Based Facility</w:t>
            </w:r>
          </w:p>
        </w:tc>
      </w:tr>
      <w:tr>
        <w:trPr>
          <w:trHeight w:val="448"/>
        </w:trPr>
        <w:tc>
          <w:tcPr>
            <w:tcW w:w="3520" w:type="dxa"/>
            <w:vAlign w:val="bottom"/>
            <w:gridSpan w:val="2"/>
          </w:tcPr>
          <w:p>
            <w:pPr>
              <w:ind w:left="20"/>
              <w:spacing w:after="0"/>
              <w:rPr>
                <w:sz w:val="20"/>
                <w:szCs w:val="20"/>
                <w:color w:val="auto"/>
              </w:rPr>
            </w:pPr>
            <w:r>
              <w:rPr>
                <w:rFonts w:ascii="Arial" w:cs="Arial" w:eastAsia="Arial" w:hAnsi="Arial"/>
                <w:sz w:val="14"/>
                <w:szCs w:val="14"/>
                <w:b w:val="1"/>
                <w:bCs w:val="1"/>
                <w:color w:val="auto"/>
              </w:rPr>
              <w:t>1968 Miami Street</w:t>
            </w:r>
          </w:p>
        </w:tc>
        <w:tc>
          <w:tcPr>
            <w:tcW w:w="4340" w:type="dxa"/>
            <w:vAlign w:val="bottom"/>
          </w:tcPr>
          <w:p>
            <w:pPr>
              <w:spacing w:after="0"/>
              <w:rPr>
                <w:sz w:val="24"/>
                <w:szCs w:val="24"/>
                <w:color w:val="auto"/>
              </w:rPr>
            </w:pPr>
          </w:p>
        </w:tc>
      </w:tr>
      <w:tr>
        <w:trPr>
          <w:trHeight w:val="213"/>
        </w:trPr>
        <w:tc>
          <w:tcPr>
            <w:tcW w:w="3520" w:type="dxa"/>
            <w:vAlign w:val="bottom"/>
            <w:gridSpan w:val="2"/>
          </w:tcPr>
          <w:p>
            <w:pPr>
              <w:ind w:left="20"/>
              <w:spacing w:after="0"/>
              <w:rPr>
                <w:sz w:val="20"/>
                <w:szCs w:val="20"/>
                <w:color w:val="auto"/>
              </w:rPr>
            </w:pPr>
            <w:r>
              <w:rPr>
                <w:rFonts w:ascii="Arial" w:cs="Arial" w:eastAsia="Arial" w:hAnsi="Arial"/>
                <w:sz w:val="14"/>
                <w:szCs w:val="14"/>
                <w:b w:val="1"/>
                <w:bCs w:val="1"/>
                <w:color w:val="auto"/>
              </w:rPr>
              <w:t>Toledo, Ohio</w:t>
            </w:r>
          </w:p>
        </w:tc>
        <w:tc>
          <w:tcPr>
            <w:tcW w:w="4340" w:type="dxa"/>
            <w:vAlign w:val="bottom"/>
          </w:tcPr>
          <w:p>
            <w:pPr>
              <w:ind w:left="40"/>
              <w:spacing w:after="0"/>
              <w:rPr>
                <w:sz w:val="20"/>
                <w:szCs w:val="20"/>
                <w:color w:val="auto"/>
              </w:rPr>
            </w:pPr>
            <w:r>
              <w:rPr>
                <w:rFonts w:ascii="Arial" w:cs="Arial" w:eastAsia="Arial" w:hAnsi="Arial"/>
                <w:sz w:val="14"/>
                <w:szCs w:val="14"/>
                <w:b w:val="1"/>
                <w:bCs w:val="1"/>
                <w:color w:val="auto"/>
              </w:rPr>
              <w:t>Land-based Gaming</w:t>
            </w:r>
          </w:p>
        </w:tc>
      </w:tr>
      <w:tr>
        <w:trPr>
          <w:trHeight w:val="421"/>
        </w:trPr>
        <w:tc>
          <w:tcPr>
            <w:tcW w:w="3520" w:type="dxa"/>
            <w:vAlign w:val="bottom"/>
            <w:gridSpan w:val="2"/>
          </w:tcPr>
          <w:p>
            <w:pPr>
              <w:ind w:left="20"/>
              <w:spacing w:after="0"/>
              <w:rPr>
                <w:sz w:val="20"/>
                <w:szCs w:val="20"/>
                <w:color w:val="auto"/>
              </w:rPr>
            </w:pPr>
            <w:r>
              <w:rPr>
                <w:rFonts w:ascii="Arial" w:cs="Arial" w:eastAsia="Arial" w:hAnsi="Arial"/>
                <w:sz w:val="14"/>
                <w:szCs w:val="14"/>
                <w:b w:val="1"/>
                <w:bCs w:val="1"/>
                <w:color w:val="auto"/>
              </w:rPr>
              <w:t>1150 Casino Strip Resort Blvd.</w:t>
            </w:r>
          </w:p>
        </w:tc>
        <w:tc>
          <w:tcPr>
            <w:tcW w:w="4340" w:type="dxa"/>
            <w:vAlign w:val="bottom"/>
          </w:tcPr>
          <w:p>
            <w:pPr>
              <w:ind w:left="40"/>
              <w:spacing w:after="0"/>
              <w:rPr>
                <w:sz w:val="20"/>
                <w:szCs w:val="20"/>
                <w:color w:val="auto"/>
              </w:rPr>
            </w:pPr>
            <w:r>
              <w:rPr>
                <w:rFonts w:ascii="Arial" w:cs="Arial" w:eastAsia="Arial" w:hAnsi="Arial"/>
                <w:sz w:val="14"/>
                <w:szCs w:val="14"/>
                <w:b w:val="1"/>
                <w:bCs w:val="1"/>
                <w:color w:val="auto"/>
              </w:rPr>
              <w:t>Dockside Gaming</w:t>
            </w:r>
          </w:p>
        </w:tc>
      </w:tr>
      <w:tr>
        <w:trPr>
          <w:trHeight w:val="186"/>
        </w:trPr>
        <w:tc>
          <w:tcPr>
            <w:tcW w:w="3520" w:type="dxa"/>
            <w:vAlign w:val="bottom"/>
            <w:gridSpan w:val="2"/>
          </w:tcPr>
          <w:p>
            <w:pPr>
              <w:ind w:left="20"/>
              <w:spacing w:after="0"/>
              <w:rPr>
                <w:sz w:val="20"/>
                <w:szCs w:val="20"/>
                <w:color w:val="auto"/>
              </w:rPr>
            </w:pPr>
            <w:r>
              <w:rPr>
                <w:rFonts w:ascii="Arial" w:cs="Arial" w:eastAsia="Arial" w:hAnsi="Arial"/>
                <w:sz w:val="14"/>
                <w:szCs w:val="14"/>
                <w:b w:val="1"/>
                <w:bCs w:val="1"/>
                <w:color w:val="auto"/>
              </w:rPr>
              <w:t>Robinsonville, Mississippi</w:t>
            </w:r>
          </w:p>
        </w:tc>
        <w:tc>
          <w:tcPr>
            <w:tcW w:w="4340" w:type="dxa"/>
            <w:vAlign w:val="bottom"/>
          </w:tcPr>
          <w:p>
            <w:pPr>
              <w:ind w:left="40"/>
              <w:spacing w:after="0"/>
              <w:rPr>
                <w:sz w:val="20"/>
                <w:szCs w:val="20"/>
                <w:color w:val="auto"/>
              </w:rPr>
            </w:pPr>
            <w:r>
              <w:rPr>
                <w:rFonts w:ascii="Arial" w:cs="Arial" w:eastAsia="Arial" w:hAnsi="Arial"/>
                <w:sz w:val="14"/>
                <w:szCs w:val="14"/>
                <w:b w:val="1"/>
                <w:bCs w:val="1"/>
                <w:color w:val="auto"/>
              </w:rPr>
              <w:t>Barge-Based Facility</w:t>
            </w:r>
          </w:p>
        </w:tc>
      </w:tr>
    </w:tbl>
    <w:p>
      <w:pPr>
        <w:spacing w:after="0" w:line="268"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 - 1</w:t>
      </w:r>
    </w:p>
    <w:p>
      <w:pPr>
        <w:sectPr>
          <w:pgSz w:w="11900" w:h="16838" w:orient="portrait"/>
          <w:cols w:equalWidth="0" w:num="2">
            <w:col w:w="3260" w:space="260"/>
            <w:col w:w="7860"/>
          </w:cols>
          <w:pgMar w:left="280" w:top="591" w:right="239" w:bottom="1440" w:gutter="0" w:footer="0" w:header="0"/>
        </w:sectPr>
      </w:pPr>
    </w:p>
    <w:bookmarkStart w:id="142" w:name="page143"/>
    <w:bookmarkEnd w:id="142"/>
    <w:tbl>
      <w:tblPr>
        <w:tblLayout w:type="fixed"/>
        <w:tblInd w:w="60" w:type="dxa"/>
        <w:tblCellMar>
          <w:top w:w="0" w:type="dxa"/>
          <w:left w:w="0" w:type="dxa"/>
          <w:bottom w:w="0" w:type="dxa"/>
          <w:right w:w="0" w:type="dxa"/>
        </w:tblCellMar>
      </w:tblPr>
      <w:tr>
        <w:trPr>
          <w:trHeight w:val="161"/>
        </w:trPr>
        <w:tc>
          <w:tcPr>
            <w:tcW w:w="3400" w:type="dxa"/>
            <w:vAlign w:val="bottom"/>
          </w:tcPr>
          <w:p>
            <w:pPr>
              <w:spacing w:after="0"/>
              <w:rPr>
                <w:sz w:val="20"/>
                <w:szCs w:val="20"/>
                <w:color w:val="auto"/>
              </w:rPr>
            </w:pPr>
            <w:r>
              <w:rPr>
                <w:rFonts w:ascii="Arial" w:cs="Arial" w:eastAsia="Arial" w:hAnsi="Arial"/>
                <w:sz w:val="14"/>
                <w:szCs w:val="14"/>
                <w:b w:val="1"/>
                <w:bCs w:val="1"/>
                <w:color w:val="auto"/>
              </w:rPr>
              <w:t>M Resort Spa Casino</w:t>
            </w:r>
          </w:p>
        </w:tc>
        <w:tc>
          <w:tcPr>
            <w:tcW w:w="3420" w:type="dxa"/>
            <w:vAlign w:val="bottom"/>
          </w:tcPr>
          <w:p>
            <w:pPr>
              <w:ind w:left="140"/>
              <w:spacing w:after="0"/>
              <w:rPr>
                <w:sz w:val="20"/>
                <w:szCs w:val="20"/>
                <w:color w:val="auto"/>
              </w:rPr>
            </w:pPr>
            <w:r>
              <w:rPr>
                <w:rFonts w:ascii="Arial" w:cs="Arial" w:eastAsia="Arial" w:hAnsi="Arial"/>
                <w:sz w:val="14"/>
                <w:szCs w:val="14"/>
                <w:b w:val="1"/>
                <w:bCs w:val="1"/>
                <w:color w:val="auto"/>
              </w:rPr>
              <w:t>12300 Las Vegas Blvd. South</w:t>
            </w:r>
          </w:p>
        </w:tc>
        <w:tc>
          <w:tcPr>
            <w:tcW w:w="31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Land-based Gaming</w:t>
            </w:r>
          </w:p>
        </w:tc>
        <w:tc>
          <w:tcPr>
            <w:tcW w:w="0" w:type="dxa"/>
            <w:vAlign w:val="bottom"/>
          </w:tcPr>
          <w:p>
            <w:pPr>
              <w:spacing w:after="0"/>
              <w:rPr>
                <w:sz w:val="1"/>
                <w:szCs w:val="1"/>
                <w:color w:val="auto"/>
              </w:rPr>
            </w:pPr>
          </w:p>
        </w:tc>
      </w:tr>
      <w:tr>
        <w:trPr>
          <w:trHeight w:val="186"/>
        </w:trPr>
        <w:tc>
          <w:tcPr>
            <w:tcW w:w="3400" w:type="dxa"/>
            <w:vAlign w:val="bottom"/>
          </w:tcPr>
          <w:p>
            <w:pPr>
              <w:spacing w:after="0"/>
              <w:rPr>
                <w:sz w:val="20"/>
                <w:szCs w:val="20"/>
                <w:color w:val="auto"/>
              </w:rPr>
            </w:pPr>
            <w:r>
              <w:rPr>
                <w:rFonts w:ascii="Arial" w:cs="Arial" w:eastAsia="Arial" w:hAnsi="Arial"/>
                <w:sz w:val="14"/>
                <w:szCs w:val="14"/>
                <w:b w:val="1"/>
                <w:bCs w:val="1"/>
                <w:color w:val="auto"/>
              </w:rPr>
              <w:t>(excluding Simon Ground Lease property)</w:t>
            </w:r>
          </w:p>
        </w:tc>
        <w:tc>
          <w:tcPr>
            <w:tcW w:w="3420" w:type="dxa"/>
            <w:vAlign w:val="bottom"/>
          </w:tcPr>
          <w:p>
            <w:pPr>
              <w:ind w:left="140"/>
              <w:spacing w:after="0"/>
              <w:rPr>
                <w:sz w:val="20"/>
                <w:szCs w:val="20"/>
                <w:color w:val="auto"/>
              </w:rPr>
            </w:pPr>
            <w:r>
              <w:rPr>
                <w:rFonts w:ascii="Arial" w:cs="Arial" w:eastAsia="Arial" w:hAnsi="Arial"/>
                <w:sz w:val="14"/>
                <w:szCs w:val="14"/>
                <w:b w:val="1"/>
                <w:bCs w:val="1"/>
                <w:color w:val="auto"/>
              </w:rPr>
              <w:t>Henderson, Nevada</w:t>
            </w:r>
          </w:p>
        </w:tc>
        <w:tc>
          <w:tcPr>
            <w:tcW w:w="3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4"/>
        </w:trPr>
        <w:tc>
          <w:tcPr>
            <w:tcW w:w="3400" w:type="dxa"/>
            <w:vAlign w:val="bottom"/>
          </w:tcPr>
          <w:p>
            <w:pPr>
              <w:spacing w:after="0"/>
              <w:rPr>
                <w:sz w:val="20"/>
                <w:szCs w:val="20"/>
                <w:color w:val="auto"/>
              </w:rPr>
            </w:pPr>
            <w:r>
              <w:rPr>
                <w:rFonts w:ascii="Arial" w:cs="Arial" w:eastAsia="Arial" w:hAnsi="Arial"/>
                <w:sz w:val="14"/>
                <w:szCs w:val="14"/>
                <w:b w:val="1"/>
                <w:bCs w:val="1"/>
                <w:color w:val="auto"/>
              </w:rPr>
              <w:t>Zia Park Casino</w:t>
            </w:r>
          </w:p>
        </w:tc>
        <w:tc>
          <w:tcPr>
            <w:tcW w:w="34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3901 West Millen Drive</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line="149" w:lineRule="exact"/>
              <w:rPr>
                <w:sz w:val="20"/>
                <w:szCs w:val="20"/>
                <w:color w:val="auto"/>
              </w:rPr>
            </w:pPr>
            <w:r>
              <w:rPr>
                <w:rFonts w:ascii="Arial" w:cs="Arial" w:eastAsia="Arial" w:hAnsi="Arial"/>
                <w:sz w:val="14"/>
                <w:szCs w:val="14"/>
                <w:b w:val="1"/>
                <w:bCs w:val="1"/>
                <w:color w:val="auto"/>
                <w:w w:val="95"/>
              </w:rPr>
              <w:t>(excluding property listed on Schedule 1.1 paragraph</w:t>
            </w:r>
          </w:p>
        </w:tc>
        <w:tc>
          <w:tcPr>
            <w:tcW w:w="3420" w:type="dxa"/>
            <w:vAlign w:val="bottom"/>
            <w:vMerge w:val="continue"/>
          </w:tcPr>
          <w:p>
            <w:pPr>
              <w:spacing w:after="0"/>
              <w:rPr>
                <w:sz w:val="12"/>
                <w:szCs w:val="12"/>
                <w:color w:val="auto"/>
              </w:rPr>
            </w:pPr>
          </w:p>
        </w:tc>
        <w:tc>
          <w:tcPr>
            <w:tcW w:w="3160" w:type="dxa"/>
            <w:vAlign w:val="bottom"/>
            <w:vMerge w:val="restart"/>
          </w:tcPr>
          <w:p>
            <w:pPr>
              <w:ind w:left="240"/>
              <w:spacing w:after="0"/>
              <w:rPr>
                <w:sz w:val="20"/>
                <w:szCs w:val="20"/>
                <w:color w:val="auto"/>
              </w:rPr>
            </w:pPr>
            <w:r>
              <w:rPr>
                <w:rFonts w:ascii="Arial" w:cs="Arial" w:eastAsia="Arial" w:hAnsi="Arial"/>
                <w:sz w:val="14"/>
                <w:szCs w:val="14"/>
                <w:b w:val="1"/>
                <w:bCs w:val="1"/>
                <w:color w:val="auto"/>
                <w:w w:val="92"/>
              </w:rPr>
              <w:t>Land-based Gaming and Thoroughbred Racing</w:t>
            </w:r>
          </w:p>
        </w:tc>
        <w:tc>
          <w:tcPr>
            <w:tcW w:w="0" w:type="dxa"/>
            <w:vAlign w:val="bottom"/>
          </w:tcPr>
          <w:p>
            <w:pPr>
              <w:spacing w:after="0"/>
              <w:rPr>
                <w:sz w:val="1"/>
                <w:szCs w:val="1"/>
                <w:color w:val="auto"/>
              </w:rPr>
            </w:pPr>
          </w:p>
        </w:tc>
      </w:tr>
      <w:tr>
        <w:trPr>
          <w:trHeight w:val="186"/>
        </w:trPr>
        <w:tc>
          <w:tcPr>
            <w:tcW w:w="3400" w:type="dxa"/>
            <w:vAlign w:val="bottom"/>
          </w:tcPr>
          <w:p>
            <w:pPr>
              <w:spacing w:after="0"/>
              <w:rPr>
                <w:sz w:val="20"/>
                <w:szCs w:val="20"/>
                <w:color w:val="auto"/>
              </w:rPr>
            </w:pPr>
            <w:r>
              <w:rPr>
                <w:rFonts w:ascii="Arial" w:cs="Arial" w:eastAsia="Arial" w:hAnsi="Arial"/>
                <w:sz w:val="14"/>
                <w:szCs w:val="14"/>
                <w:b w:val="1"/>
                <w:bCs w:val="1"/>
                <w:color w:val="auto"/>
              </w:rPr>
              <w:t>1)</w:t>
            </w:r>
          </w:p>
        </w:tc>
        <w:tc>
          <w:tcPr>
            <w:tcW w:w="3420" w:type="dxa"/>
            <w:vAlign w:val="bottom"/>
          </w:tcPr>
          <w:p>
            <w:pPr>
              <w:ind w:left="140"/>
              <w:spacing w:after="0"/>
              <w:rPr>
                <w:sz w:val="20"/>
                <w:szCs w:val="20"/>
                <w:color w:val="auto"/>
              </w:rPr>
            </w:pPr>
            <w:r>
              <w:rPr>
                <w:rFonts w:ascii="Arial" w:cs="Arial" w:eastAsia="Arial" w:hAnsi="Arial"/>
                <w:sz w:val="14"/>
                <w:szCs w:val="14"/>
                <w:b w:val="1"/>
                <w:bCs w:val="1"/>
                <w:color w:val="auto"/>
              </w:rPr>
              <w:t>Hobbs, New Mexico</w:t>
            </w:r>
          </w:p>
        </w:tc>
        <w:tc>
          <w:tcPr>
            <w:tcW w:w="3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43"/>
        </w:trPr>
        <w:tc>
          <w:tcPr>
            <w:tcW w:w="3400" w:type="dxa"/>
            <w:vAlign w:val="bottom"/>
            <w:vMerge w:val="restart"/>
          </w:tcPr>
          <w:p>
            <w:pPr>
              <w:spacing w:after="0"/>
              <w:rPr>
                <w:sz w:val="20"/>
                <w:szCs w:val="20"/>
                <w:color w:val="auto"/>
              </w:rPr>
            </w:pPr>
            <w:r>
              <w:rPr>
                <w:rFonts w:ascii="Arial" w:cs="Arial" w:eastAsia="Arial" w:hAnsi="Arial"/>
                <w:sz w:val="14"/>
                <w:szCs w:val="14"/>
                <w:b w:val="1"/>
                <w:bCs w:val="1"/>
                <w:color w:val="auto"/>
              </w:rPr>
              <w:t>Resorts Casino Tunica</w:t>
            </w:r>
          </w:p>
        </w:tc>
        <w:tc>
          <w:tcPr>
            <w:tcW w:w="3420" w:type="dxa"/>
            <w:vAlign w:val="bottom"/>
          </w:tcPr>
          <w:p>
            <w:pPr>
              <w:ind w:left="140"/>
              <w:spacing w:after="0"/>
              <w:rPr>
                <w:sz w:val="20"/>
                <w:szCs w:val="20"/>
                <w:color w:val="auto"/>
              </w:rPr>
            </w:pPr>
            <w:r>
              <w:rPr>
                <w:rFonts w:ascii="Arial" w:cs="Arial" w:eastAsia="Arial" w:hAnsi="Arial"/>
                <w:sz w:val="14"/>
                <w:szCs w:val="14"/>
                <w:b w:val="1"/>
                <w:bCs w:val="1"/>
                <w:color w:val="auto"/>
                <w:w w:val="99"/>
              </w:rPr>
              <w:t>1100 Casino Strip Boulevard, Tunica Resorts, MS</w:t>
            </w:r>
          </w:p>
        </w:tc>
        <w:tc>
          <w:tcPr>
            <w:tcW w:w="3160" w:type="dxa"/>
            <w:vAlign w:val="bottom"/>
          </w:tcPr>
          <w:p>
            <w:pPr>
              <w:ind w:left="240"/>
              <w:spacing w:after="0"/>
              <w:rPr>
                <w:sz w:val="20"/>
                <w:szCs w:val="20"/>
                <w:color w:val="auto"/>
              </w:rPr>
            </w:pPr>
            <w:r>
              <w:rPr>
                <w:rFonts w:ascii="Arial" w:cs="Arial" w:eastAsia="Arial" w:hAnsi="Arial"/>
                <w:sz w:val="14"/>
                <w:szCs w:val="14"/>
                <w:b w:val="1"/>
                <w:bCs w:val="1"/>
                <w:color w:val="auto"/>
              </w:rPr>
              <w:t>Dockside Gaming</w:t>
            </w:r>
          </w:p>
        </w:tc>
        <w:tc>
          <w:tcPr>
            <w:tcW w:w="0" w:type="dxa"/>
            <w:vAlign w:val="bottom"/>
          </w:tcPr>
          <w:p>
            <w:pPr>
              <w:spacing w:after="0"/>
              <w:rPr>
                <w:sz w:val="1"/>
                <w:szCs w:val="1"/>
                <w:color w:val="auto"/>
              </w:rPr>
            </w:pPr>
          </w:p>
        </w:tc>
      </w:tr>
      <w:tr>
        <w:trPr>
          <w:trHeight w:val="186"/>
        </w:trPr>
        <w:tc>
          <w:tcPr>
            <w:tcW w:w="3400" w:type="dxa"/>
            <w:vAlign w:val="bottom"/>
            <w:vMerge w:val="continue"/>
          </w:tcPr>
          <w:p>
            <w:pPr>
              <w:spacing w:after="0"/>
              <w:rPr>
                <w:sz w:val="16"/>
                <w:szCs w:val="16"/>
                <w:color w:val="auto"/>
              </w:rPr>
            </w:pPr>
          </w:p>
        </w:tc>
        <w:tc>
          <w:tcPr>
            <w:tcW w:w="3420" w:type="dxa"/>
            <w:vAlign w:val="bottom"/>
          </w:tcPr>
          <w:p>
            <w:pPr>
              <w:ind w:left="140"/>
              <w:spacing w:after="0"/>
              <w:rPr>
                <w:sz w:val="20"/>
                <w:szCs w:val="20"/>
                <w:color w:val="auto"/>
              </w:rPr>
            </w:pPr>
            <w:r>
              <w:rPr>
                <w:rFonts w:ascii="Arial" w:cs="Arial" w:eastAsia="Arial" w:hAnsi="Arial"/>
                <w:sz w:val="14"/>
                <w:szCs w:val="14"/>
                <w:b w:val="1"/>
                <w:bCs w:val="1"/>
                <w:color w:val="auto"/>
              </w:rPr>
              <w:t>38664</w:t>
            </w:r>
          </w:p>
        </w:tc>
        <w:tc>
          <w:tcPr>
            <w:tcW w:w="3160" w:type="dxa"/>
            <w:vAlign w:val="bottom"/>
          </w:tcPr>
          <w:p>
            <w:pPr>
              <w:ind w:left="240"/>
              <w:spacing w:after="0"/>
              <w:rPr>
                <w:sz w:val="20"/>
                <w:szCs w:val="20"/>
                <w:color w:val="auto"/>
              </w:rPr>
            </w:pPr>
            <w:r>
              <w:rPr>
                <w:rFonts w:ascii="Arial" w:cs="Arial" w:eastAsia="Arial" w:hAnsi="Arial"/>
                <w:sz w:val="14"/>
                <w:szCs w:val="14"/>
                <w:b w:val="1"/>
                <w:bCs w:val="1"/>
                <w:color w:val="auto"/>
              </w:rPr>
              <w:t>Barge-Based Facility</w:t>
            </w:r>
          </w:p>
        </w:tc>
        <w:tc>
          <w:tcPr>
            <w:tcW w:w="0" w:type="dxa"/>
            <w:vAlign w:val="bottom"/>
          </w:tcPr>
          <w:p>
            <w:pPr>
              <w:spacing w:after="0"/>
              <w:rPr>
                <w:sz w:val="1"/>
                <w:szCs w:val="1"/>
                <w:color w:val="auto"/>
              </w:rPr>
            </w:pPr>
          </w:p>
        </w:tc>
      </w:tr>
      <w:tr>
        <w:trPr>
          <w:trHeight w:val="394"/>
        </w:trPr>
        <w:tc>
          <w:tcPr>
            <w:tcW w:w="3400" w:type="dxa"/>
            <w:vAlign w:val="bottom"/>
            <w:vMerge w:val="restart"/>
          </w:tcPr>
          <w:p>
            <w:pPr>
              <w:spacing w:after="0"/>
              <w:rPr>
                <w:sz w:val="20"/>
                <w:szCs w:val="20"/>
                <w:color w:val="auto"/>
              </w:rPr>
            </w:pPr>
            <w:r>
              <w:rPr>
                <w:rFonts w:ascii="Arial" w:cs="Arial" w:eastAsia="Arial" w:hAnsi="Arial"/>
                <w:sz w:val="14"/>
                <w:szCs w:val="14"/>
                <w:b w:val="1"/>
                <w:bCs w:val="1"/>
                <w:color w:val="auto"/>
              </w:rPr>
              <w:t>Bally’s Casino Tunica</w:t>
            </w:r>
          </w:p>
        </w:tc>
        <w:tc>
          <w:tcPr>
            <w:tcW w:w="34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1450 Bally Boulevard, Tunica Resorts, MS 38664</w:t>
            </w:r>
          </w:p>
        </w:tc>
        <w:tc>
          <w:tcPr>
            <w:tcW w:w="3160" w:type="dxa"/>
            <w:vAlign w:val="bottom"/>
          </w:tcPr>
          <w:p>
            <w:pPr>
              <w:ind w:left="240"/>
              <w:spacing w:after="0"/>
              <w:rPr>
                <w:sz w:val="20"/>
                <w:szCs w:val="20"/>
                <w:color w:val="auto"/>
              </w:rPr>
            </w:pPr>
            <w:r>
              <w:rPr>
                <w:rFonts w:ascii="Arial" w:cs="Arial" w:eastAsia="Arial" w:hAnsi="Arial"/>
                <w:sz w:val="14"/>
                <w:szCs w:val="14"/>
                <w:b w:val="1"/>
                <w:bCs w:val="1"/>
                <w:color w:val="auto"/>
              </w:rPr>
              <w:t>Dockside Gaming</w:t>
            </w:r>
          </w:p>
        </w:tc>
        <w:tc>
          <w:tcPr>
            <w:tcW w:w="0" w:type="dxa"/>
            <w:vAlign w:val="bottom"/>
          </w:tcPr>
          <w:p>
            <w:pPr>
              <w:spacing w:after="0"/>
              <w:rPr>
                <w:sz w:val="1"/>
                <w:szCs w:val="1"/>
                <w:color w:val="auto"/>
              </w:rPr>
            </w:pPr>
          </w:p>
        </w:tc>
      </w:tr>
      <w:tr>
        <w:trPr>
          <w:trHeight w:val="186"/>
        </w:trPr>
        <w:tc>
          <w:tcPr>
            <w:tcW w:w="3400" w:type="dxa"/>
            <w:vAlign w:val="bottom"/>
            <w:vMerge w:val="continue"/>
          </w:tcPr>
          <w:p>
            <w:pPr>
              <w:spacing w:after="0"/>
              <w:rPr>
                <w:sz w:val="16"/>
                <w:szCs w:val="16"/>
                <w:color w:val="auto"/>
              </w:rPr>
            </w:pPr>
          </w:p>
        </w:tc>
        <w:tc>
          <w:tcPr>
            <w:tcW w:w="3420" w:type="dxa"/>
            <w:vAlign w:val="bottom"/>
            <w:vMerge w:val="continue"/>
          </w:tcPr>
          <w:p>
            <w:pPr>
              <w:spacing w:after="0"/>
              <w:rPr>
                <w:sz w:val="16"/>
                <w:szCs w:val="16"/>
                <w:color w:val="auto"/>
              </w:rPr>
            </w:pPr>
          </w:p>
        </w:tc>
        <w:tc>
          <w:tcPr>
            <w:tcW w:w="3160" w:type="dxa"/>
            <w:vAlign w:val="bottom"/>
          </w:tcPr>
          <w:p>
            <w:pPr>
              <w:ind w:left="240"/>
              <w:spacing w:after="0"/>
              <w:rPr>
                <w:sz w:val="20"/>
                <w:szCs w:val="20"/>
                <w:color w:val="auto"/>
              </w:rPr>
            </w:pPr>
            <w:r>
              <w:rPr>
                <w:rFonts w:ascii="Arial" w:cs="Arial" w:eastAsia="Arial" w:hAnsi="Arial"/>
                <w:sz w:val="14"/>
                <w:szCs w:val="14"/>
                <w:b w:val="1"/>
                <w:bCs w:val="1"/>
                <w:color w:val="auto"/>
              </w:rPr>
              <w:t>Barge-Based Facility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DEVELOPMENT FACILITIES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Borders>
              <w:bottom w:val="single" w:sz="8" w:color="auto"/>
            </w:tcBorders>
          </w:tcPr>
          <w:p>
            <w:pPr>
              <w:ind w:left="1300"/>
              <w:spacing w:after="0"/>
              <w:rPr>
                <w:sz w:val="20"/>
                <w:szCs w:val="20"/>
                <w:color w:val="auto"/>
              </w:rPr>
            </w:pPr>
            <w:r>
              <w:rPr>
                <w:rFonts w:ascii="Arial" w:cs="Arial" w:eastAsia="Arial" w:hAnsi="Arial"/>
                <w:sz w:val="14"/>
                <w:szCs w:val="14"/>
                <w:b w:val="1"/>
                <w:bCs w:val="1"/>
                <w:color w:val="auto"/>
              </w:rPr>
              <w:t>Facility Name</w:t>
            </w:r>
          </w:p>
        </w:tc>
        <w:tc>
          <w:tcPr>
            <w:tcW w:w="120" w:type="dxa"/>
            <w:vAlign w:val="bottom"/>
          </w:tcPr>
          <w:p>
            <w:pPr>
              <w:spacing w:after="0"/>
              <w:rPr>
                <w:sz w:val="16"/>
                <w:szCs w:val="16"/>
                <w:color w:val="auto"/>
              </w:rPr>
            </w:pPr>
          </w:p>
        </w:tc>
        <w:tc>
          <w:tcPr>
            <w:tcW w:w="3420" w:type="dxa"/>
            <w:vAlign w:val="bottom"/>
            <w:tcBorders>
              <w:bottom w:val="single" w:sz="8" w:color="auto"/>
            </w:tcBorders>
          </w:tcPr>
          <w:p>
            <w:pPr>
              <w:ind w:left="1200"/>
              <w:spacing w:after="0"/>
              <w:rPr>
                <w:sz w:val="20"/>
                <w:szCs w:val="20"/>
                <w:color w:val="auto"/>
              </w:rPr>
            </w:pPr>
            <w:r>
              <w:rPr>
                <w:rFonts w:ascii="Arial" w:cs="Arial" w:eastAsia="Arial" w:hAnsi="Arial"/>
                <w:sz w:val="14"/>
                <w:szCs w:val="14"/>
                <w:b w:val="1"/>
                <w:bCs w:val="1"/>
                <w:color w:val="auto"/>
              </w:rPr>
              <w:t>Facility Address</w:t>
            </w:r>
          </w:p>
        </w:tc>
        <w:tc>
          <w:tcPr>
            <w:tcW w:w="100" w:type="dxa"/>
            <w:vAlign w:val="bottom"/>
          </w:tcPr>
          <w:p>
            <w:pPr>
              <w:spacing w:after="0"/>
              <w:rPr>
                <w:sz w:val="16"/>
                <w:szCs w:val="16"/>
                <w:color w:val="auto"/>
              </w:rPr>
            </w:pPr>
          </w:p>
        </w:tc>
        <w:tc>
          <w:tcPr>
            <w:tcW w:w="4340" w:type="dxa"/>
            <w:vAlign w:val="bottom"/>
            <w:tcBorders>
              <w:bottom w:val="single" w:sz="8" w:color="auto"/>
            </w:tcBorders>
          </w:tcPr>
          <w:p>
            <w:pPr>
              <w:ind w:left="2060"/>
              <w:spacing w:after="0"/>
              <w:rPr>
                <w:sz w:val="20"/>
                <w:szCs w:val="20"/>
                <w:color w:val="auto"/>
              </w:rPr>
            </w:pPr>
            <w:r>
              <w:rPr>
                <w:rFonts w:ascii="Arial" w:cs="Arial" w:eastAsia="Arial" w:hAnsi="Arial"/>
                <w:sz w:val="14"/>
                <w:szCs w:val="14"/>
                <w:b w:val="1"/>
                <w:bCs w:val="1"/>
                <w:color w:val="auto"/>
              </w:rPr>
              <w:t>Use</w:t>
            </w:r>
          </w:p>
        </w:tc>
      </w:tr>
      <w:tr>
        <w:trPr>
          <w:trHeight w:val="179"/>
        </w:trPr>
        <w:tc>
          <w:tcPr>
            <w:tcW w:w="3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520" w:type="dxa"/>
            <w:vAlign w:val="bottom"/>
            <w:gridSpan w:val="2"/>
          </w:tcPr>
          <w:p>
            <w:pPr>
              <w:ind w:left="20"/>
              <w:spacing w:after="0"/>
              <w:rPr>
                <w:sz w:val="20"/>
                <w:szCs w:val="20"/>
                <w:color w:val="auto"/>
              </w:rPr>
            </w:pPr>
            <w:r>
              <w:rPr>
                <w:rFonts w:ascii="Arial" w:cs="Arial" w:eastAsia="Arial" w:hAnsi="Arial"/>
                <w:sz w:val="14"/>
                <w:szCs w:val="14"/>
                <w:b w:val="1"/>
                <w:bCs w:val="1"/>
                <w:color w:val="auto"/>
              </w:rPr>
              <w:t>4701 Wagner Ford Road</w:t>
            </w:r>
          </w:p>
        </w:tc>
        <w:tc>
          <w:tcPr>
            <w:tcW w:w="4340" w:type="dxa"/>
            <w:vAlign w:val="bottom"/>
          </w:tcPr>
          <w:p>
            <w:pPr>
              <w:spacing w:after="0"/>
              <w:rPr>
                <w:sz w:val="15"/>
                <w:szCs w:val="15"/>
                <w:color w:val="auto"/>
              </w:rPr>
            </w:pPr>
          </w:p>
        </w:tc>
      </w:tr>
      <w:tr>
        <w:trPr>
          <w:trHeight w:val="213"/>
        </w:trPr>
        <w:tc>
          <w:tcPr>
            <w:tcW w:w="3560" w:type="dxa"/>
            <w:vAlign w:val="bottom"/>
            <w:gridSpan w:val="2"/>
          </w:tcPr>
          <w:p>
            <w:pPr>
              <w:ind w:left="40"/>
              <w:spacing w:after="0"/>
              <w:rPr>
                <w:sz w:val="20"/>
                <w:szCs w:val="20"/>
                <w:color w:val="auto"/>
              </w:rPr>
            </w:pPr>
            <w:r>
              <w:rPr>
                <w:rFonts w:ascii="Arial" w:cs="Arial" w:eastAsia="Arial" w:hAnsi="Arial"/>
                <w:sz w:val="14"/>
                <w:szCs w:val="14"/>
                <w:b w:val="1"/>
                <w:bCs w:val="1"/>
                <w:color w:val="auto"/>
              </w:rPr>
              <w:t>Hollywood Gaming at Dayton Raceway</w:t>
            </w:r>
          </w:p>
        </w:tc>
        <w:tc>
          <w:tcPr>
            <w:tcW w:w="3520" w:type="dxa"/>
            <w:vAlign w:val="bottom"/>
            <w:gridSpan w:val="2"/>
          </w:tcPr>
          <w:p>
            <w:pPr>
              <w:ind w:left="20"/>
              <w:spacing w:after="0"/>
              <w:rPr>
                <w:sz w:val="20"/>
                <w:szCs w:val="20"/>
                <w:color w:val="auto"/>
              </w:rPr>
            </w:pPr>
            <w:r>
              <w:rPr>
                <w:rFonts w:ascii="Arial" w:cs="Arial" w:eastAsia="Arial" w:hAnsi="Arial"/>
                <w:sz w:val="14"/>
                <w:szCs w:val="14"/>
                <w:b w:val="1"/>
                <w:bCs w:val="1"/>
                <w:color w:val="auto"/>
              </w:rPr>
              <w:t>Dayton, Ohio</w:t>
            </w:r>
          </w:p>
        </w:tc>
        <w:tc>
          <w:tcPr>
            <w:tcW w:w="4340" w:type="dxa"/>
            <w:vAlign w:val="bottom"/>
          </w:tcPr>
          <w:p>
            <w:pPr>
              <w:ind w:left="40"/>
              <w:spacing w:after="0"/>
              <w:rPr>
                <w:sz w:val="20"/>
                <w:szCs w:val="20"/>
                <w:color w:val="auto"/>
              </w:rPr>
            </w:pPr>
            <w:r>
              <w:rPr>
                <w:rFonts w:ascii="Arial" w:cs="Arial" w:eastAsia="Arial" w:hAnsi="Arial"/>
                <w:sz w:val="14"/>
                <w:szCs w:val="14"/>
                <w:b w:val="1"/>
                <w:bCs w:val="1"/>
                <w:color w:val="auto"/>
              </w:rPr>
              <w:t>Land-based Gaming and Harness Racing</w:t>
            </w:r>
          </w:p>
        </w:tc>
      </w:tr>
      <w:tr>
        <w:trPr>
          <w:trHeight w:val="421"/>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gridSpan w:val="2"/>
          </w:tcPr>
          <w:p>
            <w:pPr>
              <w:ind w:left="20"/>
              <w:spacing w:after="0"/>
              <w:rPr>
                <w:sz w:val="20"/>
                <w:szCs w:val="20"/>
                <w:color w:val="auto"/>
              </w:rPr>
            </w:pPr>
            <w:r>
              <w:rPr>
                <w:rFonts w:ascii="Arial" w:cs="Arial" w:eastAsia="Arial" w:hAnsi="Arial"/>
                <w:sz w:val="14"/>
                <w:szCs w:val="14"/>
                <w:b w:val="1"/>
                <w:bCs w:val="1"/>
                <w:color w:val="auto"/>
              </w:rPr>
              <w:t>655 North Canfield-Niles Road</w:t>
            </w:r>
          </w:p>
        </w:tc>
        <w:tc>
          <w:tcPr>
            <w:tcW w:w="4340" w:type="dxa"/>
            <w:vAlign w:val="bottom"/>
          </w:tcPr>
          <w:p>
            <w:pPr>
              <w:spacing w:after="0"/>
              <w:rPr>
                <w:sz w:val="24"/>
                <w:szCs w:val="24"/>
                <w:color w:val="auto"/>
              </w:rPr>
            </w:pPr>
          </w:p>
        </w:tc>
      </w:tr>
      <w:tr>
        <w:trPr>
          <w:trHeight w:val="213"/>
        </w:trPr>
        <w:tc>
          <w:tcPr>
            <w:tcW w:w="3560" w:type="dxa"/>
            <w:vAlign w:val="bottom"/>
            <w:gridSpan w:val="2"/>
          </w:tcPr>
          <w:p>
            <w:pPr>
              <w:ind w:left="40"/>
              <w:spacing w:after="0"/>
              <w:rPr>
                <w:sz w:val="20"/>
                <w:szCs w:val="20"/>
                <w:color w:val="auto"/>
              </w:rPr>
            </w:pPr>
            <w:r>
              <w:rPr>
                <w:rFonts w:ascii="Arial" w:cs="Arial" w:eastAsia="Arial" w:hAnsi="Arial"/>
                <w:sz w:val="14"/>
                <w:szCs w:val="14"/>
                <w:b w:val="1"/>
                <w:bCs w:val="1"/>
                <w:color w:val="auto"/>
              </w:rPr>
              <w:t>Hollywood Gaming at Mahoning Valley Race Course</w:t>
            </w:r>
          </w:p>
        </w:tc>
        <w:tc>
          <w:tcPr>
            <w:tcW w:w="3520" w:type="dxa"/>
            <w:vAlign w:val="bottom"/>
            <w:gridSpan w:val="2"/>
          </w:tcPr>
          <w:p>
            <w:pPr>
              <w:ind w:left="20"/>
              <w:spacing w:after="0"/>
              <w:rPr>
                <w:sz w:val="20"/>
                <w:szCs w:val="20"/>
                <w:color w:val="auto"/>
              </w:rPr>
            </w:pPr>
            <w:r>
              <w:rPr>
                <w:rFonts w:ascii="Arial" w:cs="Arial" w:eastAsia="Arial" w:hAnsi="Arial"/>
                <w:sz w:val="14"/>
                <w:szCs w:val="14"/>
                <w:b w:val="1"/>
                <w:bCs w:val="1"/>
                <w:color w:val="auto"/>
              </w:rPr>
              <w:t>Youngstown, Ohio</w:t>
            </w:r>
          </w:p>
        </w:tc>
        <w:tc>
          <w:tcPr>
            <w:tcW w:w="4340" w:type="dxa"/>
            <w:vAlign w:val="bottom"/>
          </w:tcPr>
          <w:p>
            <w:pPr>
              <w:ind w:left="40"/>
              <w:spacing w:after="0"/>
              <w:rPr>
                <w:sz w:val="20"/>
                <w:szCs w:val="20"/>
                <w:color w:val="auto"/>
              </w:rPr>
            </w:pPr>
            <w:r>
              <w:rPr>
                <w:rFonts w:ascii="Arial" w:cs="Arial" w:eastAsia="Arial" w:hAnsi="Arial"/>
                <w:sz w:val="14"/>
                <w:szCs w:val="14"/>
                <w:b w:val="1"/>
                <w:bCs w:val="1"/>
                <w:color w:val="auto"/>
              </w:rPr>
              <w:t>Land-based Gaming and Thoroughbred Racing</w:t>
            </w:r>
          </w:p>
        </w:tc>
      </w:tr>
    </w:tbl>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- 2</w:t>
      </w:r>
    </w:p>
    <w:p>
      <w:pPr>
        <w:sectPr>
          <w:pgSz w:w="11900" w:h="16838" w:orient="portrait"/>
          <w:cols w:equalWidth="0" w:num="1">
            <w:col w:w="11420"/>
          </w:cols>
          <w:pgMar w:left="240" w:top="726" w:right="239" w:bottom="1440" w:gutter="0" w:footer="0" w:header="0"/>
        </w:sectPr>
      </w:pPr>
    </w:p>
    <w:bookmarkStart w:id="143" w:name="page144"/>
    <w:bookmarkEnd w:id="143"/>
    <w:p>
      <w:pPr>
        <w:jc w:val="center"/>
        <w:ind w:right="-19"/>
        <w:spacing w:after="0"/>
        <w:rPr>
          <w:sz w:val="20"/>
          <w:szCs w:val="20"/>
          <w:color w:val="auto"/>
        </w:rPr>
      </w:pPr>
      <w:r>
        <w:rPr>
          <w:rFonts w:ascii="Arial" w:cs="Arial" w:eastAsia="Arial" w:hAnsi="Arial"/>
          <w:sz w:val="22"/>
          <w:szCs w:val="22"/>
          <w:color w:val="auto"/>
        </w:rPr>
        <w:t>ANNEX B</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LEGAL DESCRIPTIONS ADDED TO EXHIBIT B</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Resorts Casino Tunica, Tunica County, Mississippi</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PARCEL 1:</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TUNICA COUNTY TAX PARCEL NUMBERS: 3126-24000-0000203 AND 3126-24000-0000204</w:t>
      </w:r>
    </w:p>
    <w:p>
      <w:pPr>
        <w:spacing w:after="0" w:line="220"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BEING A PERIMETER DESCRIPTION OF PART OF THE LEASEHOLD AND EASEMENT TITLE VESTED IN rih propco ms i, llc by virtue of ASSIGNMENT of lease OF RECORD IN BOOK 204 - PAGE 194, SAID PART TO BE KNOWN FOR THE PURPOSES OF THIS DESCRIPTION AS “SUBJECT PARCEL 1 [CASINO]”, SAID SUBJECT PARCEL 1 [CASINO] BEING DESCRIBED AS:</w:t>
      </w:r>
    </w:p>
    <w:p>
      <w:pPr>
        <w:spacing w:after="0" w:line="188" w:lineRule="exact"/>
        <w:rPr>
          <w:sz w:val="20"/>
          <w:szCs w:val="20"/>
          <w:color w:val="auto"/>
        </w:rPr>
      </w:pPr>
    </w:p>
    <w:p>
      <w:pPr>
        <w:ind w:right="220"/>
        <w:spacing w:after="0" w:line="253" w:lineRule="auto"/>
        <w:rPr>
          <w:sz w:val="20"/>
          <w:szCs w:val="20"/>
          <w:color w:val="auto"/>
        </w:rPr>
      </w:pPr>
      <w:r>
        <w:rPr>
          <w:rFonts w:ascii="Arial" w:cs="Arial" w:eastAsia="Arial" w:hAnsi="Arial"/>
          <w:sz w:val="22"/>
          <w:szCs w:val="22"/>
          <w:color w:val="auto"/>
        </w:rPr>
        <w:t>A TRACT OF LAND SITUATED IN THE NORTHEAST QUARTER OF SECTION 24 IN TOWNSHIP 3 SOUTH, RANGE 11 WEST, CHICKASAW MERIDIAN, ALL IN TUNICA COUNTY, MISSISSIPPI, AND BEING MORE PARTICULARLY DESCRIBED AS:</w:t>
      </w:r>
    </w:p>
    <w:p>
      <w:pPr>
        <w:spacing w:after="0" w:line="186" w:lineRule="exact"/>
        <w:rPr>
          <w:sz w:val="20"/>
          <w:szCs w:val="20"/>
          <w:color w:val="auto"/>
        </w:rPr>
      </w:pPr>
    </w:p>
    <w:p>
      <w:pPr>
        <w:spacing w:after="0" w:line="256" w:lineRule="auto"/>
        <w:rPr>
          <w:sz w:val="20"/>
          <w:szCs w:val="20"/>
          <w:color w:val="auto"/>
        </w:rPr>
      </w:pPr>
      <w:r>
        <w:rPr>
          <w:rFonts w:ascii="Arial" w:cs="Arial" w:eastAsia="Arial" w:hAnsi="Arial"/>
          <w:sz w:val="21"/>
          <w:szCs w:val="21"/>
          <w:color w:val="auto"/>
        </w:rPr>
        <w:t>COMMENCING AT THE REMAINDER OF A FOUND (DESTROYED) CONCRETE MONUMENT AT THE LOCALLY ACCEPTED NORTHWEST CORNER OF SAID SECTION 24, TOWNSHIP 3 SOUTH, RANGE 12 WEST (FOUND RAIL WITH 12 INCH PVC PIPE WITNESS - NORTH 20 DEGREES 50 MINUTES 40 SECONDS EAST - 1.20 FEET FROM SAID SECTION CORNER); THENCE NORTH 89 DEGREES 41 MINUTES 49 SECONDS EAST ALONG THE NORTH LINE OF SAID SECTION 24 A DISTANCE OF 2749.95 FEET TO A FOUND REBAR, SAID REBAR BEING THE TRUE POINT OF BEGINNING OF THIS DESCRIPTION; THENCE ALONG THE PERIMETER OF SAID SUBJECT PARCEL 1 [CASINO] THE FOLLOWING BEARINGS AND DISTANCES: THENCE NORTH 89 DEGREES 41 MINUTES 49 SECONDS EAST (CONTINUING ALONG THE SAID NORTH LINE OF SECTION 24) A DISTANCE OF 215.52 FEET TO A SET CAPPED REBAR IN THE WESTERN TERMINUS OF CASINO STRIP RESORT BOULEVARD [PUBLIC, PAVED ROAD - 48 FEET TO CENTERLINE PER CONFIRMATORY GRANT IN BOOK G-5 - PAGE 412], SAID TERMINUS LYING ON A POINT OF NON TANGENT CURVE TO THE LEFT HAVING A RADIUS OF 62.00 FEET; THENCE SOUTHWARDLY, SOUTHEASTWARDLY, AND EASTWARDLY ALONG SAID NON TANGENT CURVE AND ALONG SAID WESTERN TERMINUS OF CASINO STRIP RESORT BOULEVARD AN ARC DISTANCE OF 127.01 FEET [CHORD BEARING OF SOUTH 58 DEGREES 59 MINUTES 32 SECONDS EAST - CHORD LENGTH OF 105.94 FEET, DELTA ANGLE OF 117 DEGREES 22 MINUTES 33 SECONDS] TO A POINT OF REVERSE CURVE TO THE RIGHT HAVING A RADIUS OF 63.00 FEET; THENCE NORTHEASTWARDLY AND EASTWARDLY ALONG SAID REVERSE CURVE (CONTINUING ALONG SAID WESTERN TERMINUS OF CASINO STRIP RESORT BOULEVARD) AN ARC DISTANCE OF 30.10 FEET [CHORD BEARING OF NORTH 76 DEGREES 00 MINUTES 31 SECONDS EAST - CHORD LENGTH OF 29.82 FEET, DELTA ANGLE OF 27 DEGREES 22 MINUTES 37 SECONDS] TO A SET REBAR AT A POINT OF TANGENCY ON THE SOUTHERLY RIGHT OF WAY LINE OF SAID CASINO STRIP RESORT BOULEVARD [48 FEET TO CENTERLINE AT THIS POINT]; THENCE NORTH 89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 - 1</w:t>
      </w:r>
    </w:p>
    <w:p>
      <w:pPr>
        <w:sectPr>
          <w:pgSz w:w="11900" w:h="16838" w:orient="portrait"/>
          <w:cols w:equalWidth="0" w:num="1">
            <w:col w:w="11420"/>
          </w:cols>
          <w:pgMar w:left="240" w:top="591" w:right="239" w:bottom="1440" w:gutter="0" w:footer="0" w:header="0"/>
        </w:sectPr>
      </w:pPr>
    </w:p>
    <w:bookmarkStart w:id="144" w:name="page145"/>
    <w:bookmarkEnd w:id="144"/>
    <w:p>
      <w:pPr>
        <w:spacing w:after="0" w:line="246" w:lineRule="auto"/>
        <w:rPr>
          <w:sz w:val="20"/>
          <w:szCs w:val="20"/>
          <w:color w:val="auto"/>
        </w:rPr>
      </w:pPr>
      <w:r>
        <w:rPr>
          <w:rFonts w:ascii="Arial" w:cs="Arial" w:eastAsia="Arial" w:hAnsi="Arial"/>
          <w:sz w:val="22"/>
          <w:szCs w:val="22"/>
          <w:color w:val="auto"/>
        </w:rPr>
        <w:t>DEGREES 41 MINUTES 49 SECONDS EAST ALONG SAID SOUTHERLY RIGHT OF WAY LINE - 2088.77 FEET TO A SET CAPPED REBAR AT THE NORTHWEST CORNER OF THE HWCC-TUNICA LEASEHOLD [BOOK G-5 - PAGE 407]; THENCE SOUTH 39 DEGREES 09 MINUTES 42 SECONDS WEST ALONG THE NORTHWESTERLY LINE OF SAID HWCC-TUNICA LEASEHOLD - 2196.93 FEET TO A FOUND REBAR IN THE NORTHERLY LINE OF THE R. M. LEATHERMAN AND HUGH M. MAGEVENY, III PROPERTY; THENCE NORTH 90 DEGREES 00 MINUTES 00 SECONDS WEST ALONG SAID NORTHERLY LINE - 1036.61 FEET TO A POINT (NO MONUMENT SET IN GOLF COURSE FAIRWAY), SAID POINT BEING THE SOUTHWEST CORNER OF THIS DESCRIPTION; THENCE NORTH 00 DEGREES 00 MINUTES 00 SECONDS EAST ALONG THE WEST LINE OF SAID SUBJECT PARCEL 1 [CASINO] A DISTANCE OF 1738.60 FEET TO THE POINT OF BEGINNING.</w:t>
      </w:r>
    </w:p>
    <w:p>
      <w:pPr>
        <w:spacing w:after="0" w:line="192"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ABOVE DESCRIBED SUBJECT PARCEL 1 [CASINO] CONTAINING 67.534 ACRES OR 2,9941,803 SQUARE FEET, MORE OR LESS.</w:t>
      </w:r>
    </w:p>
    <w:p>
      <w:pPr>
        <w:spacing w:after="0" w:line="175" w:lineRule="exact"/>
        <w:rPr>
          <w:sz w:val="20"/>
          <w:szCs w:val="20"/>
          <w:color w:val="auto"/>
        </w:rPr>
      </w:pPr>
    </w:p>
    <w:p>
      <w:pPr>
        <w:ind w:right="500"/>
        <w:spacing w:after="0" w:line="250" w:lineRule="auto"/>
        <w:rPr>
          <w:sz w:val="20"/>
          <w:szCs w:val="20"/>
          <w:color w:val="auto"/>
        </w:rPr>
      </w:pPr>
      <w:r>
        <w:rPr>
          <w:rFonts w:ascii="Arial" w:cs="Arial" w:eastAsia="Arial" w:hAnsi="Arial"/>
          <w:sz w:val="22"/>
          <w:szCs w:val="22"/>
          <w:color w:val="auto"/>
        </w:rPr>
        <w:t>ABOVE DESCRIBED SUBJECT PARCEL 1 [CASINO] IS IMPROVED WITH A MULTI-STORY RESORT HOTEL AND CASINO, A GOLF COURSE ACCESSORY BUILDING, GOLF COURSE, TOGETHER WITH ASSOCIATED IMPROVEMENTS AS SHOWN ON SURVEY, ALL KNOWN AS 1100 CASINO STRIP RESORT BOULEVARD, ROBINSONVILLE, MS 38664.</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ALL MATTERS OF PUBLIC RECORD ARE RECORDED AT THE OFFICE OF THE CHANCERY CLERK OF TUNICA COUNTY, MISSISSIPPI.</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PARCEL 2:</w:t>
      </w:r>
    </w:p>
    <w:p>
      <w:pPr>
        <w:spacing w:after="0" w:line="226" w:lineRule="exact"/>
        <w:rPr>
          <w:sz w:val="20"/>
          <w:szCs w:val="20"/>
          <w:color w:val="auto"/>
        </w:rPr>
      </w:pPr>
    </w:p>
    <w:p>
      <w:pPr>
        <w:ind w:right="240"/>
        <w:spacing w:after="0" w:line="263" w:lineRule="auto"/>
        <w:rPr>
          <w:sz w:val="20"/>
          <w:szCs w:val="20"/>
          <w:color w:val="auto"/>
        </w:rPr>
      </w:pPr>
      <w:r>
        <w:rPr>
          <w:rFonts w:ascii="Arial" w:cs="Arial" w:eastAsia="Arial" w:hAnsi="Arial"/>
          <w:sz w:val="22"/>
          <w:szCs w:val="22"/>
          <w:color w:val="auto"/>
        </w:rPr>
        <w:t>TUNICA COUNTY TAX PARCEL NUMBERS: ALL OF 3126-24000-0000100, AND PARTS OF 3126-24000-0000103, 3126-24000-0000202, 3126-14000-0000200, AND 3126-23000-0000100</w:t>
      </w:r>
    </w:p>
    <w:p>
      <w:pPr>
        <w:spacing w:after="0" w:line="175"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BEING A PERIMETER DESCRIPTION OF PART OF THE LEASEHOLD AND EASEMENT TITLE VESTED IN rih propco ms i, llc by virtue of ASSIGNMENT of lease OF RECORD IN BOOK 204 - PAGE 194, SAID PART TO BE KNOWN FOR THE PURPOSES OF THIS DESCRIPTION AS “SUBJECT PARCEL 2 [RIVER]”, SAID SUBJECT PARCEL 2 [RIVER] BEING DESCRIBED AS:</w:t>
      </w:r>
    </w:p>
    <w:p>
      <w:pPr>
        <w:spacing w:after="0" w:line="188" w:lineRule="exact"/>
        <w:rPr>
          <w:sz w:val="20"/>
          <w:szCs w:val="20"/>
          <w:color w:val="auto"/>
        </w:rPr>
      </w:pPr>
    </w:p>
    <w:p>
      <w:pPr>
        <w:jc w:val="both"/>
        <w:ind w:right="820"/>
        <w:spacing w:after="0" w:line="265" w:lineRule="auto"/>
        <w:rPr>
          <w:sz w:val="20"/>
          <w:szCs w:val="20"/>
          <w:color w:val="auto"/>
        </w:rPr>
      </w:pPr>
      <w:r>
        <w:rPr>
          <w:rFonts w:ascii="Arial" w:cs="Arial" w:eastAsia="Arial" w:hAnsi="Arial"/>
          <w:sz w:val="21"/>
          <w:szCs w:val="21"/>
          <w:color w:val="auto"/>
        </w:rPr>
        <w:t>A TRACT OF LAND SITUATED IN THE NORTHEAST QUARTER OF SECTION 24, AND IN THE NORTHWEST QUARTER OF SECTION 24, AND IN THE NORTHEAST QUARTER OF SECTION 23, AND IN THE SOUTHEAST QUARTER OF SECTION 14, ALL IN TOWNSHIP 3 SOUTH, RANGE 11 WEST, CHICKASAW MERIDIAN, ALL IN TUNICA COUNTY, MISSISSIPPI, AND BEING MORE PARTICULARLY DESCRIBED AS:</w:t>
      </w:r>
    </w:p>
    <w:p>
      <w:pPr>
        <w:spacing w:after="0" w:line="176" w:lineRule="exact"/>
        <w:rPr>
          <w:sz w:val="20"/>
          <w:szCs w:val="20"/>
          <w:color w:val="auto"/>
        </w:rPr>
      </w:pPr>
    </w:p>
    <w:p>
      <w:pPr>
        <w:ind w:right="80"/>
        <w:spacing w:after="0" w:line="248" w:lineRule="auto"/>
        <w:rPr>
          <w:sz w:val="20"/>
          <w:szCs w:val="20"/>
          <w:color w:val="auto"/>
        </w:rPr>
      </w:pPr>
      <w:r>
        <w:rPr>
          <w:rFonts w:ascii="Arial" w:cs="Arial" w:eastAsia="Arial" w:hAnsi="Arial"/>
          <w:sz w:val="22"/>
          <w:szCs w:val="22"/>
          <w:color w:val="auto"/>
        </w:rPr>
        <w:t>COMMENCING AT THE REMAINDER OF A FOUND (DESTROYED) CONCRETE MONUMENT AT THE LOCALLY ACCEPTED NORTHWEST CORNER OF SAID SECTION 24, TOWNSHIP 3 SOUTH, RANGE 12 WEST (FOUND RAIL WITH 12 INCH PVC PIPE WITNESS AT NORTH 20 DEGREES 50 MINUTES 40 SECONDS EAST - 1.20 FEET FROM SAID SECTION CORNER); THENCE NORTH 89 DEGREES 41 MINUTES 49 SECONDS EAST ALONG THE NORTH LINE OF SAID SECTION 24 AND ALSO ALONG THE DEEDED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 - 2</w:t>
      </w:r>
    </w:p>
    <w:p>
      <w:pPr>
        <w:sectPr>
          <w:pgSz w:w="11900" w:h="16838" w:orient="portrait"/>
          <w:cols w:equalWidth="0" w:num="1">
            <w:col w:w="11400"/>
          </w:cols>
          <w:pgMar w:left="240" w:top="591" w:right="259" w:bottom="1440" w:gutter="0" w:footer="0" w:header="0"/>
        </w:sectPr>
      </w:pPr>
    </w:p>
    <w:bookmarkStart w:id="145" w:name="page146"/>
    <w:bookmarkEnd w:id="145"/>
    <w:p>
      <w:pPr>
        <w:ind w:right="120"/>
        <w:spacing w:after="0" w:line="283" w:lineRule="auto"/>
        <w:rPr>
          <w:sz w:val="20"/>
          <w:szCs w:val="20"/>
          <w:color w:val="auto"/>
        </w:rPr>
      </w:pPr>
      <w:r>
        <w:rPr>
          <w:rFonts w:ascii="Arial" w:cs="Arial" w:eastAsia="Arial" w:hAnsi="Arial"/>
          <w:sz w:val="19"/>
          <w:szCs w:val="19"/>
          <w:color w:val="auto"/>
        </w:rPr>
        <w:t>CENTERLINE OF CASINO STRIP RESORT BOULEVARD [PUBLIC, PAVED ROAD - 48 FEET TO CENTERLINE PER CONFIRMATORY GRANT IN BOOK G-5 - PAGE 412] A DISTANCE OF 2749.95 FEET TO A FOUND REBAR AT THE NORTHWEST CORNER OF SUBJECT PARCEL 1; THENCE SOUTH 00 DEGREES 00 MINUTES 00 SECONDS EAST ALONG THE WESTERLY LINE OF SAID SUBJECT PARCEL 1 A DISTANCE OF 1120.12 FEET TO THE TRUE POINT OF BEGINNING OF THIS DESCRIPTION; THENCE ALONG THE PERIMETER OF SAID SUBJECT PARCEL 2 [RIVER] THE FOLLOWING BEARINGS AND DISTANCES: THENCE SOUTH 00 DEGREES 00 MINUTES 00 SECONDS EAST ALONG THE SAID WESTERLY LINE OF PARCEL 1 A DISTANCE OF 190.75 FEET TO A POINT; THENCE NORTH 88 DEGREES 48 MINUTES 03 SECONDS WEST (LEAVING SAID WESTERLY LINE) - 193.62 FEET TO AN ANGLE POINT; THENCE NORTH 68 DEGREES 40 MINUTES 34 SECONDS WEST - 606.87 FEET TO AN ANGLE POINT; THENCE NORTH 65 DEGREES 38 MINUTES 09 SECONDS WEST - 613.65 FEET TO AN ANGLE POINT; THENCE NORTH 65 DEGREES 19 MINUTES 08 SECONDS WEST - 1083.49 FEET TO AN ANGLE POINT; THENCE NORTH 69 DEGREES 18 MINUTES 21 SECONDS WEST - 539.83 FEET TO AN ANGLE POINT; THENCE NORTH 63 DEGREES 20 MINUTES 00 SECONDS WEST - 634.33 FEET TO AN ANGLE POINT; THENCE NORTH 65 DEGREES 24 MINUTES 26 SECONDS WEST - 641.41</w:t>
      </w:r>
    </w:p>
    <w:p>
      <w:pPr>
        <w:spacing w:after="0" w:line="5" w:lineRule="exact"/>
        <w:rPr>
          <w:sz w:val="20"/>
          <w:szCs w:val="20"/>
          <w:color w:val="auto"/>
        </w:rPr>
      </w:pPr>
    </w:p>
    <w:p>
      <w:pPr>
        <w:ind w:right="20"/>
        <w:spacing w:after="0" w:line="243" w:lineRule="auto"/>
        <w:rPr>
          <w:sz w:val="20"/>
          <w:szCs w:val="20"/>
          <w:color w:val="auto"/>
        </w:rPr>
      </w:pPr>
      <w:r>
        <w:rPr>
          <w:rFonts w:ascii="Arial" w:cs="Arial" w:eastAsia="Arial" w:hAnsi="Arial"/>
          <w:sz w:val="22"/>
          <w:szCs w:val="22"/>
          <w:color w:val="auto"/>
        </w:rPr>
        <w:t>FEET TO A POINT ON THE APPROXIMATE EASTERN TOP OF BANK REVETMENT OF THE MISSISSIPPI RIVER AS IT EXISTED IN JULY, 1995; THENCE NORTH 58 DEGREES 52 MINUTES 07 SECONDS EAST ALONG SAID EASTERN TOP OF BANK REVETMENT - 108.91 FEET TO AN ANGLE POINT; THENCE NORTH 44 DEGREES 58 MINUTES 31 SECONDS EAST CONTINUING ALONG SAID EASTERN TOP OF BANK REVETMENT - 95.28 FEET TO A POINT; THENCE SOUTH 65 DEGREES 16 MINUTES 09 SECONDS EAST (LEAVING SAID EASTERN TOP OF BANK REVETMENT) - 546.04 FEET TO AN ANGLE POINT;</w:t>
      </w:r>
    </w:p>
    <w:p>
      <w:pPr>
        <w:spacing w:after="0" w:line="3" w:lineRule="exact"/>
        <w:rPr>
          <w:sz w:val="20"/>
          <w:szCs w:val="20"/>
          <w:color w:val="auto"/>
        </w:rPr>
      </w:pPr>
    </w:p>
    <w:p>
      <w:pPr>
        <w:spacing w:after="0" w:line="258" w:lineRule="auto"/>
        <w:rPr>
          <w:sz w:val="20"/>
          <w:szCs w:val="20"/>
          <w:color w:val="auto"/>
        </w:rPr>
      </w:pPr>
      <w:r>
        <w:rPr>
          <w:rFonts w:ascii="Arial" w:cs="Arial" w:eastAsia="Arial" w:hAnsi="Arial"/>
          <w:sz w:val="21"/>
          <w:szCs w:val="21"/>
          <w:color w:val="auto"/>
        </w:rPr>
        <w:t>THENCE SOUTH 63 DEGREES 19 MINUTES 02 SECONDS EAST - 612.80 FEET TO AN ANGLE POINT; THENCE SOUTH 72 DEGREES 33 MINUTES 04 SECONDS EAST - 291.23 FEET TO AN ANGLE POINT; THENCE SOUTH 65 DEGREES 21 MINUTES 03 SECONDS EAST - 1352.15 FEET TO AN ANGLE POINT; THENCE SOUTH 67 DEGREES 26 MINUTES 32 SECONDS EAST - 1162.40 FEET TO AN ANGLE POINT; THENCE SOUTH 88 DEGREES 23 MINUTES 22 SECONDS EAST - 173.26 FEET TO THE SAID POINT OF BEGINNING.</w:t>
      </w:r>
    </w:p>
    <w:p>
      <w:pPr>
        <w:spacing w:after="0" w:line="183" w:lineRule="exact"/>
        <w:rPr>
          <w:sz w:val="20"/>
          <w:szCs w:val="20"/>
          <w:color w:val="auto"/>
        </w:rPr>
      </w:pPr>
    </w:p>
    <w:p>
      <w:pPr>
        <w:ind w:right="80"/>
        <w:spacing w:after="0" w:line="263" w:lineRule="auto"/>
        <w:rPr>
          <w:sz w:val="20"/>
          <w:szCs w:val="20"/>
          <w:color w:val="auto"/>
        </w:rPr>
      </w:pPr>
      <w:r>
        <w:rPr>
          <w:rFonts w:ascii="Arial" w:cs="Arial" w:eastAsia="Arial" w:hAnsi="Arial"/>
          <w:sz w:val="22"/>
          <w:szCs w:val="22"/>
          <w:color w:val="auto"/>
        </w:rPr>
        <w:t>ABOVE DESCRIBED SUBJECT PARCEL 2 [RIVER] CONTAINING 17.746 ACRES OR 773,003 SQUARE FEET, MORE OR LESS.</w:t>
      </w:r>
    </w:p>
    <w:p>
      <w:pPr>
        <w:spacing w:after="0" w:line="175" w:lineRule="exact"/>
        <w:rPr>
          <w:sz w:val="20"/>
          <w:szCs w:val="20"/>
          <w:color w:val="auto"/>
        </w:rPr>
      </w:pPr>
    </w:p>
    <w:p>
      <w:pPr>
        <w:ind w:right="860"/>
        <w:spacing w:after="0" w:line="263" w:lineRule="auto"/>
        <w:rPr>
          <w:sz w:val="20"/>
          <w:szCs w:val="20"/>
          <w:color w:val="auto"/>
        </w:rPr>
      </w:pPr>
      <w:r>
        <w:rPr>
          <w:rFonts w:ascii="Arial" w:cs="Arial" w:eastAsia="Arial" w:hAnsi="Arial"/>
          <w:sz w:val="22"/>
          <w:szCs w:val="22"/>
          <w:color w:val="auto"/>
        </w:rPr>
        <w:t>ABOVE DESCRIBED SUBJECT PARCEL 2 [RIVER] IS IMPROVED WITH A GOLF COURSE AND ASSOCIATED IMPROVEMENTS, TOGETHER WITH VACANT LAND AS SHOWN ON SURVEY.</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ALL MATTERS OF PUBLIC RECORD ARE RECORDED AT THE OFFICE OF THE CHANCERY CLERK OF TUNICA COUNTY, MISSISSIPPI.</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EASEMENT PARCEL:</w:t>
      </w:r>
    </w:p>
    <w:p>
      <w:pPr>
        <w:spacing w:after="0" w:line="2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INGRESS-EGRESS EASEMENT</w:t>
      </w:r>
    </w:p>
    <w:p>
      <w:pPr>
        <w:spacing w:after="0" w:line="202" w:lineRule="exact"/>
        <w:rPr>
          <w:sz w:val="20"/>
          <w:szCs w:val="20"/>
          <w:color w:val="auto"/>
        </w:rPr>
      </w:pPr>
    </w:p>
    <w:p>
      <w:pPr>
        <w:ind w:right="960"/>
        <w:spacing w:after="0" w:line="263" w:lineRule="auto"/>
        <w:rPr>
          <w:sz w:val="20"/>
          <w:szCs w:val="20"/>
          <w:color w:val="auto"/>
        </w:rPr>
      </w:pPr>
      <w:r>
        <w:rPr>
          <w:rFonts w:ascii="Arial" w:cs="Arial" w:eastAsia="Arial" w:hAnsi="Arial"/>
          <w:sz w:val="22"/>
          <w:szCs w:val="22"/>
          <w:color w:val="auto"/>
        </w:rPr>
        <w:t>COMMENCING AT THE NORTHWEST CORNER OF SECTION 24, TOWNSHIP 3 SOUTH, RANGE 12 WEST AS FORMERLY MONUMENTED BY A CONCRETE MONUMENT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 - 3</w:t>
      </w:r>
    </w:p>
    <w:p>
      <w:pPr>
        <w:sectPr>
          <w:pgSz w:w="11900" w:h="16838" w:orient="portrait"/>
          <w:cols w:equalWidth="0" w:num="1">
            <w:col w:w="11380"/>
          </w:cols>
          <w:pgMar w:left="240" w:top="591" w:right="279" w:bottom="1440" w:gutter="0" w:footer="0" w:header="0"/>
        </w:sectPr>
      </w:pPr>
    </w:p>
    <w:bookmarkStart w:id="146" w:name="page147"/>
    <w:bookmarkEnd w:id="146"/>
    <w:p>
      <w:pPr>
        <w:ind w:right="60"/>
        <w:spacing w:after="0" w:line="250" w:lineRule="auto"/>
        <w:rPr>
          <w:sz w:val="20"/>
          <w:szCs w:val="20"/>
          <w:color w:val="auto"/>
        </w:rPr>
      </w:pPr>
      <w:r>
        <w:rPr>
          <w:rFonts w:ascii="Arial" w:cs="Arial" w:eastAsia="Arial" w:hAnsi="Arial"/>
          <w:sz w:val="22"/>
          <w:szCs w:val="22"/>
          <w:color w:val="auto"/>
        </w:rPr>
        <w:t>(DESTROYED) (FOUND RR RAIL-NORTH 20 DEGREES 50 MINUTES 40 SECONDS EAST - 1.20 FEET FROM CORNER); THENCE NORTH 89 DEGREES 41 MINUTES 49 SECONDS EAST - 2749.95 FEET ALONG THE NORTH LINE OF SECTION 24 TO AN IRON PIN ON THE POINT OF BEGINNING, SAID POINT BEING THE NORTHWEST CORNER OF THE CASINO TRACT:</w:t>
      </w:r>
    </w:p>
    <w:p>
      <w:pPr>
        <w:spacing w:after="0" w:line="188" w:lineRule="exact"/>
        <w:rPr>
          <w:sz w:val="20"/>
          <w:szCs w:val="20"/>
          <w:color w:val="auto"/>
        </w:rPr>
      </w:pPr>
    </w:p>
    <w:p>
      <w:pPr>
        <w:jc w:val="both"/>
        <w:spacing w:after="0" w:line="256" w:lineRule="auto"/>
        <w:rPr>
          <w:sz w:val="20"/>
          <w:szCs w:val="20"/>
          <w:color w:val="auto"/>
        </w:rPr>
      </w:pPr>
      <w:r>
        <w:rPr>
          <w:rFonts w:ascii="Arial" w:cs="Arial" w:eastAsia="Arial" w:hAnsi="Arial"/>
          <w:sz w:val="21"/>
          <w:szCs w:val="21"/>
          <w:color w:val="auto"/>
        </w:rPr>
        <w:t>THENCE NORTH 89 DEGREES 41 MINUTES 49 SECONDS EAST - 212.38 FEET ALONG THE NORTH LINE OF SECTION 24 TO A POINT OF NON TANGENT CURVE TO THE LEFT HAVING A RADIUS OF 62.00 FEET IN THE DEDICATED RIGHT-OF-WAY LINE OF CASINO STRIP BOULEVARD (PUBLIC PAVE ROAD - WIDTH VARIES); THENCE ALONG THE DEDICATED RIGHT-OF-WAY OF CASINO STRIP BOULEVARD SOUTHEASTWARDLY ALONG SAID CURVE AN ARC DISTANCE OF 102.69 FEET (DELTA ANGLE OF 94 DEGREES 53 MINUTES 44 SECONDS), (CHORD BEARING AND DISTANCE OF SOUTH 47 DEGREES 22 MINUTES 56 SECONDS EAST-91.35 FEET); THENCE LEAVING SAID CASINO STRIP BOULEVARD, SOUTH 00 DEGREES 00 MINUTES 00 SECONDS WEST - 920.07 FEET TO A POINT OF CURVE TO THE LEFT HAVING A RADIUS OF 45.00 FEET; THENCE SOUTHEASTWARDLY ALONG SAID CURVE AN ARC DISTANCE OF 70.69 FEET, (DELTA ANGLE OF 90 DEGREES 00 MINUTES 00 SECONDS) (CHORD BEARING AND DISTANCE OF SOUTH 45 DEGREES 00 MINUTES 00 SECONDS EAST-63.64 FEET); THENCE NORTH 90 DEGREES 00 MINUTES 00 SECONDS EAST - 193.71 FEET TO A POINT 1N THE EAST LINE OF TRACT GC-4; THENCE SOUTH 00 DEGREES 16 MINUTES 58 SECONDS WEST - 44.95 FEET ALONG THE EAST LINE OF TRACT GC-4 TO A POINT; THENCE LEAVING SAID EAST LINE OF TRACT GC-4, SOUTH 87 DEGREES 53 MINUTES 26 SECONDS WEST - 80.60 FEET; THENCE SOUTH 84 DEGREES 37 MINUTES 30 SECONDS WEST - 27.28 FEET TO A POINT OF CURVE TO THE LEFT HAVING A RADIUS OF 1,000.00 FEET; THENCE SOUTHWESTWARDLY ALONG SAID CURVE AN ARC DISTANCE OF 77.05 FEET, (DELTA ANGLE OF 04 DEGREES 24 MINUTES 53 SECONDS) (CHORD BEARING AND DISTANCE OF SOUTH 82 DEGREES 25 MINUTES 04 SECONDS WEST-77.03 FEET); THENCE SOUTH 80 DEGREES 12 MINUTES 37 SECONDS WEST - 12.79 FEET TO A POINT IN THE SOUTH LINE OF TRACT GC-4 AND NORTH LINE OF TRACT GC-2; THENCE NORTH 90 DEGREES 00 MINUTES 00 SECONDS WEST - 23.46 FEET ALONG THE LINE DIVIDING TRACT GC-2 FROM TRACT GC-4 TO A POINT OF NON TANGENT CURVE TO THE RIGHT HAVING A RADIUS OF 60.00 FEET; THENCE LEAVING THE SOUTH LINE OF TRACT GC-4 NORTHWESTWARDLY ALONG SAID CURVE AN ARC DISTANCE OF 82.54 FEET (DELTA ANGLE OF 78 DEGREES 48 MINUTES 59 SECONDS), (CHORD BEARING AND DISTANCE OF NORTH 39 DEGREES 24 MINUTES 29 SECONDS WEST-76.18 FEET): THENCE NORTH 00 DEGREES 00 MINUTES 00 SECONDS EAST - 961.06 FEET; THENCE SOUTH 89 DEGREES 41 MINUTES 49 SECONDS WEST - 249.23 FEET TO A POINT IN THE EAST LINE OF THE GOLF COURSE TRACT GC-1; THENCE NORTH 00 DEGREES 18 MINUTES 11 SECONDS WEST ALONG THE EAST LINE OF TRACT GC-1 AND PASSING THE NORTHEAST CORNER OF TRACT GC-1 AT 22.00 FEET, A TOTAL DISTANCE OF 70.00 FEET TO THE POINT OF BEGINNING.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CONTAINING 59,208 SQUARE FEET OR 1.359 ACRES, MORE OR 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 - 4</w:t>
      </w:r>
    </w:p>
    <w:p>
      <w:pPr>
        <w:sectPr>
          <w:pgSz w:w="11900" w:h="16838" w:orient="portrait"/>
          <w:cols w:equalWidth="0" w:num="1">
            <w:col w:w="11420"/>
          </w:cols>
          <w:pgMar w:left="240" w:top="591" w:right="2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u w:val="single" w:color="auto"/>
          <w:color w:val="auto"/>
        </w:rPr>
        <w:t>Bally’s Casino Tunica, Tunica County, Mississippi</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TRACT 2 OF TITLE COMMITMENT</w:t>
      </w:r>
    </w:p>
    <w:p>
      <w:pPr>
        <w:spacing w:after="0" w:line="220" w:lineRule="exact"/>
        <w:rPr>
          <w:sz w:val="20"/>
          <w:szCs w:val="20"/>
          <w:color w:val="auto"/>
        </w:rPr>
      </w:pPr>
    </w:p>
    <w:p>
      <w:pPr>
        <w:ind w:right="80"/>
        <w:spacing w:after="0" w:line="246" w:lineRule="auto"/>
        <w:rPr>
          <w:sz w:val="20"/>
          <w:szCs w:val="20"/>
          <w:color w:val="auto"/>
        </w:rPr>
      </w:pPr>
      <w:r>
        <w:rPr>
          <w:rFonts w:ascii="Arial" w:cs="Arial" w:eastAsia="Arial" w:hAnsi="Arial"/>
          <w:sz w:val="22"/>
          <w:szCs w:val="22"/>
          <w:color w:val="auto"/>
        </w:rPr>
        <w:t>LEGAL DESCRIPTION OF TRACT 1 OF THE MEMORANDUM OF LEASE BETWEEN HOLMES PROPERTIES, L.P., JAMES S. WILLIAMS, JAMES RONALD WILLIAMS, PAMELA JEAN WILLIAMS AND TEMPE KYSER ADAMS (LANDLORDS) AND BALLY’S OLYMPIA LIMITED PARTNERSHIP (TENANT) OF RECORD IN BOOK G5-PAGE 360 IN THE CHANCERY CLERK’S OFFICE OF TUNICA COUNTY, MISSISSIPPI, BEING LOCATED IN THE NORTHWEST 1/4 OF SECTION 12, TOWNSHIP 3 SOUTH, RANGE 11 WEST OF THE CHICKASAW MERIDIAN IN TUNICA COUNTY, MISSISSIPPI AND SAID TRACT 2 OF THE TITLE COMMITMENT BEING MORE PARTICULARLY DESCRIBED AS FOLLOWS:</w:t>
      </w:r>
    </w:p>
    <w:p>
      <w:pPr>
        <w:spacing w:after="0" w:line="197" w:lineRule="exact"/>
        <w:rPr>
          <w:sz w:val="20"/>
          <w:szCs w:val="20"/>
          <w:color w:val="auto"/>
        </w:rPr>
      </w:pPr>
    </w:p>
    <w:p>
      <w:pPr>
        <w:ind w:right="80" w:firstLine="648"/>
        <w:spacing w:after="0" w:line="245" w:lineRule="auto"/>
        <w:rPr>
          <w:sz w:val="20"/>
          <w:szCs w:val="20"/>
          <w:color w:val="auto"/>
        </w:rPr>
      </w:pPr>
      <w:r>
        <w:rPr>
          <w:rFonts w:ascii="Arial" w:cs="Arial" w:eastAsia="Arial" w:hAnsi="Arial"/>
          <w:sz w:val="22"/>
          <w:szCs w:val="22"/>
          <w:color w:val="auto"/>
        </w:rPr>
        <w:t>BEGINNING at a set 1/2” rebar at the Northwest corner of Section 12, Township 3 South, Range 11 West, said point of beginning being further located at Mississippi State Plane Coordinates (NAD 83-West) of 1944915.62 feet North and 2298910.72 feet East;</w:t>
      </w:r>
    </w:p>
    <w:p>
      <w:pPr>
        <w:spacing w:after="0" w:line="2" w:lineRule="exact"/>
        <w:rPr>
          <w:sz w:val="20"/>
          <w:szCs w:val="20"/>
          <w:color w:val="auto"/>
        </w:rPr>
      </w:pPr>
    </w:p>
    <w:p>
      <w:pPr>
        <w:ind w:left="660" w:right="660" w:hanging="328"/>
        <w:spacing w:after="0" w:line="239"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20"/>
          <w:szCs w:val="20"/>
          <w:color w:val="auto"/>
        </w:rPr>
        <w:t>thence following along the north line of Section 12, South 89 degrees 39 minutes 16 seconds East-901.92 feet to a point in the approximate center of Old River Lake;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20"/>
          <w:szCs w:val="20"/>
          <w:color w:val="auto"/>
        </w:rPr>
        <w:t>thence following along the approximate center of Old River Lake as follows:</w:t>
      </w: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20"/>
          <w:szCs w:val="20"/>
          <w:color w:val="auto"/>
        </w:rPr>
        <w:t>thence South 63 degrees 56 minutes 49 seconds East-642.47 feet;</w:t>
      </w: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20"/>
          <w:szCs w:val="20"/>
          <w:color w:val="auto"/>
        </w:rPr>
        <w:t>thence South 70 degrees 17 minutes 28 seconds East-637.54 feet;</w:t>
      </w: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20"/>
          <w:szCs w:val="20"/>
          <w:color w:val="auto"/>
        </w:rPr>
        <w:t>thence South 79 degrees 02 minutes 52 seconds East-643.65 feet;</w:t>
      </w: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20"/>
          <w:szCs w:val="20"/>
          <w:color w:val="auto"/>
        </w:rPr>
        <w:t>thence South 78 degrees 19 minutes 40 seconds East-920.70 feet;</w:t>
      </w: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20"/>
          <w:szCs w:val="20"/>
          <w:color w:val="auto"/>
        </w:rPr>
        <w:t>thence North 89 degrees 26 minutes 16 seconds East-285.00 feet;</w:t>
      </w: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20"/>
          <w:szCs w:val="20"/>
          <w:color w:val="auto"/>
        </w:rPr>
        <w:t>thence North 86 degrees 23 minutes 21 seconds East-260.00 feet;</w:t>
      </w: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20"/>
          <w:szCs w:val="20"/>
          <w:color w:val="auto"/>
        </w:rPr>
        <w:t>thence North 74 degrees 51 minutes 00 seconds East-290.00 feet;</w:t>
      </w: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20"/>
          <w:szCs w:val="20"/>
          <w:color w:val="auto"/>
        </w:rPr>
        <w:t>thence North 65 degrees 14 minutes 21 seconds East-415.00 feet;</w:t>
      </w: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20"/>
          <w:szCs w:val="20"/>
          <w:color w:val="auto"/>
        </w:rPr>
        <w:t>thence North 55 degrees 05 minutes 04 seconds East-432.00 feet;</w:t>
      </w: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8"/>
          <w:szCs w:val="18"/>
          <w:color w:val="auto"/>
        </w:rPr>
        <w:t>thence North 46 degrees 59 minutes 30 seconds East-175.56 feet to the east line of Section 12, Township 3 South, Range 11 West;</w:t>
      </w:r>
    </w:p>
    <w:p>
      <w:pPr>
        <w:spacing w:after="0" w:line="22" w:lineRule="exact"/>
        <w:rPr>
          <w:rFonts w:ascii="Arial" w:cs="Arial" w:eastAsia="Arial" w:hAnsi="Arial"/>
          <w:sz w:val="16"/>
          <w:szCs w:val="16"/>
          <w:color w:val="auto"/>
        </w:rPr>
      </w:pPr>
    </w:p>
    <w:p>
      <w:pPr>
        <w:ind w:left="660" w:right="100" w:hanging="328"/>
        <w:spacing w:after="0" w:line="239"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20"/>
          <w:szCs w:val="20"/>
          <w:color w:val="auto"/>
        </w:rPr>
        <w:t>thence following along the east line of said Section 12, South 00 degrees 41 minutes 04 seconds West-246.46 feet to the Northeast corner of the Yazoo-Mississippi Delta Levee Commission property according to Deed in Book C3-Page 108 (Tract 3) as called out in lease;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20"/>
          <w:szCs w:val="20"/>
          <w:color w:val="auto"/>
        </w:rPr>
        <w:t>thence following along the north line of the said Levee Commission property (as called for in lease) as follows:</w:t>
      </w: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20"/>
          <w:szCs w:val="20"/>
          <w:color w:val="auto"/>
        </w:rPr>
        <w:t>thence South 62 degrees 11 minutes 29 seconds West-585.00 feet;</w:t>
      </w: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20"/>
          <w:szCs w:val="20"/>
          <w:color w:val="auto"/>
        </w:rPr>
        <w:t>thence South 65 degrees 26 minutes 29 seconds West-597.00 feet;</w:t>
      </w: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20"/>
          <w:szCs w:val="20"/>
          <w:color w:val="auto"/>
        </w:rPr>
        <w:t>thence South 39 degrees 00 minutes 47 seconds West-9.67 feet;</w:t>
      </w: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20"/>
          <w:szCs w:val="20"/>
          <w:color w:val="auto"/>
        </w:rPr>
        <w:t>thence South 74 degrees 06 minutes 44 seconds West-243.52 feet;</w:t>
      </w: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20"/>
          <w:szCs w:val="20"/>
          <w:color w:val="auto"/>
        </w:rPr>
        <w:t>thence North 85 degrees 18 minutes 00 seconds West-610.18 feet;</w:t>
      </w: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20"/>
          <w:szCs w:val="20"/>
          <w:color w:val="auto"/>
        </w:rPr>
        <w:t>thence North 72 degrees 22 minutes 42 seconds West-442.87 feet;</w:t>
      </w: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20"/>
          <w:szCs w:val="20"/>
          <w:color w:val="auto"/>
        </w:rPr>
        <w:t>thence North 81 degrees 15 minutes 15 seconds West-1,085.34 feet;</w:t>
      </w: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20"/>
          <w:szCs w:val="20"/>
          <w:color w:val="auto"/>
        </w:rPr>
        <w:t>thence North 74 degrees 31 minutes 17 seconds West-814.98 feet;</w:t>
      </w: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20"/>
          <w:szCs w:val="20"/>
          <w:color w:val="auto"/>
        </w:rPr>
        <w:t>thence North 60 degrees 31 minutes 37 seconds West-378.38 feet;</w:t>
      </w: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8"/>
          <w:szCs w:val="18"/>
          <w:color w:val="auto"/>
        </w:rPr>
        <w:t>thence North 88 degrees 19 minutes 53 seconds West-774.96 feet (call=777.93 feet) to a point in the west line of said Section 12;</w:t>
      </w:r>
    </w:p>
    <w:p>
      <w:pPr>
        <w:spacing w:after="0" w:line="22" w:lineRule="exact"/>
        <w:rPr>
          <w:rFonts w:ascii="Arial" w:cs="Arial" w:eastAsia="Arial" w:hAnsi="Arial"/>
          <w:sz w:val="16"/>
          <w:szCs w:val="16"/>
          <w:color w:val="auto"/>
        </w:rPr>
      </w:pPr>
    </w:p>
    <w:p>
      <w:pPr>
        <w:ind w:left="660" w:hanging="328"/>
        <w:spacing w:after="0"/>
        <w:tabs>
          <w:tab w:leader="none" w:pos="660" w:val="left"/>
        </w:tabs>
        <w:numPr>
          <w:ilvl w:val="0"/>
          <w:numId w:val="35"/>
        </w:numPr>
        <w:rPr>
          <w:rFonts w:ascii="Arial" w:cs="Arial" w:eastAsia="Arial" w:hAnsi="Arial"/>
          <w:sz w:val="15"/>
          <w:szCs w:val="15"/>
          <w:color w:val="auto"/>
        </w:rPr>
      </w:pPr>
      <w:r>
        <w:rPr>
          <w:rFonts w:ascii="Arial" w:cs="Arial" w:eastAsia="Arial" w:hAnsi="Arial"/>
          <w:sz w:val="16"/>
          <w:szCs w:val="16"/>
          <w:color w:val="auto"/>
        </w:rPr>
        <w:t>thence following along the west line of Section 12, North 00 degrees 09 minutes 11 seconds West-241.72 feet (call=241.66 feet) to the</w:t>
      </w:r>
    </w:p>
    <w:p>
      <w:pPr>
        <w:spacing w:after="0" w:line="45" w:lineRule="exact"/>
        <w:rPr>
          <w:rFonts w:ascii="Arial" w:cs="Arial" w:eastAsia="Arial" w:hAnsi="Arial"/>
          <w:sz w:val="15"/>
          <w:szCs w:val="15"/>
          <w:color w:val="auto"/>
        </w:rPr>
      </w:pPr>
    </w:p>
    <w:p>
      <w:pPr>
        <w:ind w:left="660"/>
        <w:spacing w:after="0"/>
        <w:rPr>
          <w:rFonts w:ascii="Arial" w:cs="Arial" w:eastAsia="Arial" w:hAnsi="Arial"/>
          <w:sz w:val="15"/>
          <w:szCs w:val="15"/>
          <w:color w:val="auto"/>
        </w:rPr>
      </w:pPr>
      <w:r>
        <w:rPr>
          <w:rFonts w:ascii="Arial" w:cs="Arial" w:eastAsia="Arial" w:hAnsi="Arial"/>
          <w:sz w:val="20"/>
          <w:szCs w:val="20"/>
          <w:color w:val="auto"/>
        </w:rPr>
        <w:t>POINT OF BEGINNING.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 - 5</w:t>
      </w:r>
    </w:p>
    <w:p>
      <w:pPr>
        <w:sectPr>
          <w:pgSz w:w="11900" w:h="16838" w:orient="portrait"/>
          <w:cols w:equalWidth="0" w:num="1">
            <w:col w:w="11300"/>
          </w:cols>
          <w:pgMar w:left="240" w:top="580" w:right="359" w:bottom="1440" w:gutter="0" w:footer="0" w:header="0"/>
        </w:sectPr>
      </w:pPr>
    </w:p>
    <w:bookmarkStart w:id="148" w:name="page149"/>
    <w:bookmarkEnd w:id="148"/>
    <w:p>
      <w:pPr>
        <w:spacing w:after="0"/>
        <w:rPr>
          <w:sz w:val="20"/>
          <w:szCs w:val="20"/>
          <w:color w:val="auto"/>
        </w:rPr>
      </w:pPr>
      <w:r>
        <w:rPr>
          <w:rFonts w:ascii="Arial" w:cs="Arial" w:eastAsia="Arial" w:hAnsi="Arial"/>
          <w:sz w:val="22"/>
          <w:szCs w:val="22"/>
          <w:color w:val="auto"/>
        </w:rPr>
        <w:t>Containing 1,118,679 square feet or 25.681 acres, more or less.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TRACT 3 OF THE TITLE COMMITMENT</w:t>
      </w:r>
    </w:p>
    <w:p>
      <w:pPr>
        <w:spacing w:after="0" w:line="220" w:lineRule="exact"/>
        <w:rPr>
          <w:sz w:val="20"/>
          <w:szCs w:val="20"/>
          <w:color w:val="auto"/>
        </w:rPr>
      </w:pPr>
    </w:p>
    <w:p>
      <w:pPr>
        <w:ind w:right="260"/>
        <w:spacing w:after="0" w:line="261" w:lineRule="auto"/>
        <w:rPr>
          <w:sz w:val="20"/>
          <w:szCs w:val="20"/>
          <w:color w:val="auto"/>
        </w:rPr>
      </w:pPr>
      <w:r>
        <w:rPr>
          <w:rFonts w:ascii="Arial" w:cs="Arial" w:eastAsia="Arial" w:hAnsi="Arial"/>
          <w:sz w:val="21"/>
          <w:szCs w:val="21"/>
          <w:color w:val="auto"/>
        </w:rPr>
        <w:t>LEGAL DESCRIPTION OF THE PROPERTY DESCRIBED IN MEMORANDUM OF LEASE BETWEEN THE BOARD OF LEVEE COMMISSIONERS FOR THE YAZOO-MISSISSIPPI DELTA (LANDLORD) AND BALLY’S OLYMPIA LIMITED PARTNERSHIP (TENANT) OF RECORD IN BOOK G5-PAGE 354 OF THE CHANCERY CLERK’S OFFICE OF TUNICA COUNTY, MISSISSIPPI AND SAID LEASE PROPERTY BEING LOCATED IN THE NORTHWEST 1/4 OF SECTION 12, TOWNSHIP 3 SOUTH, RANGE 11 WEST OF THE CHICKASAW MERIDIAN IN TUNICA COUNTY, MISSISSIPPI AND SAID LEASE PROPERTY BEING MORE PARTICULARLY DESCRIBED AS FOLLOWS:</w:t>
      </w:r>
    </w:p>
    <w:p>
      <w:pPr>
        <w:spacing w:after="0" w:line="180" w:lineRule="exact"/>
        <w:rPr>
          <w:sz w:val="20"/>
          <w:szCs w:val="20"/>
          <w:color w:val="auto"/>
        </w:rPr>
      </w:pPr>
    </w:p>
    <w:p>
      <w:pPr>
        <w:ind w:right="140" w:firstLine="648"/>
        <w:spacing w:after="0" w:line="245" w:lineRule="auto"/>
        <w:rPr>
          <w:sz w:val="20"/>
          <w:szCs w:val="20"/>
          <w:color w:val="auto"/>
        </w:rPr>
      </w:pPr>
      <w:r>
        <w:rPr>
          <w:rFonts w:ascii="Arial" w:cs="Arial" w:eastAsia="Arial" w:hAnsi="Arial"/>
          <w:sz w:val="22"/>
          <w:szCs w:val="22"/>
          <w:color w:val="auto"/>
        </w:rPr>
        <w:t>BEGINNING at a set 1/2” rebar at the Northwest corner of Section 12, Township 3 South, Range 11 West, said point of beginning being further located at Mississippi State Plane Coordinates (NAD 83-West) of 1944915.62 feet North and 2298910.72 feet East;</w:t>
      </w:r>
    </w:p>
    <w:p>
      <w:pPr>
        <w:spacing w:after="0" w:line="2" w:lineRule="exact"/>
        <w:rPr>
          <w:sz w:val="20"/>
          <w:szCs w:val="20"/>
          <w:color w:val="auto"/>
        </w:rPr>
      </w:pPr>
    </w:p>
    <w:p>
      <w:pPr>
        <w:ind w:left="660" w:hanging="328"/>
        <w:spacing w:after="0" w:line="239"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20"/>
          <w:szCs w:val="20"/>
          <w:color w:val="auto"/>
        </w:rPr>
        <w:t>thence following along the north line of Section 12, thence South 89 degrees 39 minutes 16 seconds East-1,064.00 feet to a point in the State boundary between Mississippi &amp; Arkansas in Old River Lake;</w:t>
      </w:r>
    </w:p>
    <w:p>
      <w:pPr>
        <w:spacing w:after="0" w:line="1" w:lineRule="exact"/>
        <w:rPr>
          <w:rFonts w:ascii="Arial" w:cs="Arial" w:eastAsia="Arial" w:hAnsi="Arial"/>
          <w:sz w:val="18"/>
          <w:szCs w:val="18"/>
          <w:color w:val="auto"/>
        </w:rPr>
      </w:pPr>
    </w:p>
    <w:p>
      <w:pPr>
        <w:ind w:left="660" w:right="40" w:hanging="328"/>
        <w:spacing w:after="0" w:line="239"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20"/>
          <w:szCs w:val="20"/>
          <w:color w:val="auto"/>
        </w:rPr>
        <w:t>thence following along said State boundary, South 71 degrees 31 minutes 46 seconds East-201.87 feet (call=202.0’ about) to a point in Old River Lake;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20"/>
          <w:szCs w:val="20"/>
          <w:color w:val="auto"/>
        </w:rPr>
        <w:t>thence leaving said State boundary, South 15 degrees 51 minutes 51 seconds West-841.40 feet to a found 1/2” rebar;</w:t>
      </w: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20"/>
          <w:szCs w:val="20"/>
          <w:color w:val="auto"/>
        </w:rPr>
        <w:t>thence North 74 degrees 08 minutes 09 seconds West-847.20 feet to a found P.K. Nail;</w:t>
      </w: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20"/>
          <w:szCs w:val="20"/>
          <w:color w:val="auto"/>
        </w:rPr>
        <w:t>thence South 63 degrees 38 minutes 24 seconds West-232.70 feet to a set 1/2” rebar in the west line of Section 12;</w:t>
      </w:r>
    </w:p>
    <w:p>
      <w:pPr>
        <w:ind w:left="660" w:right="600" w:hanging="328"/>
        <w:spacing w:after="0" w:line="24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20"/>
          <w:szCs w:val="20"/>
          <w:color w:val="auto"/>
        </w:rPr>
        <w:t>thence following along the west line of Section 12, North 00 degrees 09 minutes 11 seconds West-751.46 feet to the POINT OF BEGINNING.</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Containing 867,715 square feet or 19.920 acres, more or less.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TRACT 4 OF THE TITLE COMMITMENT</w:t>
      </w:r>
    </w:p>
    <w:p>
      <w:pPr>
        <w:spacing w:after="0" w:line="220" w:lineRule="exact"/>
        <w:rPr>
          <w:sz w:val="20"/>
          <w:szCs w:val="20"/>
          <w:color w:val="auto"/>
        </w:rPr>
      </w:pPr>
    </w:p>
    <w:p>
      <w:pPr>
        <w:ind w:right="140"/>
        <w:spacing w:after="0" w:line="246" w:lineRule="auto"/>
        <w:rPr>
          <w:sz w:val="20"/>
          <w:szCs w:val="20"/>
          <w:color w:val="auto"/>
        </w:rPr>
      </w:pPr>
      <w:r>
        <w:rPr>
          <w:rFonts w:ascii="Arial" w:cs="Arial" w:eastAsia="Arial" w:hAnsi="Arial"/>
          <w:sz w:val="22"/>
          <w:szCs w:val="22"/>
          <w:color w:val="auto"/>
        </w:rPr>
        <w:t>LEGAL DESCRIPTION OF TRACT 2 OF THE MEMORANDUM OF LEASE BETWEEN HOLMES PROPERTIES, L.P., JAMES S. WILLIAMS, JAMES RONALD WILLIAMS, PAMELA JEAN WILLIAMS AND TEMPE KYSER ADAMS (LANDLORDS) AND BALLY’S OLYMPIA LIMITED PARTNERSHIP (TENANT) OF RECORD IN BOOK G5-PAGE 360 IN THE CHANCERY CLERK’S OFFICE OF TUNICA COUNTY, MISSISSIPPI, BEING LOCATED IN THE NORTHWEST 1/4 OF SECTION 12, TOWNSHIP 3 SOUTH, RANGE 11 WEST OF THE CHICKASAW MERIDIAN IN TUNICA COUNTY, MISSISSIPPI AND SAID TRACT 4 OF THE TITLE COMMITMENT BEING MORE PARTICULARLY DESCRIBED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 - 6</w:t>
      </w:r>
    </w:p>
    <w:p>
      <w:pPr>
        <w:sectPr>
          <w:pgSz w:w="11900" w:h="16838" w:orient="portrait"/>
          <w:cols w:equalWidth="0" w:num="1">
            <w:col w:w="11360"/>
          </w:cols>
          <w:pgMar w:left="240" w:top="591" w:right="299" w:bottom="1440" w:gutter="0" w:footer="0" w:header="0"/>
        </w:sectPr>
      </w:pPr>
    </w:p>
    <w:bookmarkStart w:id="149" w:name="page150"/>
    <w:bookmarkEnd w:id="149"/>
    <w:p>
      <w:pPr>
        <w:jc w:val="both"/>
        <w:ind w:right="100" w:firstLine="648"/>
        <w:spacing w:after="0" w:line="245" w:lineRule="auto"/>
        <w:rPr>
          <w:sz w:val="20"/>
          <w:szCs w:val="20"/>
          <w:color w:val="auto"/>
        </w:rPr>
      </w:pPr>
      <w:r>
        <w:rPr>
          <w:rFonts w:ascii="Arial" w:cs="Arial" w:eastAsia="Arial" w:hAnsi="Arial"/>
          <w:sz w:val="22"/>
          <w:szCs w:val="22"/>
          <w:color w:val="auto"/>
        </w:rPr>
        <w:t>COMMENCING at a set 1/2” rebar at the Northwest corner of Section 12, Township 3 South, Range 11 West, said point of beginning being further located at Mississippi State Plane Coordinates (NAD 83-West) of 1944915.62 feet North and 2298910.72 feet East;</w:t>
      </w:r>
    </w:p>
    <w:p>
      <w:pPr>
        <w:spacing w:after="0" w:line="2" w:lineRule="exact"/>
        <w:rPr>
          <w:sz w:val="20"/>
          <w:szCs w:val="20"/>
          <w:color w:val="auto"/>
        </w:rPr>
      </w:pPr>
    </w:p>
    <w:p>
      <w:pPr>
        <w:ind w:left="660" w:hanging="328"/>
        <w:spacing w:after="0" w:line="239"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20"/>
          <w:szCs w:val="20"/>
          <w:color w:val="auto"/>
        </w:rPr>
        <w:t>thence following along the west line of said Section 12, South 00 degrees 09 minutes 11 seconds East-1316.16 feet (call=1317.34 feet) to a point in the southern boundary of the Yazoo-Mississippi Delta Levee Commission property (found Railroad Rail=North 89 degrees 39 minutes 29 seconds West-1.36 feet from point);</w:t>
      </w:r>
    </w:p>
    <w:p>
      <w:pPr>
        <w:spacing w:after="0" w:line="1" w:lineRule="exact"/>
        <w:rPr>
          <w:rFonts w:ascii="Arial" w:cs="Arial" w:eastAsia="Arial" w:hAnsi="Arial"/>
          <w:sz w:val="18"/>
          <w:szCs w:val="18"/>
          <w:color w:val="auto"/>
        </w:rPr>
      </w:pPr>
    </w:p>
    <w:p>
      <w:pPr>
        <w:ind w:left="660" w:right="40" w:hanging="328"/>
        <w:spacing w:after="0" w:line="266"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8"/>
          <w:szCs w:val="18"/>
          <w:color w:val="auto"/>
        </w:rPr>
        <w:t>thence leaving the west line of Section 12 and following along the southern boundary of said Levee Commission property, North 63 degrees 29 minutes 40 seconds East and passing through a found 2” pipe at 60.87 feet, a total distance of 302.87 feet (call=303.70 feet) to an angle point in the southern boundary of the Levee Commission property (found Railroad Rail laid over=0.4’ north);</w:t>
      </w: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8"/>
          <w:szCs w:val="18"/>
          <w:color w:val="auto"/>
        </w:rPr>
        <w:t>thence continuing along the southern boundary of the Levee Commission property, South 74 degrees 26 minutes 10 seconds East-</w:t>
      </w:r>
    </w:p>
    <w:p>
      <w:pPr>
        <w:spacing w:after="0" w:line="22" w:lineRule="exact"/>
        <w:rPr>
          <w:rFonts w:ascii="Arial" w:cs="Arial" w:eastAsia="Arial" w:hAnsi="Arial"/>
          <w:sz w:val="16"/>
          <w:szCs w:val="16"/>
          <w:color w:val="auto"/>
        </w:rPr>
      </w:pPr>
    </w:p>
    <w:p>
      <w:pPr>
        <w:ind w:left="660" w:right="140"/>
        <w:spacing w:after="0" w:line="239" w:lineRule="auto"/>
        <w:rPr>
          <w:rFonts w:ascii="Arial" w:cs="Arial" w:eastAsia="Arial" w:hAnsi="Arial"/>
          <w:sz w:val="16"/>
          <w:szCs w:val="16"/>
          <w:color w:val="auto"/>
        </w:rPr>
      </w:pPr>
      <w:r>
        <w:rPr>
          <w:rFonts w:ascii="Arial" w:cs="Arial" w:eastAsia="Arial" w:hAnsi="Arial"/>
          <w:sz w:val="20"/>
          <w:szCs w:val="20"/>
          <w:color w:val="auto"/>
        </w:rPr>
        <w:t>311.02 feet to a set 1/2” rebar at the POINT OF BEGINNING, said point of beginning being further located at Mississippi State Plane Coordinates (NAD 83-WEST) of 1943651.18 feet North and 2299484.88 feet East:</w:t>
      </w:r>
    </w:p>
    <w:p>
      <w:pPr>
        <w:spacing w:after="0" w:line="1" w:lineRule="exact"/>
        <w:rPr>
          <w:rFonts w:ascii="Arial" w:cs="Arial" w:eastAsia="Arial" w:hAnsi="Arial"/>
          <w:sz w:val="16"/>
          <w:szCs w:val="16"/>
          <w:color w:val="auto"/>
        </w:rPr>
      </w:pPr>
    </w:p>
    <w:p>
      <w:pPr>
        <w:ind w:left="660" w:right="40" w:hanging="328"/>
        <w:spacing w:after="0" w:line="266"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8"/>
          <w:szCs w:val="18"/>
          <w:color w:val="auto"/>
        </w:rPr>
        <w:t>thence continuing along the southern boundary of the Levee Commission property as follows: South 74 degrees 26 minutes 16 seconds East-790.64 feet to a found railroad rail on an angle point in the said southern boundary of the Levee Commission property;</w:t>
      </w:r>
    </w:p>
    <w:p>
      <w:pPr>
        <w:ind w:left="660" w:right="460" w:hanging="328"/>
        <w:spacing w:after="0" w:line="239"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20"/>
          <w:szCs w:val="20"/>
          <w:color w:val="auto"/>
        </w:rPr>
        <w:t>thence continuing along the southern boundary of the Levee Commission property, South 82 degrees 42 minutes 26 seconds East-975.29 feet to a set 1/2” rebar (found railroad rail on line &amp; 35.55 feet east of corner);</w:t>
      </w:r>
    </w:p>
    <w:p>
      <w:pPr>
        <w:spacing w:after="0" w:line="1" w:lineRule="exact"/>
        <w:rPr>
          <w:rFonts w:ascii="Arial" w:cs="Arial" w:eastAsia="Arial" w:hAnsi="Arial"/>
          <w:sz w:val="18"/>
          <w:szCs w:val="18"/>
          <w:color w:val="auto"/>
        </w:rPr>
      </w:pPr>
    </w:p>
    <w:p>
      <w:pPr>
        <w:ind w:left="660" w:right="120" w:hanging="328"/>
        <w:spacing w:after="0" w:line="239"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20"/>
          <w:szCs w:val="20"/>
          <w:color w:val="auto"/>
        </w:rPr>
        <w:t>thence leaving the southern boundary of the Levee Commission property, South 00 degrees 00 minutes 55 seconds West-1,613.38 feet to set nail the point of curve of a non-tangent curve to the right with a radius of 2,211.83 feet in the north right-of-way (R.O.W.) of Casino Center Drive (public paved road, 160’ R.O.W.);</w:t>
      </w:r>
    </w:p>
    <w:p>
      <w:pPr>
        <w:spacing w:after="0" w:line="1" w:lineRule="exact"/>
        <w:rPr>
          <w:rFonts w:ascii="Arial" w:cs="Arial" w:eastAsia="Arial" w:hAnsi="Arial"/>
          <w:sz w:val="18"/>
          <w:szCs w:val="18"/>
          <w:color w:val="auto"/>
        </w:rPr>
      </w:pPr>
    </w:p>
    <w:p>
      <w:pPr>
        <w:ind w:left="660" w:right="140" w:hanging="328"/>
        <w:spacing w:after="0" w:line="239"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20"/>
          <w:szCs w:val="20"/>
          <w:color w:val="auto"/>
        </w:rPr>
        <w:t>thence following along the north right-of-way of Casino Center Drive, southwestwardly along the arc, through a central angle of 00 degrees 37 minutes 13 seconds, a distance of 23.95 feet (Chord bearing and distance = South 89 degrees 13 minutes 24 seconds West-23.94 feet) to a set nail on a point of tangency;</w:t>
      </w:r>
    </w:p>
    <w:p>
      <w:pPr>
        <w:spacing w:after="0" w:line="1" w:lineRule="exact"/>
        <w:rPr>
          <w:rFonts w:ascii="Arial" w:cs="Arial" w:eastAsia="Arial" w:hAnsi="Arial"/>
          <w:sz w:val="18"/>
          <w:szCs w:val="18"/>
          <w:color w:val="auto"/>
        </w:rPr>
      </w:pPr>
    </w:p>
    <w:p>
      <w:pPr>
        <w:ind w:left="660" w:right="100" w:hanging="328"/>
        <w:spacing w:after="0" w:line="239"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20"/>
          <w:szCs w:val="20"/>
          <w:color w:val="auto"/>
        </w:rPr>
        <w:t>thence continuing along the north right-of-way of Casino Center Drive, South 89 degrees 32 minutes 00 seconds West-961.70 feet to a set 1/2” rebar on a point of curve to the right having a radius of 25.00 feet and a central angle of 90 degrees 28 minutes 55 seconds; thence leaving the north right-of-way of Casino Center Drive, southwestwardly, westwardly, northwestwardly, northwardly and northeastwardly along the arc a distance of 39.48 feet (Chord bearing and distance = North 45 degrees 13 minutes 33 seconds West-35.50 feet) to a set 1/2” rebar on a point of tangency;</w:t>
      </w:r>
    </w:p>
    <w:p>
      <w:pPr>
        <w:spacing w:after="0" w:line="2" w:lineRule="exact"/>
        <w:rPr>
          <w:rFonts w:ascii="Arial" w:cs="Arial" w:eastAsia="Arial" w:hAnsi="Arial"/>
          <w:sz w:val="18"/>
          <w:szCs w:val="18"/>
          <w:color w:val="auto"/>
        </w:rPr>
      </w:pPr>
    </w:p>
    <w:p>
      <w:pPr>
        <w:ind w:left="660" w:right="340" w:hanging="328"/>
        <w:spacing w:after="0" w:line="239"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20"/>
          <w:szCs w:val="20"/>
          <w:color w:val="auto"/>
        </w:rPr>
        <w:t>thence North 00 degrees 00 minutes 55 seconds East-246.36 feet to a set 1/2” rebar on a point of curve to the left having a radius of 1,005.00 feet and a central angle of 28 degrees 31 minutes 35 seconds;</w:t>
      </w:r>
    </w:p>
    <w:p>
      <w:pPr>
        <w:spacing w:after="0" w:line="1" w:lineRule="exact"/>
        <w:rPr>
          <w:rFonts w:ascii="Arial" w:cs="Arial" w:eastAsia="Arial" w:hAnsi="Arial"/>
          <w:sz w:val="18"/>
          <w:szCs w:val="18"/>
          <w:color w:val="auto"/>
        </w:rPr>
      </w:pPr>
    </w:p>
    <w:p>
      <w:pPr>
        <w:ind w:left="660" w:right="180" w:hanging="328"/>
        <w:spacing w:after="0" w:line="239"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20"/>
          <w:szCs w:val="20"/>
          <w:color w:val="auto"/>
        </w:rPr>
        <w:t>thence northerly along the arc a distance of 500.37 feet (Chord bearing and distance = North 14 degrees 14 minutes 53 seconds West-495.22 feet) to a set 1/2” rebar on a point of tangency;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20"/>
          <w:szCs w:val="20"/>
          <w:color w:val="auto"/>
        </w:rPr>
        <w:t>thence North 28 degrees 30 minutes 40 seconds West-905.87 feet to a set 1/2” rebar;</w:t>
      </w: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20"/>
          <w:szCs w:val="20"/>
          <w:color w:val="auto"/>
        </w:rPr>
        <w:t>thence North 21 degrees 44 minutes 51 seconds West-441.52 feet to the POINT OF BEGINNING.</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Containing 2,177,992 square feet or 50.000 acres, more or less.</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ALL BEARINGS AND COORDINATES AS MISSISSIPPI STATE PLANE (UNADJUSTED NAD 83-WEST).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 - 7</w:t>
      </w:r>
    </w:p>
    <w:p>
      <w:pPr>
        <w:sectPr>
          <w:pgSz w:w="11900" w:h="16838" w:orient="portrait"/>
          <w:cols w:equalWidth="0" w:num="1">
            <w:col w:w="11400"/>
          </w:cols>
          <w:pgMar w:left="240" w:top="591" w:right="259" w:bottom="1440" w:gutter="0" w:footer="0" w:header="0"/>
        </w:sectPr>
      </w:pPr>
    </w:p>
    <w:bookmarkStart w:id="150" w:name="page151"/>
    <w:bookmarkEnd w:id="150"/>
    <w:p>
      <w:pPr>
        <w:ind w:left="340" w:right="880"/>
        <w:spacing w:after="0" w:line="263" w:lineRule="auto"/>
        <w:rPr>
          <w:sz w:val="20"/>
          <w:szCs w:val="20"/>
          <w:color w:val="auto"/>
        </w:rPr>
      </w:pPr>
      <w:r>
        <w:rPr>
          <w:rFonts w:ascii="Arial" w:cs="Arial" w:eastAsia="Arial" w:hAnsi="Arial"/>
          <w:sz w:val="22"/>
          <w:szCs w:val="22"/>
          <w:color w:val="auto"/>
        </w:rPr>
        <w:t>ALL DEEDS AND LEASES ARE OF RECORD IN THE CHANCERY CLERK’S OFFICE OF TUNICA COUNTY, MISSISSIPPI.</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"EASEMENT PARCEL 1"</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Together with that certain non-exclusive easement for vehicular and pedestrian access between the subject property and the dedicated public road commonly known as Casino Center Road, as described in Exhibit A to Memorandum of Lease Recorded in Book G5 Page 360 in the records in the office of the Chancery Clerk of</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2"/>
          <w:szCs w:val="22"/>
          <w:color w:val="auto"/>
        </w:rPr>
        <w:t>Tunica County, Mississippi, said easement description being found at Pages 374 and 375 thereof, to-wit:</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 tract of land situated in the Northwest 1/4 of the Northwest 1/4, the Southwest 1/4 of the Northwest 1/4, and the Northwest 1/4 of the Southwest 1/4, all in Section 12, Township 3 South, Range 11 West, Tunica County, Mississippi and more particularly described as follows:</w:t>
      </w:r>
    </w:p>
    <w:p>
      <w:pPr>
        <w:spacing w:after="0" w:line="200" w:lineRule="exact"/>
        <w:rPr>
          <w:sz w:val="20"/>
          <w:szCs w:val="20"/>
          <w:color w:val="auto"/>
        </w:rPr>
      </w:pPr>
    </w:p>
    <w:p>
      <w:pPr>
        <w:spacing w:after="0" w:line="351"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Commencing from an iron pin at the northwest corner of Section 12, Township 3 South, Range 11 West, Tunica County, Mississippi; thence South 0 degrees 05 minutes 13 seconds East along the western line of said Section 12 for 1317.34 feet to a point in the southern boundary of the Yazoo-Mississippi Delta Levee Commission property; thence North 63 degrees 28 minutes 45 seconds East along the said southern boundary for 292.11 feet to a point to the "Point of Beginning" of the easement herein described; thence</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2"/>
          <w:szCs w:val="22"/>
          <w:color w:val="auto"/>
        </w:rPr>
        <w:t>South 36 degrees 05 minutes 34 seconds East for 660.95 feet to a point; thence</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South 28 degrees 31 minutes 35 seconds East for 905.88 feet to a point of curvature; thence</w:t>
      </w:r>
    </w:p>
    <w:p>
      <w:pPr>
        <w:spacing w:after="0" w:line="200" w:lineRule="exact"/>
        <w:rPr>
          <w:sz w:val="20"/>
          <w:szCs w:val="20"/>
          <w:color w:val="auto"/>
        </w:rPr>
      </w:pPr>
    </w:p>
    <w:p>
      <w:pPr>
        <w:spacing w:after="0" w:line="384" w:lineRule="exact"/>
        <w:rPr>
          <w:sz w:val="20"/>
          <w:szCs w:val="20"/>
          <w:color w:val="auto"/>
        </w:rPr>
      </w:pPr>
    </w:p>
    <w:p>
      <w:pPr>
        <w:jc w:val="both"/>
        <w:ind w:right="20"/>
        <w:spacing w:after="0" w:line="343" w:lineRule="auto"/>
        <w:rPr>
          <w:sz w:val="20"/>
          <w:szCs w:val="20"/>
          <w:color w:val="auto"/>
        </w:rPr>
      </w:pPr>
      <w:r>
        <w:rPr>
          <w:rFonts w:ascii="Arial" w:cs="Arial" w:eastAsia="Arial" w:hAnsi="Arial"/>
          <w:sz w:val="19"/>
          <w:szCs w:val="19"/>
          <w:color w:val="auto"/>
        </w:rPr>
        <w:t>With a clockwise curve to the right having a radius of 909.00 feet, a delta angle of 28 degrees 31 minutes 35 seconds, an arc length of 452.57 feet and a chord which bears South 14 degrees 15 minutes 48 seconds East for 447.91 feet to a point of tangency, thence</w:t>
      </w:r>
    </w:p>
    <w:p>
      <w:pPr>
        <w:spacing w:after="0" w:line="200" w:lineRule="exact"/>
        <w:rPr>
          <w:sz w:val="20"/>
          <w:szCs w:val="20"/>
          <w:color w:val="auto"/>
        </w:rPr>
      </w:pPr>
    </w:p>
    <w:p>
      <w:pPr>
        <w:spacing w:after="0" w:line="269"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South 0 degrees 00 minutes 00 seconds East for 272.38 feet to a point in the northern line of a public road known as Casino Center Drive; thence</w:t>
      </w:r>
    </w:p>
    <w:p>
      <w:pPr>
        <w:spacing w:after="0" w:line="200" w:lineRule="exact"/>
        <w:rPr>
          <w:sz w:val="20"/>
          <w:szCs w:val="20"/>
          <w:color w:val="auto"/>
        </w:rPr>
      </w:pPr>
    </w:p>
    <w:p>
      <w:pPr>
        <w:spacing w:after="0" w:line="340" w:lineRule="exact"/>
        <w:rPr>
          <w:sz w:val="20"/>
          <w:szCs w:val="20"/>
          <w:color w:val="auto"/>
        </w:rPr>
      </w:pPr>
    </w:p>
    <w:p>
      <w:pPr>
        <w:jc w:val="both"/>
        <w:ind w:right="20"/>
        <w:spacing w:after="0" w:line="343" w:lineRule="auto"/>
        <w:rPr>
          <w:sz w:val="20"/>
          <w:szCs w:val="20"/>
          <w:color w:val="auto"/>
        </w:rPr>
      </w:pPr>
      <w:r>
        <w:rPr>
          <w:rFonts w:ascii="Arial" w:cs="Arial" w:eastAsia="Arial" w:hAnsi="Arial"/>
          <w:sz w:val="19"/>
          <w:szCs w:val="19"/>
          <w:color w:val="auto"/>
        </w:rPr>
        <w:t>North 89 degrees 31 minutes 05 seconds East along said northern line for 121.21 feet to a point of curvature in the western boundary of Tract 2 as shown in Deed Book F-5 at Page 43 of the Tunica County, Mississippi Chancery Clerk's Office; thence</w:t>
      </w:r>
    </w:p>
    <w:p>
      <w:pPr>
        <w:spacing w:after="0" w:line="200" w:lineRule="exact"/>
        <w:rPr>
          <w:sz w:val="20"/>
          <w:szCs w:val="20"/>
          <w:color w:val="auto"/>
        </w:rPr>
      </w:pPr>
    </w:p>
    <w:p>
      <w:pPr>
        <w:spacing w:after="0" w:line="26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With a clockwise curve to the right having a radius of 25.00 feet, a delta angle of 90 degrees 28 minutes 45 seconds, an arc length of 39.48 feet and a chord which bears North 45 degrees 14 minutes 28 seconds West for 35.50 feet to a point of tangency in the said western boundary of Tract 2; thence</w:t>
      </w:r>
    </w:p>
    <w:p>
      <w:pPr>
        <w:sectPr>
          <w:pgSz w:w="11900" w:h="16838" w:orient="portrait"/>
          <w:cols w:equalWidth="0" w:num="1">
            <w:col w:w="11420"/>
          </w:cols>
          <w:pgMar w:left="240" w:top="59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 - 8</w:t>
      </w:r>
    </w:p>
    <w:p>
      <w:pPr>
        <w:sectPr>
          <w:pgSz w:w="11900" w:h="16838" w:orient="portrait"/>
          <w:cols w:equalWidth="0" w:num="1">
            <w:col w:w="11420"/>
          </w:cols>
          <w:pgMar w:left="240" w:top="591" w:right="239" w:bottom="1440" w:gutter="0" w:footer="0" w:header="0"/>
          <w:type w:val="continuous"/>
        </w:sectPr>
      </w:pPr>
    </w:p>
    <w:bookmarkStart w:id="151" w:name="page152"/>
    <w:bookmarkEnd w:id="151"/>
    <w:p>
      <w:pPr>
        <w:jc w:val="both"/>
        <w:spacing w:after="0" w:line="263" w:lineRule="auto"/>
        <w:rPr>
          <w:sz w:val="20"/>
          <w:szCs w:val="20"/>
          <w:color w:val="auto"/>
        </w:rPr>
      </w:pPr>
      <w:r>
        <w:rPr>
          <w:rFonts w:ascii="Arial" w:cs="Arial" w:eastAsia="Arial" w:hAnsi="Arial"/>
          <w:sz w:val="22"/>
          <w:szCs w:val="22"/>
          <w:color w:val="auto"/>
        </w:rPr>
        <w:t>North 0 degrees 00 minutes 00 seconds East along the said western boundary of Tract 2 for 246.36 feet to a point of curvature; thence</w:t>
      </w:r>
    </w:p>
    <w:p>
      <w:pPr>
        <w:spacing w:after="0" w:line="200" w:lineRule="exact"/>
        <w:rPr>
          <w:sz w:val="20"/>
          <w:szCs w:val="20"/>
          <w:color w:val="auto"/>
        </w:rPr>
      </w:pPr>
    </w:p>
    <w:p>
      <w:pPr>
        <w:spacing w:after="0" w:line="34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With a counterclockwise curve to the left having a radius of 1005.00 feet, a delta angle of 28 degrees 31 minutes 35 seconds, an arc length of 500.37 feet and a chord which bears North 14 degrees 15 minutes 47 seconds West for 495.21 feet to a point of tangency; thence</w:t>
      </w:r>
    </w:p>
    <w:p>
      <w:pPr>
        <w:spacing w:after="0" w:line="200" w:lineRule="exact"/>
        <w:rPr>
          <w:sz w:val="20"/>
          <w:szCs w:val="20"/>
          <w:color w:val="auto"/>
        </w:rPr>
      </w:pPr>
    </w:p>
    <w:p>
      <w:pPr>
        <w:spacing w:after="0" w:line="351"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North 28 degrees 31 minutes 35 seconds West and continuing along the said western boundary of Tract 2 for 905.00 feet to a point; thence</w:t>
      </w:r>
    </w:p>
    <w:p>
      <w:pPr>
        <w:spacing w:after="0" w:line="200" w:lineRule="exact"/>
        <w:rPr>
          <w:sz w:val="20"/>
          <w:szCs w:val="20"/>
          <w:color w:val="auto"/>
        </w:rPr>
      </w:pPr>
    </w:p>
    <w:p>
      <w:pPr>
        <w:spacing w:after="0" w:line="34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North 21 degrees 45 minutes 46 seconds West for 441.52 feet to a point in the southern boundary of the Yazoo--Mississippi Delta Levee Commission Property; thence</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2"/>
          <w:szCs w:val="22"/>
          <w:color w:val="auto"/>
        </w:rPr>
        <w:t>North 74 degrees 27 minutes 09 seconds West along the said southern boundary for 311.02 feet to a point; thence</w:t>
      </w:r>
    </w:p>
    <w:p>
      <w:pPr>
        <w:spacing w:after="0" w:line="200" w:lineRule="exact"/>
        <w:rPr>
          <w:sz w:val="20"/>
          <w:szCs w:val="20"/>
          <w:color w:val="auto"/>
        </w:rPr>
      </w:pPr>
    </w:p>
    <w:p>
      <w:pPr>
        <w:spacing w:after="0" w:line="38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South 63 degrees 28 minutes 45 seconds West and continuing along the said southern boundary for 11.59 feet to the said "Point of Beginning", containing 5.71 acres, more or less.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1"/>
          <w:szCs w:val="21"/>
          <w:color w:val="auto"/>
        </w:rPr>
        <w:t>Bearings in the above description have an origin of TRUE NORTH based on computations from celestial observations.</w:t>
      </w:r>
    </w:p>
    <w:p>
      <w:pPr>
        <w:spacing w:after="0" w:line="177" w:lineRule="exact"/>
        <w:rPr>
          <w:sz w:val="20"/>
          <w:szCs w:val="20"/>
          <w:color w:val="auto"/>
        </w:rPr>
      </w:pPr>
    </w:p>
    <w:p>
      <w:pPr>
        <w:ind w:left="4540"/>
        <w:spacing w:after="0"/>
        <w:rPr>
          <w:sz w:val="20"/>
          <w:szCs w:val="20"/>
          <w:color w:val="auto"/>
        </w:rPr>
      </w:pPr>
      <w:r>
        <w:rPr>
          <w:rFonts w:ascii="Arial" w:cs="Arial" w:eastAsia="Arial" w:hAnsi="Arial"/>
          <w:sz w:val="22"/>
          <w:szCs w:val="22"/>
          <w:u w:val="single" w:color="auto"/>
          <w:color w:val="auto"/>
        </w:rPr>
        <w:t>"EASEMENT PARCEL 2"</w:t>
      </w:r>
    </w:p>
    <w:p>
      <w:pPr>
        <w:spacing w:after="0" w:line="166" w:lineRule="exact"/>
        <w:rPr>
          <w:sz w:val="20"/>
          <w:szCs w:val="20"/>
          <w:color w:val="auto"/>
        </w:rPr>
      </w:pPr>
    </w:p>
    <w:p>
      <w:pPr>
        <w:ind w:right="200"/>
        <w:spacing w:after="0" w:line="253" w:lineRule="auto"/>
        <w:rPr>
          <w:sz w:val="20"/>
          <w:szCs w:val="20"/>
          <w:color w:val="auto"/>
        </w:rPr>
      </w:pPr>
      <w:r>
        <w:rPr>
          <w:rFonts w:ascii="Arial" w:cs="Arial" w:eastAsia="Arial" w:hAnsi="Arial"/>
          <w:sz w:val="22"/>
          <w:szCs w:val="22"/>
          <w:color w:val="auto"/>
        </w:rPr>
        <w:t>A forty foot (40') wide easement for the purpose of ingress and egress as described in Exhibit B of the Warranty Deed recorded in Book E5 at Page 649 in the records in the office of the Chancery Clerk of Tunica County, Mississippi, over Parcels 1, 2 and 3 in Exhibit A attached to such deed.</w:t>
      </w:r>
    </w:p>
    <w:p>
      <w:pPr>
        <w:spacing w:after="0" w:line="132" w:lineRule="exact"/>
        <w:rPr>
          <w:sz w:val="20"/>
          <w:szCs w:val="20"/>
          <w:color w:val="auto"/>
        </w:rPr>
      </w:pPr>
    </w:p>
    <w:p>
      <w:pPr>
        <w:ind w:right="120"/>
        <w:spacing w:after="0" w:line="297" w:lineRule="auto"/>
        <w:rPr>
          <w:sz w:val="20"/>
          <w:szCs w:val="20"/>
          <w:color w:val="auto"/>
        </w:rPr>
      </w:pPr>
      <w:r>
        <w:rPr>
          <w:rFonts w:ascii="Arial" w:cs="Arial" w:eastAsia="Arial" w:hAnsi="Arial"/>
          <w:sz w:val="19"/>
          <w:szCs w:val="19"/>
          <w:color w:val="auto"/>
        </w:rPr>
        <w:t>Said easement being the same easement granted and conveyed to G. A. Robinson, III and C. Greg Robinson by Robinson Property Group Limited Partnership by instrument entitled Amendment to Easement for Ingress and Egress dated January 14, 1994, same being of record in Book A-5 at Page 505 in the records of the Chancery Clerk of Tunica County, Mississippi. The easement described above is subject to relocation as provided in the instrument entitled Amendment to Easement for Ingress and Egress between G. A. Robinson, III and C. Greg Robinson and Robinson Property Group Limited Partnership, referenced above.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"EASEMENT PARCEL 3"</w:t>
      </w:r>
    </w:p>
    <w:p>
      <w:pPr>
        <w:spacing w:after="0" w:line="166" w:lineRule="exact"/>
        <w:rPr>
          <w:sz w:val="20"/>
          <w:szCs w:val="20"/>
          <w:color w:val="auto"/>
        </w:rPr>
      </w:pPr>
    </w:p>
    <w:p>
      <w:pPr>
        <w:ind w:right="200"/>
        <w:spacing w:after="0" w:line="287" w:lineRule="auto"/>
        <w:rPr>
          <w:sz w:val="20"/>
          <w:szCs w:val="20"/>
          <w:color w:val="auto"/>
        </w:rPr>
      </w:pPr>
      <w:r>
        <w:rPr>
          <w:rFonts w:ascii="Arial" w:cs="Arial" w:eastAsia="Arial" w:hAnsi="Arial"/>
          <w:sz w:val="21"/>
          <w:szCs w:val="21"/>
          <w:color w:val="auto"/>
        </w:rPr>
        <w:t>A forty foot (40') wide easement for the purpose of ingress and egress as described in Exhibit C of the Warranty Deed recorded in Book E5 at Page 649 in the records in the office of the Chancery Clerk of Tunica County, Mississippi.</w:t>
      </w:r>
    </w:p>
    <w:p>
      <w:pPr>
        <w:spacing w:after="0" w:line="200" w:lineRule="exact"/>
        <w:rPr>
          <w:sz w:val="20"/>
          <w:szCs w:val="20"/>
          <w:color w:val="auto"/>
        </w:rPr>
      </w:pPr>
    </w:p>
    <w:p>
      <w:pPr>
        <w:spacing w:after="0" w:line="316" w:lineRule="exact"/>
        <w:rPr>
          <w:sz w:val="20"/>
          <w:szCs w:val="20"/>
          <w:color w:val="auto"/>
        </w:rPr>
      </w:pPr>
    </w:p>
    <w:p>
      <w:pPr>
        <w:ind w:right="260"/>
        <w:spacing w:after="0" w:line="263" w:lineRule="auto"/>
        <w:rPr>
          <w:sz w:val="20"/>
          <w:szCs w:val="20"/>
          <w:color w:val="auto"/>
        </w:rPr>
      </w:pPr>
      <w:r>
        <w:rPr>
          <w:rFonts w:ascii="Arial" w:cs="Arial" w:eastAsia="Arial" w:hAnsi="Arial"/>
          <w:sz w:val="22"/>
          <w:szCs w:val="22"/>
          <w:color w:val="auto"/>
        </w:rPr>
        <w:t>Being a description of part of the Robinson Property Group L.P. Property as recorded in Book V4, Page 16, at the Tunica County Clerk's Office, located in Sections 1, 2 and 11,</w:t>
      </w:r>
    </w:p>
    <w:p>
      <w:pPr>
        <w:sectPr>
          <w:pgSz w:w="11900" w:h="16838" w:orient="portrait"/>
          <w:cols w:equalWidth="0" w:num="1">
            <w:col w:w="11420"/>
          </w:cols>
          <w:pgMar w:left="240" w:top="67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 - 9</w:t>
      </w:r>
    </w:p>
    <w:p>
      <w:pPr>
        <w:sectPr>
          <w:pgSz w:w="11900" w:h="16838" w:orient="portrait"/>
          <w:cols w:equalWidth="0" w:num="1">
            <w:col w:w="11420"/>
          </w:cols>
          <w:pgMar w:left="240" w:top="672" w:right="239" w:bottom="1440" w:gutter="0" w:footer="0" w:header="0"/>
          <w:type w:val="continuous"/>
        </w:sectPr>
      </w:pPr>
    </w:p>
    <w:bookmarkStart w:id="152" w:name="page153"/>
    <w:bookmarkEnd w:id="152"/>
    <w:p>
      <w:pPr>
        <w:spacing w:after="0"/>
        <w:rPr>
          <w:sz w:val="20"/>
          <w:szCs w:val="20"/>
          <w:color w:val="auto"/>
        </w:rPr>
      </w:pPr>
      <w:r>
        <w:rPr>
          <w:rFonts w:ascii="Arial" w:cs="Arial" w:eastAsia="Arial" w:hAnsi="Arial"/>
          <w:sz w:val="22"/>
          <w:szCs w:val="22"/>
          <w:color w:val="auto"/>
        </w:rPr>
        <w:t>Township 3 South, Range 11 West, Tunica County, Mississippi, and being more particularly described as follows:</w:t>
      </w:r>
    </w:p>
    <w:p>
      <w:pPr>
        <w:spacing w:after="0" w:line="200" w:lineRule="exact"/>
        <w:rPr>
          <w:sz w:val="20"/>
          <w:szCs w:val="20"/>
          <w:color w:val="auto"/>
        </w:rPr>
      </w:pPr>
    </w:p>
    <w:p>
      <w:pPr>
        <w:spacing w:after="0" w:line="303"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Commencing at the Section corner between Sections 1, 2, 1l and 12, Township 3 South, Range 11 West, Tunica County, Mississippi; thence S 00</w:t>
      </w:r>
      <w:r>
        <w:rPr>
          <w:rFonts w:ascii="Arial" w:cs="Arial" w:eastAsia="Arial" w:hAnsi="Arial"/>
          <w:sz w:val="26"/>
          <w:szCs w:val="26"/>
          <w:color w:val="auto"/>
          <w:vertAlign w:val="superscript"/>
        </w:rPr>
        <w:t>0</w:t>
      </w:r>
      <w:r>
        <w:rPr>
          <w:rFonts w:ascii="Arial" w:cs="Arial" w:eastAsia="Arial" w:hAnsi="Arial"/>
          <w:sz w:val="20"/>
          <w:szCs w:val="20"/>
          <w:color w:val="auto"/>
        </w:rPr>
        <w:t xml:space="preserve"> 00' 06" E along the East line of Section 2 a distance of 115.73 feet to a point on the North right-of-way line of the Yazoo-Mississippi Delta Levee Board Property; thence S 74</w:t>
      </w:r>
      <w:r>
        <w:rPr>
          <w:rFonts w:ascii="Arial" w:cs="Arial" w:eastAsia="Arial" w:hAnsi="Arial"/>
          <w:sz w:val="26"/>
          <w:szCs w:val="26"/>
          <w:color w:val="auto"/>
          <w:vertAlign w:val="superscript"/>
        </w:rPr>
        <w:t>0</w:t>
      </w:r>
      <w:r>
        <w:rPr>
          <w:rFonts w:ascii="Arial" w:cs="Arial" w:eastAsia="Arial" w:hAnsi="Arial"/>
          <w:sz w:val="20"/>
          <w:szCs w:val="20"/>
          <w:color w:val="auto"/>
        </w:rPr>
        <w:t xml:space="preserve"> 46' 53" W along said Levee right-of-way line a distance of 25.91 feet to the POINT OF BEGINNING for this easement; thence N 00° 00' 06" W a distance of 151.49 feet to a point of curvature; thence along a curve to the right having a radius of 62.00 feet, an arc length of 28.96 feet (chord N 13° 22' 53" E - 28.70 feet) to the Point of Tangency; thence North 26° 45' 51" E a distance of 104.78 feet to a point of curvature; thence along a curve to the left having a radius of 62.00 feet, an arc length of 86.84 feet (chord N 13° 21' 46" W - 79.92 feet) to the Point of Tangency; thence N 53° 29' 23" W a distance of 131.86 feet to the point on the centerline of an existing 40 foot ingress/egress easement (Book V4, Page 19); thence N 46° 52' 20" W along the centerline of said existing easement a distance of 93.70 feet to a point; thence N 53° 57' 42" W along said easement a distance of 436.29 feet to a Point of Curvature; thence along a curve to the right having a radius of 285.00 feet, an arc length of 103.05 feet (chord N 43° 36' 11" W - 102.49 feet) to the Point of Tangency; thence N 33</w:t>
      </w:r>
      <w:r>
        <w:rPr>
          <w:rFonts w:ascii="Arial" w:cs="Arial" w:eastAsia="Arial" w:hAnsi="Arial"/>
          <w:sz w:val="26"/>
          <w:szCs w:val="26"/>
          <w:color w:val="auto"/>
          <w:vertAlign w:val="superscript"/>
        </w:rPr>
        <w:t>0</w:t>
      </w:r>
      <w:r>
        <w:rPr>
          <w:rFonts w:ascii="Arial" w:cs="Arial" w:eastAsia="Arial" w:hAnsi="Arial"/>
          <w:sz w:val="20"/>
          <w:szCs w:val="20"/>
          <w:color w:val="auto"/>
        </w:rPr>
        <w:t xml:space="preserve"> 14' 40" W a distance of 112.46 feet to a Point of Curvature; thence along a curve to the left having a radius of 285.00 feet, an arc length of 48.37 feet (chord N 38° 06' 23" W - 48.31 feet) to the Point of Tangency; thence N 42° 58' 06" W a distance of 262.50 feet to a Point of Curvature; thence along a curve to the right having a radius of 60.00 feet, an arc length of 72.06 feet (chord N 08° 33' 51" W - 67.80 feet) to the Point of Tangency; thence N 25° 50' 23" E a distance of 114.86 feet to a point on the Northeast line of the Robinson Property Group L.P. Property, said point being the termination of easement.</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RECORD DESCRIPTION</w:t>
      </w:r>
    </w:p>
    <w:p>
      <w:pPr>
        <w:spacing w:after="0" w:line="200" w:lineRule="exact"/>
        <w:rPr>
          <w:sz w:val="20"/>
          <w:szCs w:val="20"/>
          <w:color w:val="auto"/>
        </w:rPr>
      </w:pPr>
    </w:p>
    <w:p>
      <w:pPr>
        <w:spacing w:after="0" w:line="384"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A tract of land situated in Sections 23 and 24, Township 3 North, Range 7 East, Crittenden County, Arkansas and also in Sections 1 and 12, Township 3 South, Range 11 West, Tunica County, Mississippi, together and with accretions thereto, and more particularly described as follows:</w:t>
      </w:r>
    </w:p>
    <w:p>
      <w:pPr>
        <w:spacing w:after="0" w:line="200" w:lineRule="exact"/>
        <w:rPr>
          <w:sz w:val="20"/>
          <w:szCs w:val="20"/>
          <w:color w:val="auto"/>
        </w:rPr>
      </w:pPr>
    </w:p>
    <w:p>
      <w:pPr>
        <w:spacing w:after="0" w:line="351" w:lineRule="exact"/>
        <w:rPr>
          <w:sz w:val="20"/>
          <w:szCs w:val="20"/>
          <w:color w:val="auto"/>
        </w:rPr>
      </w:pPr>
    </w:p>
    <w:p>
      <w:pPr>
        <w:ind w:right="40"/>
        <w:spacing w:after="0" w:line="248" w:lineRule="auto"/>
        <w:rPr>
          <w:sz w:val="20"/>
          <w:szCs w:val="20"/>
          <w:color w:val="auto"/>
        </w:rPr>
      </w:pPr>
      <w:r>
        <w:rPr>
          <w:rFonts w:ascii="Arial" w:cs="Arial" w:eastAsia="Arial" w:hAnsi="Arial"/>
          <w:sz w:val="22"/>
          <w:szCs w:val="22"/>
          <w:color w:val="auto"/>
        </w:rPr>
        <w:t>Commencing from an iron pin representing the Northwest corner of Section 12, Township 3 South, Range 11 West, Tunica County, Mississippi; thence North 89 degrees 44 minutes 15 seconds East along the North line of a parcel of land known as "Tract 1" and is shown by that instrument filed for record in Deed Book F-5 at Page 35 of the Tunica County, Mississippi Chancery Clerk's Office for 901.92 feet to a point in the approximate center of Old River Lake, said point being the "Point of Beginning" of the tract herein described; thence</w:t>
      </w:r>
    </w:p>
    <w:p>
      <w:pPr>
        <w:spacing w:after="0" w:line="200" w:lineRule="exact"/>
        <w:rPr>
          <w:sz w:val="20"/>
          <w:szCs w:val="20"/>
          <w:color w:val="auto"/>
        </w:rPr>
      </w:pPr>
    </w:p>
    <w:p>
      <w:pPr>
        <w:spacing w:after="0" w:line="357"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Easterly and continuing along the Northern line of said "Tract 1", said Northern line being generally along the approximately center of said Old River Lake for the following courses and distance:</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2"/>
          <w:szCs w:val="22"/>
          <w:color w:val="auto"/>
        </w:rPr>
        <w:t>South 64 degrees, 33 minutes, 18 seconds East for 642.47 feet to a point;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 - 10</w:t>
      </w:r>
    </w:p>
    <w:p>
      <w:pPr>
        <w:sectPr>
          <w:pgSz w:w="11900" w:h="16838" w:orient="portrait"/>
          <w:cols w:equalWidth="0" w:num="1">
            <w:col w:w="11400"/>
          </w:cols>
          <w:pgMar w:left="240" w:top="1090" w:right="259" w:bottom="1440" w:gutter="0" w:footer="0" w:header="0"/>
        </w:sectPr>
      </w:pPr>
    </w:p>
    <w:bookmarkStart w:id="153" w:name="page154"/>
    <w:bookmarkEnd w:id="153"/>
    <w:p>
      <w:pPr>
        <w:spacing w:after="0"/>
        <w:rPr>
          <w:sz w:val="20"/>
          <w:szCs w:val="20"/>
          <w:color w:val="auto"/>
        </w:rPr>
      </w:pPr>
      <w:r>
        <w:rPr>
          <w:rFonts w:ascii="Arial" w:cs="Arial" w:eastAsia="Arial" w:hAnsi="Arial"/>
          <w:sz w:val="22"/>
          <w:szCs w:val="22"/>
          <w:color w:val="auto"/>
        </w:rPr>
        <w:t>South 70 degrees, 53 minutes, 57 seconds East for 637.54 feet to a point;</w:t>
      </w:r>
    </w:p>
    <w:p>
      <w:pPr>
        <w:spacing w:after="0" w:line="200" w:lineRule="exact"/>
        <w:rPr>
          <w:sz w:val="20"/>
          <w:szCs w:val="20"/>
          <w:color w:val="auto"/>
        </w:rPr>
      </w:pPr>
    </w:p>
    <w:p>
      <w:pPr>
        <w:spacing w:after="0" w:line="384" w:lineRule="exact"/>
        <w:rPr>
          <w:sz w:val="20"/>
          <w:szCs w:val="20"/>
          <w:color w:val="auto"/>
        </w:rPr>
      </w:pPr>
    </w:p>
    <w:p>
      <w:pPr>
        <w:ind w:right="220"/>
        <w:spacing w:after="0" w:line="253" w:lineRule="auto"/>
        <w:rPr>
          <w:sz w:val="20"/>
          <w:szCs w:val="20"/>
          <w:color w:val="auto"/>
        </w:rPr>
      </w:pPr>
      <w:r>
        <w:rPr>
          <w:rFonts w:ascii="Arial" w:cs="Arial" w:eastAsia="Arial" w:hAnsi="Arial"/>
          <w:sz w:val="22"/>
          <w:szCs w:val="22"/>
          <w:color w:val="auto"/>
        </w:rPr>
        <w:t>South 79 degrees, 39 minutes, 21 seconds East for 604.79 feet to the Western boundary line of the B L Development Corporation Property as shown by that certain instrument filed for record in Deed Book Y-4 at Page 385 of the Tunica County, Mississippi Chancery Clerk's Office; thence</w:t>
      </w:r>
    </w:p>
    <w:p>
      <w:pPr>
        <w:spacing w:after="0" w:line="200" w:lineRule="exact"/>
        <w:rPr>
          <w:sz w:val="20"/>
          <w:szCs w:val="20"/>
          <w:color w:val="auto"/>
        </w:rPr>
      </w:pPr>
    </w:p>
    <w:p>
      <w:pPr>
        <w:spacing w:after="0" w:line="351"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North 9 degrees, 21 minutes, 44 seconds East along the said Western boundary for 1354.39 feet to a point; thence North 80 degrees, 38 minutes 16 seconds West for 1850.29 feet to a point thence</w:t>
      </w:r>
    </w:p>
    <w:p>
      <w:pPr>
        <w:spacing w:after="0" w:line="200" w:lineRule="exact"/>
        <w:rPr>
          <w:sz w:val="20"/>
          <w:szCs w:val="20"/>
          <w:color w:val="auto"/>
        </w:rPr>
      </w:pPr>
    </w:p>
    <w:p>
      <w:pPr>
        <w:spacing w:after="0" w:line="340" w:lineRule="exact"/>
        <w:rPr>
          <w:sz w:val="20"/>
          <w:szCs w:val="20"/>
          <w:color w:val="auto"/>
        </w:rPr>
      </w:pPr>
    </w:p>
    <w:p>
      <w:pPr>
        <w:ind w:right="300"/>
        <w:spacing w:after="0" w:line="263" w:lineRule="auto"/>
        <w:rPr>
          <w:sz w:val="20"/>
          <w:szCs w:val="20"/>
          <w:color w:val="auto"/>
        </w:rPr>
      </w:pPr>
      <w:r>
        <w:rPr>
          <w:rFonts w:ascii="Arial" w:cs="Arial" w:eastAsia="Arial" w:hAnsi="Arial"/>
          <w:sz w:val="22"/>
          <w:szCs w:val="22"/>
          <w:color w:val="auto"/>
        </w:rPr>
        <w:t>South 9 degrees, 22 minutes, 02 seconds West for 1058.20 feet to the said "Point of Beginning", containing 53.60 acres, more or less.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2"/>
          <w:szCs w:val="22"/>
          <w:color w:val="auto"/>
        </w:rPr>
        <w:t>Bearings in the above description has an origin of TRUE NORTH based on computations from solar observation.</w:t>
      </w:r>
    </w:p>
    <w:p>
      <w:pPr>
        <w:spacing w:after="0" w:line="200" w:lineRule="exact"/>
        <w:rPr>
          <w:sz w:val="20"/>
          <w:szCs w:val="20"/>
          <w:color w:val="auto"/>
        </w:rPr>
      </w:pPr>
    </w:p>
    <w:p>
      <w:pPr>
        <w:spacing w:after="0" w:line="384" w:lineRule="exact"/>
        <w:rPr>
          <w:sz w:val="20"/>
          <w:szCs w:val="20"/>
          <w:color w:val="auto"/>
        </w:rPr>
      </w:pPr>
    </w:p>
    <w:p>
      <w:pPr>
        <w:ind w:right="60"/>
        <w:spacing w:after="0" w:line="253" w:lineRule="auto"/>
        <w:rPr>
          <w:sz w:val="20"/>
          <w:szCs w:val="20"/>
          <w:color w:val="auto"/>
        </w:rPr>
      </w:pPr>
      <w:r>
        <w:rPr>
          <w:rFonts w:ascii="Arial" w:cs="Arial" w:eastAsia="Arial" w:hAnsi="Arial"/>
          <w:sz w:val="22"/>
          <w:szCs w:val="22"/>
          <w:color w:val="auto"/>
        </w:rPr>
        <w:t>LESS AND EXCEPT THEREFROM, 0.676 acres, more or less, along the eastern boundary of the above described tract, conveyed to the Yazoo Mississippi Delta Levee Board by Special Warranty Deed recorded in Book 895 at Page 514 in the Office of the Circuit Clerk of Crittenden County, Arkansas which is described therein, as follows:</w:t>
      </w:r>
    </w:p>
    <w:p>
      <w:pPr>
        <w:spacing w:after="0" w:line="132" w:lineRule="exact"/>
        <w:rPr>
          <w:sz w:val="20"/>
          <w:szCs w:val="20"/>
          <w:color w:val="auto"/>
        </w:rPr>
      </w:pPr>
    </w:p>
    <w:p>
      <w:pPr>
        <w:ind w:left="340" w:right="60"/>
        <w:spacing w:after="0" w:line="253" w:lineRule="auto"/>
        <w:rPr>
          <w:sz w:val="20"/>
          <w:szCs w:val="20"/>
          <w:color w:val="auto"/>
        </w:rPr>
      </w:pPr>
      <w:r>
        <w:rPr>
          <w:rFonts w:ascii="Arial" w:cs="Arial" w:eastAsia="Arial" w:hAnsi="Arial"/>
          <w:sz w:val="22"/>
          <w:szCs w:val="22"/>
          <w:color w:val="auto"/>
        </w:rPr>
        <w:t>A tract of land situated in Section 24, Township 3 North, Range 7 East, Crittenden County, Arkansas and also in Sections 1 and 12, Township 3 South, Range 11 West, Tunica County, Mississippi together and with accretions thereto, and more particularly described as follows:</w:t>
      </w:r>
    </w:p>
    <w:p>
      <w:pPr>
        <w:spacing w:after="0" w:line="200" w:lineRule="exact"/>
        <w:rPr>
          <w:sz w:val="20"/>
          <w:szCs w:val="20"/>
          <w:color w:val="auto"/>
        </w:rPr>
      </w:pPr>
    </w:p>
    <w:p>
      <w:pPr>
        <w:spacing w:after="0" w:line="351" w:lineRule="exact"/>
        <w:rPr>
          <w:sz w:val="20"/>
          <w:szCs w:val="20"/>
          <w:color w:val="auto"/>
        </w:rPr>
      </w:pPr>
    </w:p>
    <w:p>
      <w:pPr>
        <w:ind w:left="340"/>
        <w:spacing w:after="0" w:line="288" w:lineRule="auto"/>
        <w:rPr>
          <w:sz w:val="20"/>
          <w:szCs w:val="20"/>
          <w:color w:val="auto"/>
        </w:rPr>
      </w:pPr>
      <w:r>
        <w:rPr>
          <w:rFonts w:ascii="Arial" w:cs="Arial" w:eastAsia="Arial" w:hAnsi="Arial"/>
          <w:sz w:val="19"/>
          <w:szCs w:val="19"/>
          <w:color w:val="auto"/>
        </w:rPr>
        <w:t>Commencing from an iron pin representing the northwest corner of Section 12, Township 3 South, Range 11 West, Tunica County, Mississippi (said Commencement Point being North 14 degrees, 28 minutes, 59 seconds West for a distance of 830.85 feet from a found iron bar located in the present Yazoo-Mississippi Delta Levee Commission baseline of Mile 21 and known as Station 20141404); thence North 89 degrees, 44 minutes, 15 seconds East for 901.92 feet to a point in the approximate center of Old River Lake; thence Easterly and generally along the approximate center of said Old River Lake for the following courses and distances: South 64 degrees, 33 minutes, 18 seconds East for 642.47 feet to a point; thence South 70 degrees, 53 minutes, 57 seconds East for 637.54 feet to a point; thence South 79 degrees, 39 minutes, 21 seconds East for 604.79 feet to the western boundary line of the B L Development Corporation property as shown by that instrument filed for record in Deed Book Y-4 at Page 385 of the Tunica County, Mississippi Chancery Clerk's Office; thence North 9 degrees, 21 minutes, 44 seconds East along the said western boundary for 309.11 feet to the "Point of Beginning" of the easement herein described; thence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 - 11</w:t>
      </w:r>
    </w:p>
    <w:p>
      <w:pPr>
        <w:sectPr>
          <w:pgSz w:w="11900" w:h="16838" w:orient="portrait"/>
          <w:cols w:equalWidth="0" w:num="1">
            <w:col w:w="11400"/>
          </w:cols>
          <w:pgMar w:left="240" w:top="672" w:right="259" w:bottom="1440" w:gutter="0" w:footer="0" w:header="0"/>
        </w:sectPr>
      </w:pPr>
    </w:p>
    <w:bookmarkStart w:id="154" w:name="page155"/>
    <w:bookmarkEnd w:id="154"/>
    <w:p>
      <w:pPr>
        <w:ind w:left="340" w:right="760"/>
        <w:spacing w:after="0" w:line="343" w:lineRule="auto"/>
        <w:rPr>
          <w:sz w:val="20"/>
          <w:szCs w:val="20"/>
          <w:color w:val="auto"/>
        </w:rPr>
      </w:pPr>
      <w:r>
        <w:rPr>
          <w:rFonts w:ascii="Arial" w:cs="Arial" w:eastAsia="Arial" w:hAnsi="Arial"/>
          <w:sz w:val="19"/>
          <w:szCs w:val="19"/>
          <w:color w:val="auto"/>
        </w:rPr>
        <w:t>North 9 degrees, 21 minutes, 44 seconds East and continuing along the said western boundary of the B L Development Corporation property for 142.00 feet to a point at the northeast corner of the tract herein described; thence</w:t>
      </w:r>
    </w:p>
    <w:p>
      <w:pPr>
        <w:spacing w:after="0" w:line="200" w:lineRule="exact"/>
        <w:rPr>
          <w:sz w:val="20"/>
          <w:szCs w:val="20"/>
          <w:color w:val="auto"/>
        </w:rPr>
      </w:pPr>
    </w:p>
    <w:p>
      <w:pPr>
        <w:spacing w:after="0" w:line="269" w:lineRule="exact"/>
        <w:rPr>
          <w:sz w:val="20"/>
          <w:szCs w:val="20"/>
          <w:color w:val="auto"/>
        </w:rPr>
      </w:pPr>
    </w:p>
    <w:p>
      <w:pPr>
        <w:ind w:left="340" w:right="180"/>
        <w:spacing w:after="0" w:line="263" w:lineRule="auto"/>
        <w:rPr>
          <w:sz w:val="20"/>
          <w:szCs w:val="20"/>
          <w:color w:val="auto"/>
        </w:rPr>
      </w:pPr>
      <w:r>
        <w:rPr>
          <w:rFonts w:ascii="Arial" w:cs="Arial" w:eastAsia="Arial" w:hAnsi="Arial"/>
          <w:sz w:val="22"/>
          <w:szCs w:val="22"/>
          <w:color w:val="auto"/>
        </w:rPr>
        <w:t>North 78 degrees, 56 minutes, 44 seconds West for 207.37 feet to a point at the northwest corner of the tract herein described; thence</w:t>
      </w:r>
    </w:p>
    <w:p>
      <w:pPr>
        <w:spacing w:after="0" w:line="200" w:lineRule="exact"/>
        <w:rPr>
          <w:sz w:val="20"/>
          <w:szCs w:val="20"/>
          <w:color w:val="auto"/>
        </w:rPr>
      </w:pPr>
    </w:p>
    <w:p>
      <w:pPr>
        <w:spacing w:after="0" w:line="340" w:lineRule="exact"/>
        <w:rPr>
          <w:sz w:val="20"/>
          <w:szCs w:val="20"/>
          <w:color w:val="auto"/>
        </w:rPr>
      </w:pPr>
    </w:p>
    <w:p>
      <w:pPr>
        <w:ind w:left="340"/>
        <w:spacing w:after="0"/>
        <w:rPr>
          <w:sz w:val="20"/>
          <w:szCs w:val="20"/>
          <w:color w:val="auto"/>
        </w:rPr>
      </w:pPr>
      <w:r>
        <w:rPr>
          <w:rFonts w:ascii="Arial" w:cs="Arial" w:eastAsia="Arial" w:hAnsi="Arial"/>
          <w:sz w:val="19"/>
          <w:szCs w:val="19"/>
          <w:color w:val="auto"/>
        </w:rPr>
        <w:t>South 9 degrees, 21 minutes, 44 seconds West for 142.00 feet to the southwest corner of the tract herein described; thence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right="120"/>
        <w:spacing w:after="0" w:line="263" w:lineRule="auto"/>
        <w:rPr>
          <w:sz w:val="20"/>
          <w:szCs w:val="20"/>
          <w:color w:val="auto"/>
        </w:rPr>
      </w:pPr>
      <w:r>
        <w:rPr>
          <w:rFonts w:ascii="Arial" w:cs="Arial" w:eastAsia="Arial" w:hAnsi="Arial"/>
          <w:sz w:val="22"/>
          <w:szCs w:val="22"/>
          <w:color w:val="auto"/>
        </w:rPr>
        <w:t>South 78 degrees, 56 minutes, 44 seconds East for 207.37 feet to the southeast corner of the tract herein described and the said "Point of Beginning", containing 0.676 acres, more or less.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2"/>
          <w:szCs w:val="22"/>
          <w:color w:val="auto"/>
        </w:rPr>
        <w:t>SAID RECORD DESCRIPTION BEING MORE PARTICULARLY DESCRIBED AS:</w:t>
      </w:r>
    </w:p>
    <w:p>
      <w:pPr>
        <w:spacing w:after="0" w:line="166" w:lineRule="exact"/>
        <w:rPr>
          <w:sz w:val="20"/>
          <w:szCs w:val="20"/>
          <w:color w:val="auto"/>
        </w:rPr>
      </w:pPr>
    </w:p>
    <w:p>
      <w:pPr>
        <w:ind w:right="80"/>
        <w:spacing w:after="0" w:line="297" w:lineRule="auto"/>
        <w:rPr>
          <w:sz w:val="20"/>
          <w:szCs w:val="20"/>
          <w:color w:val="auto"/>
        </w:rPr>
      </w:pPr>
      <w:r>
        <w:rPr>
          <w:rFonts w:ascii="Arial" w:cs="Arial" w:eastAsia="Arial" w:hAnsi="Arial"/>
          <w:sz w:val="19"/>
          <w:szCs w:val="19"/>
          <w:color w:val="auto"/>
        </w:rPr>
        <w:t>A tract of land situated in Sections 23 and 24, Township 3 North, Range 7 East, Crittenden County, Arkansas being the Bally's Olympia Limited Partnership property as recorded in Book 871, Page 196 in the Circuit Court Clerk's Office in Crittenden County less that property conveyed to the Yazoo Mississippi Delta Levee Board and recorded in Book 895, Page 514 in said Circuit Court Clerk's Office, being the same land depicted on the survey of Kenneth E. Francis, Jr. (Barge, Waggoner, Sumner &amp; Cannon), dated 12/8/04, known as File No. 3169100, and being more particularly described as follows:</w:t>
      </w:r>
    </w:p>
    <w:p>
      <w:pPr>
        <w:spacing w:after="0" w:line="93" w:lineRule="exact"/>
        <w:rPr>
          <w:sz w:val="20"/>
          <w:szCs w:val="20"/>
          <w:color w:val="auto"/>
        </w:rPr>
      </w:pPr>
    </w:p>
    <w:p>
      <w:pPr>
        <w:spacing w:after="0" w:line="285" w:lineRule="auto"/>
        <w:rPr>
          <w:sz w:val="20"/>
          <w:szCs w:val="20"/>
          <w:color w:val="auto"/>
        </w:rPr>
      </w:pPr>
      <w:r>
        <w:rPr>
          <w:rFonts w:ascii="Arial" w:cs="Arial" w:eastAsia="Arial" w:hAnsi="Arial"/>
          <w:sz w:val="19"/>
          <w:szCs w:val="19"/>
          <w:color w:val="auto"/>
        </w:rPr>
        <w:t>Commencing at, the northwest corner of Section 12, Township 3 South, Range 11 West, Tunica County, Mississippi being the northwest corner of the Bally's Olympia Limited Partnership property as recorded in Book G5, Page 360 in the Chancery Clerk's Office of Tunica County, Mississippi; thence North 89 degrees 44 minutes 15 seconds East along the north line of said Section 12 and the north line of said Bally's property a distance of 901.92 feet to a point in the approximate center of Old River Lake being a southeast corner of the G.A. Robinson, III, Trustee property as recorded in Book 996, Page 118 in said Circuit Court Clerk's Office, said point being the POINT OF BEGINNING; thence North 09 degrees 22 minutes 02 seconds East along a south line of said Robinson property a distance of 1058.20 feet to a point; thence South 80 degrees 38 minutes 16 seconds East along the south line of said Robinson property a distance of 1850.29 feet to a point in the west line of the B L Development Corp. property as recorded in Book 821, Page 108 in said Circuit Court Clerk's Office; thence South 09 degrees 21 minutes 44 seconds West along said west line a distance of 903.28 feet to a point being the northeast corner of the Yazoo Mississippi Delta Levee Board property as recorded in Book 895, Page 514 in said Circuit Court Clerk's Office; thence North 78 degrees 56 minutes 44 seconds West along the north line of said Levee Board property a distance of 207.37 feet to a point being the northwest corner of said Levee Board property; thence South 09 degrees 21 minutes 44 seconds West along the west line of said Levee Board property a distance of 142.00 feet to a point being the southwest corner of said Levee Board property; thence South 78 degrees 56 minutes 44 seconds East along the south line of said Levee Board property a distance of 207.37 feet to a point in the west line of said B L Development Corp. property; thence South 09 degrees 21 minutes 44 seconds West along said west line a distance of 309.11 feet to a point in the approximate center of Old River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 - 12</w:t>
      </w:r>
    </w:p>
    <w:p>
      <w:pPr>
        <w:sectPr>
          <w:pgSz w:w="11900" w:h="16838" w:orient="portrait"/>
          <w:cols w:equalWidth="0" w:num="1">
            <w:col w:w="11380"/>
          </w:cols>
          <w:pgMar w:left="240" w:top="672" w:right="279" w:bottom="1440" w:gutter="0" w:footer="0" w:header="0"/>
        </w:sectPr>
      </w:pPr>
    </w:p>
    <w:bookmarkStart w:id="155" w:name="page156"/>
    <w:bookmarkEnd w:id="155"/>
    <w:p>
      <w:pPr>
        <w:ind w:right="1060"/>
        <w:spacing w:after="0" w:line="263" w:lineRule="auto"/>
        <w:rPr>
          <w:sz w:val="20"/>
          <w:szCs w:val="20"/>
          <w:color w:val="auto"/>
        </w:rPr>
      </w:pPr>
      <w:r>
        <w:rPr>
          <w:rFonts w:ascii="Arial" w:cs="Arial" w:eastAsia="Arial" w:hAnsi="Arial"/>
          <w:sz w:val="22"/>
          <w:szCs w:val="22"/>
          <w:color w:val="auto"/>
        </w:rPr>
        <w:t>Lake being in the north line of said Bally's Olympia Tunica County property; thence along said north line and along the approximate center of Old River Lake the following courses: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2"/>
          <w:szCs w:val="22"/>
          <w:color w:val="auto"/>
        </w:rPr>
        <w:t>thence North 79 degrees 39 minutes 21 seconds West a distance of 604.79 feet to a point;</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thence North 70 degrees 53 minutes 57 seconds West a distance of 637.54 feet to a point;</w:t>
      </w:r>
    </w:p>
    <w:p>
      <w:pPr>
        <w:spacing w:after="0" w:line="200" w:lineRule="exact"/>
        <w:rPr>
          <w:sz w:val="20"/>
          <w:szCs w:val="20"/>
          <w:color w:val="auto"/>
        </w:rPr>
      </w:pPr>
    </w:p>
    <w:p>
      <w:pPr>
        <w:spacing w:after="0" w:line="384" w:lineRule="exact"/>
        <w:rPr>
          <w:sz w:val="20"/>
          <w:szCs w:val="20"/>
          <w:color w:val="auto"/>
        </w:rPr>
      </w:pPr>
    </w:p>
    <w:p>
      <w:pPr>
        <w:ind w:right="320"/>
        <w:spacing w:after="0" w:line="263" w:lineRule="auto"/>
        <w:rPr>
          <w:sz w:val="20"/>
          <w:szCs w:val="20"/>
          <w:color w:val="auto"/>
        </w:rPr>
      </w:pPr>
      <w:r>
        <w:rPr>
          <w:rFonts w:ascii="Arial" w:cs="Arial" w:eastAsia="Arial" w:hAnsi="Arial"/>
          <w:sz w:val="22"/>
          <w:szCs w:val="22"/>
          <w:color w:val="auto"/>
        </w:rPr>
        <w:t>thence North 64 degrees 33 minutes 18 seconds West a distance of 642.47 feet to a the POINT OF BEGINNING and containing 2,305,217 sq. square feet or 52.921 acres of land, more or less.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EASEMENT PARCEL I</w:t>
      </w:r>
    </w:p>
    <w:p>
      <w:pPr>
        <w:spacing w:after="0" w:line="200" w:lineRule="exact"/>
        <w:rPr>
          <w:sz w:val="20"/>
          <w:szCs w:val="20"/>
          <w:color w:val="auto"/>
        </w:rPr>
      </w:pPr>
    </w:p>
    <w:p>
      <w:pPr>
        <w:spacing w:after="0" w:line="390"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A forty foot (40') wide easement for the purpose of ingress and egress as described in "Exhibit B" and "Exhibit to Exhibit B" of the Correction Warranty Deed recorded in Book H5 at Page 273 in the records in the office of the Chancery Clerk of Tunica County, Mississippi, and in Book 871 at Page 196 in the records in the office of the Circuit Court Clerk of Crittenden County, Arkansas, over and across the following described real property, to-wit:</w:t>
      </w:r>
    </w:p>
    <w:p>
      <w:pPr>
        <w:spacing w:after="0" w:line="200" w:lineRule="exact"/>
        <w:rPr>
          <w:sz w:val="20"/>
          <w:szCs w:val="20"/>
          <w:color w:val="auto"/>
        </w:rPr>
      </w:pPr>
    </w:p>
    <w:p>
      <w:pPr>
        <w:spacing w:after="0" w:line="353" w:lineRule="exact"/>
        <w:rPr>
          <w:sz w:val="20"/>
          <w:szCs w:val="20"/>
          <w:color w:val="auto"/>
        </w:rPr>
      </w:pPr>
    </w:p>
    <w:p>
      <w:pPr>
        <w:ind w:left="340" w:right="460"/>
        <w:spacing w:after="0" w:line="253" w:lineRule="auto"/>
        <w:rPr>
          <w:sz w:val="20"/>
          <w:szCs w:val="20"/>
          <w:color w:val="auto"/>
        </w:rPr>
      </w:pPr>
      <w:r>
        <w:rPr>
          <w:rFonts w:ascii="Arial" w:cs="Arial" w:eastAsia="Arial" w:hAnsi="Arial"/>
          <w:sz w:val="22"/>
          <w:szCs w:val="22"/>
          <w:color w:val="auto"/>
        </w:rPr>
        <w:t>Being a description of part of the Robinson Property Group L.P. Property as recorded in Book V4, Page 16, at the Tunica County Clerk's Office, located in Sections 1, 2 and 11, Township 3 South, Range 11 West, Tunica County, Mississippi, and being more particularly described as follows:</w:t>
      </w:r>
    </w:p>
    <w:p>
      <w:pPr>
        <w:spacing w:after="0" w:line="200" w:lineRule="exact"/>
        <w:rPr>
          <w:sz w:val="20"/>
          <w:szCs w:val="20"/>
          <w:color w:val="auto"/>
        </w:rPr>
      </w:pPr>
    </w:p>
    <w:p>
      <w:pPr>
        <w:spacing w:after="0" w:line="351" w:lineRule="exact"/>
        <w:rPr>
          <w:sz w:val="20"/>
          <w:szCs w:val="20"/>
          <w:color w:val="auto"/>
        </w:rPr>
      </w:pPr>
    </w:p>
    <w:p>
      <w:pPr>
        <w:ind w:left="340"/>
        <w:spacing w:after="0" w:line="286" w:lineRule="auto"/>
        <w:rPr>
          <w:sz w:val="20"/>
          <w:szCs w:val="20"/>
          <w:color w:val="auto"/>
        </w:rPr>
      </w:pPr>
      <w:r>
        <w:rPr>
          <w:rFonts w:ascii="Arial" w:cs="Arial" w:eastAsia="Arial" w:hAnsi="Arial"/>
          <w:sz w:val="19"/>
          <w:szCs w:val="19"/>
          <w:color w:val="auto"/>
        </w:rPr>
        <w:t>Commencing at the Section corner between Sections 1, 2, 11 and 12, Township 3 South, Range 11 West, Tunica County, Mississippi; thence S 00° 00' 06" E along the East line of Section 2 a distance of 115.73 feet to a point on the North right-of-way line of the Yazoo-Mississippi Delta Levee Board Property; thence S 740 46' 53" W along said Levee right-of-way line a distance of 26.91 feet to the POINT OF BEGINNING for this easement; thence N 00° 00' 06" W a distance of 151.49 feet to a point of curvature; thence along a curve to the right having a radius of 62.00 feet, an arc length of 28.96 feet (chord N 13° 22' 53" E - 28.70 feet) to the Point of Tangency; thence North 260 45' 51" E a distance of 104.78 feet to a point of curvature; thence along a curve to the left having a radius of 62.00 feet, an arc length of 86.84 feet (chord N 13° 21' 46" W - 79.92 feet) to the Point of Tangency; thence N 53° 29' 23" W a distance of 131.86 feet to the point on the centerline of an existing 40 foot ingress/egress easement (Book V4, Page 19); thence N 46° 52' 20" W along the centerline of said existing easement a distance of 93.70 feet to a point, thence N 53° 57' 42" W along said easement a distance of 436.29 feet to a Point of Curvature; thence along a curve to the right having a radius of 285.00 feet, an arc length of 103.05 feet (chord N 430 36' 11" W - 102.49 feet) to the Point of Tangency; thence N 33° 14' 40" W a distance of 112.46 feet to a Point of Curvature; thence along a curve to the left having a radius of 285.00 feet, an arc length of 48.37 feet (chord N 38° 06' 23" W - 48.31 feet) to the Point of Tangency; thence N 42° 58' 06" W a distance of 262.50 feet to a Point of Curvature; thence along a curve to the right having a radius of 60.00 feet, an arc length of 72.06 feet (chord N 08° 33' 51" W - 67.80 feet) to the Point of Tangency; thence N 25° 50' 23" E a distance of 114.86 feet to a point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 - 13</w:t>
      </w:r>
    </w:p>
    <w:p>
      <w:pPr>
        <w:sectPr>
          <w:pgSz w:w="11900" w:h="16838" w:orient="portrait"/>
          <w:cols w:equalWidth="0" w:num="1">
            <w:col w:w="11400"/>
          </w:cols>
          <w:pgMar w:left="240" w:top="672" w:right="259" w:bottom="1440" w:gutter="0" w:footer="0" w:header="0"/>
        </w:sectPr>
      </w:pPr>
    </w:p>
    <w:bookmarkStart w:id="156" w:name="page157"/>
    <w:bookmarkEnd w:id="156"/>
    <w:p>
      <w:pPr>
        <w:ind w:left="340"/>
        <w:spacing w:after="0"/>
        <w:rPr>
          <w:sz w:val="20"/>
          <w:szCs w:val="20"/>
          <w:color w:val="auto"/>
        </w:rPr>
      </w:pPr>
      <w:r>
        <w:rPr>
          <w:rFonts w:ascii="Arial" w:cs="Arial" w:eastAsia="Arial" w:hAnsi="Arial"/>
          <w:sz w:val="22"/>
          <w:szCs w:val="22"/>
          <w:color w:val="auto"/>
        </w:rPr>
        <w:t>Northeast line of the Robinson Property Group L.P. Property, said point being the termination of easement.</w:t>
      </w:r>
    </w:p>
    <w:p>
      <w:pPr>
        <w:spacing w:after="0" w:line="166" w:lineRule="exact"/>
        <w:rPr>
          <w:sz w:val="20"/>
          <w:szCs w:val="20"/>
          <w:color w:val="auto"/>
        </w:rPr>
      </w:pPr>
    </w:p>
    <w:p>
      <w:pPr>
        <w:ind w:right="80"/>
        <w:spacing w:after="0" w:line="297" w:lineRule="auto"/>
        <w:rPr>
          <w:sz w:val="20"/>
          <w:szCs w:val="20"/>
          <w:color w:val="auto"/>
        </w:rPr>
      </w:pPr>
      <w:r>
        <w:rPr>
          <w:rFonts w:ascii="Arial" w:cs="Arial" w:eastAsia="Arial" w:hAnsi="Arial"/>
          <w:sz w:val="19"/>
          <w:szCs w:val="19"/>
          <w:color w:val="auto"/>
        </w:rPr>
        <w:t>Said easement being the same easement granted and conveyed to G. A. Robinson, III and C. Greg Robinson by Robinson Property Group Limited Partnership by instrument entitled Amendment to Easement for Ingress and Egress dated January 14, 1994, same being of record in Book A-5 at Page 505 in the records of the Chancery Clerk of Tunica County, Mississippi. The easement described above is subject to relocation as provided in the instrument entitled Amendment to Easement for Ingress and Egress between G. A. Robinson, III and C. Greg Robinson and Robinson Property Group Limited Partnership, referenced above.</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EASEMENT PARCEL 2</w:t>
      </w:r>
    </w:p>
    <w:p>
      <w:pPr>
        <w:spacing w:after="0" w:line="200" w:lineRule="exact"/>
        <w:rPr>
          <w:sz w:val="20"/>
          <w:szCs w:val="20"/>
          <w:color w:val="auto"/>
        </w:rPr>
      </w:pPr>
    </w:p>
    <w:p>
      <w:pPr>
        <w:spacing w:after="0" w:line="390"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A forty foot (40') wide nonexclusive easement for the purpose of ingress and egress as described in "Exhibit C" of the Correction Warranty Deed recorded in Book H5 at Page 273 in the records in the office of the Chancery Clerk of Tunica County, Mississippi, and in Book 871 at Page 196 in the records in the office of the Circuit Court Clerk of Crittenden County, Arkansas, over and across the following described real property, to-wit:</w:t>
      </w:r>
    </w:p>
    <w:p>
      <w:pPr>
        <w:spacing w:after="0" w:line="200" w:lineRule="exact"/>
        <w:rPr>
          <w:sz w:val="20"/>
          <w:szCs w:val="20"/>
          <w:color w:val="auto"/>
        </w:rPr>
      </w:pPr>
    </w:p>
    <w:p>
      <w:pPr>
        <w:spacing w:after="0" w:line="353" w:lineRule="exact"/>
        <w:rPr>
          <w:sz w:val="20"/>
          <w:szCs w:val="20"/>
          <w:color w:val="auto"/>
        </w:rPr>
      </w:pPr>
    </w:p>
    <w:p>
      <w:pPr>
        <w:jc w:val="both"/>
        <w:ind w:left="340"/>
        <w:spacing w:after="0" w:line="253" w:lineRule="auto"/>
        <w:rPr>
          <w:sz w:val="20"/>
          <w:szCs w:val="20"/>
          <w:color w:val="auto"/>
        </w:rPr>
      </w:pPr>
      <w:r>
        <w:rPr>
          <w:rFonts w:ascii="Arial" w:cs="Arial" w:eastAsia="Arial" w:hAnsi="Arial"/>
          <w:sz w:val="22"/>
          <w:szCs w:val="22"/>
          <w:color w:val="auto"/>
        </w:rPr>
        <w:t>A forty foot (40') wide nonexclusive easement for ingress and egress over and across the real properly described below. Grantor shall not be obligated to maintain said easement. Grantee shall have the right, as its sole expense, to grade, pave or maintain the easement as street or road.</w:t>
      </w:r>
    </w:p>
    <w:p>
      <w:pPr>
        <w:spacing w:after="0" w:line="200" w:lineRule="exact"/>
        <w:rPr>
          <w:sz w:val="20"/>
          <w:szCs w:val="20"/>
          <w:color w:val="auto"/>
        </w:rPr>
      </w:pPr>
    </w:p>
    <w:p>
      <w:pPr>
        <w:spacing w:after="0" w:line="351" w:lineRule="exact"/>
        <w:rPr>
          <w:sz w:val="20"/>
          <w:szCs w:val="20"/>
          <w:color w:val="auto"/>
        </w:rPr>
      </w:pPr>
    </w:p>
    <w:p>
      <w:pPr>
        <w:ind w:left="340" w:right="40"/>
        <w:spacing w:after="0" w:line="253" w:lineRule="auto"/>
        <w:rPr>
          <w:sz w:val="20"/>
          <w:szCs w:val="20"/>
          <w:color w:val="auto"/>
        </w:rPr>
      </w:pPr>
      <w:r>
        <w:rPr>
          <w:rFonts w:ascii="Arial" w:cs="Arial" w:eastAsia="Arial" w:hAnsi="Arial"/>
          <w:sz w:val="22"/>
          <w:szCs w:val="22"/>
          <w:color w:val="auto"/>
        </w:rPr>
        <w:t>A tract of land situated in Sections 23 and 24, Township 3 North, Range 7 East, Crittenden County, Arkansas and also in Sections 1, 2 and 12, Township 3 South, Range 11 West, Tunica County, Mississippi together with accretions thereto, and more particularly described as follows:</w:t>
      </w:r>
    </w:p>
    <w:p>
      <w:pPr>
        <w:spacing w:after="0" w:line="200" w:lineRule="exact"/>
        <w:rPr>
          <w:sz w:val="20"/>
          <w:szCs w:val="20"/>
          <w:color w:val="auto"/>
        </w:rPr>
      </w:pPr>
    </w:p>
    <w:p>
      <w:pPr>
        <w:spacing w:after="0" w:line="351" w:lineRule="exact"/>
        <w:rPr>
          <w:sz w:val="20"/>
          <w:szCs w:val="20"/>
          <w:color w:val="auto"/>
        </w:rPr>
      </w:pPr>
    </w:p>
    <w:p>
      <w:pPr>
        <w:ind w:left="340" w:right="200"/>
        <w:spacing w:after="0" w:line="297" w:lineRule="auto"/>
        <w:rPr>
          <w:sz w:val="20"/>
          <w:szCs w:val="20"/>
          <w:color w:val="auto"/>
        </w:rPr>
      </w:pPr>
      <w:r>
        <w:rPr>
          <w:rFonts w:ascii="Arial" w:cs="Arial" w:eastAsia="Arial" w:hAnsi="Arial"/>
          <w:sz w:val="19"/>
          <w:szCs w:val="19"/>
          <w:color w:val="auto"/>
        </w:rPr>
        <w:t>Commencing from an iron pin representing the Northwest corner of Section 12, Township 3 South, Range 11 West, Tunica County, Mississippi; thence North 89 degrees 44 minutes 15 seconds East along the North line of a parcel of land known as "Tract 1" and is shown by that instrument of record in Deed Book F-5 at Page 35 of the Tunica County, Mississippi Chancery Clerk's Office for 901.92 feet to a point in the approximate center of Old River Lake; thence North 9 degrees 22 minutes 02 seconds East for 599.09 feet to the centerline of a 40 feet in width Ingress/Egress Easement; thence</w:t>
      </w:r>
    </w:p>
    <w:p>
      <w:pPr>
        <w:spacing w:after="0" w:line="200" w:lineRule="exact"/>
        <w:rPr>
          <w:sz w:val="20"/>
          <w:szCs w:val="20"/>
          <w:color w:val="auto"/>
        </w:rPr>
      </w:pPr>
    </w:p>
    <w:p>
      <w:pPr>
        <w:spacing w:after="0" w:line="312" w:lineRule="exact"/>
        <w:rPr>
          <w:sz w:val="20"/>
          <w:szCs w:val="20"/>
          <w:color w:val="auto"/>
        </w:rPr>
      </w:pPr>
    </w:p>
    <w:p>
      <w:pPr>
        <w:ind w:left="340"/>
        <w:spacing w:after="0"/>
        <w:rPr>
          <w:sz w:val="20"/>
          <w:szCs w:val="20"/>
          <w:color w:val="auto"/>
        </w:rPr>
      </w:pPr>
      <w:r>
        <w:rPr>
          <w:rFonts w:ascii="Arial" w:cs="Arial" w:eastAsia="Arial" w:hAnsi="Arial"/>
          <w:sz w:val="19"/>
          <w:szCs w:val="19"/>
          <w:color w:val="auto"/>
        </w:rPr>
        <w:t>North 52 degrees 38 minutes 52 seconds West along the said centerline of the easement for 349.19 feet to a point; thence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Arial" w:cs="Arial" w:eastAsia="Arial" w:hAnsi="Arial"/>
          <w:sz w:val="19"/>
          <w:szCs w:val="19"/>
          <w:color w:val="auto"/>
        </w:rPr>
        <w:t>North 60 degrees 25 minutes 19 seconds West along the said centerline of the easement for 309.46 feet to a point; thence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right="200"/>
        <w:spacing w:after="0" w:line="263" w:lineRule="auto"/>
        <w:rPr>
          <w:sz w:val="20"/>
          <w:szCs w:val="20"/>
          <w:color w:val="auto"/>
        </w:rPr>
      </w:pPr>
      <w:r>
        <w:rPr>
          <w:rFonts w:ascii="Arial" w:cs="Arial" w:eastAsia="Arial" w:hAnsi="Arial"/>
          <w:sz w:val="22"/>
          <w:szCs w:val="22"/>
          <w:color w:val="auto"/>
        </w:rPr>
        <w:t>North 70 degrees 43 minutes 46 seconds West and continuing along the said centerline for 263.16 feet to a point of curvature; thence</w:t>
      </w: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 - 14</w:t>
      </w:r>
    </w:p>
    <w:p>
      <w:pPr>
        <w:sectPr>
          <w:pgSz w:w="11900" w:h="16838" w:orient="portrait"/>
          <w:cols w:equalWidth="0" w:num="1">
            <w:col w:w="11380"/>
          </w:cols>
          <w:pgMar w:left="240" w:top="672" w:right="279" w:bottom="1440" w:gutter="0" w:footer="0" w:header="0"/>
        </w:sectPr>
      </w:pPr>
    </w:p>
    <w:bookmarkStart w:id="157" w:name="page158"/>
    <w:bookmarkEnd w:id="157"/>
    <w:p>
      <w:pPr>
        <w:ind w:left="340" w:right="180"/>
        <w:spacing w:after="0" w:line="253" w:lineRule="auto"/>
        <w:rPr>
          <w:sz w:val="20"/>
          <w:szCs w:val="20"/>
          <w:color w:val="auto"/>
        </w:rPr>
      </w:pPr>
      <w:r>
        <w:rPr>
          <w:rFonts w:ascii="Arial" w:cs="Arial" w:eastAsia="Arial" w:hAnsi="Arial"/>
          <w:sz w:val="22"/>
          <w:szCs w:val="22"/>
          <w:color w:val="auto"/>
        </w:rPr>
        <w:t>Continuing along the said centerline, being a clockwise curve having a radius of 62.00 feet, an arc length of 23.72 feet, a delta angle of 21 degrees 55 minutes 14 seconds and a chord which bears North 59 degrees 46 minutes 09 seconds West for 23.58 feet to a point of tangency; thence</w:t>
      </w:r>
    </w:p>
    <w:p>
      <w:pPr>
        <w:spacing w:after="0" w:line="200" w:lineRule="exact"/>
        <w:rPr>
          <w:sz w:val="20"/>
          <w:szCs w:val="20"/>
          <w:color w:val="auto"/>
        </w:rPr>
      </w:pPr>
    </w:p>
    <w:p>
      <w:pPr>
        <w:spacing w:after="0" w:line="351" w:lineRule="exact"/>
        <w:rPr>
          <w:sz w:val="20"/>
          <w:szCs w:val="20"/>
          <w:color w:val="auto"/>
        </w:rPr>
      </w:pPr>
    </w:p>
    <w:p>
      <w:pPr>
        <w:ind w:left="340" w:right="460"/>
        <w:spacing w:after="0" w:line="263" w:lineRule="auto"/>
        <w:rPr>
          <w:sz w:val="20"/>
          <w:szCs w:val="20"/>
          <w:color w:val="auto"/>
        </w:rPr>
      </w:pPr>
      <w:r>
        <w:rPr>
          <w:rFonts w:ascii="Arial" w:cs="Arial" w:eastAsia="Arial" w:hAnsi="Arial"/>
          <w:sz w:val="22"/>
          <w:szCs w:val="22"/>
          <w:color w:val="auto"/>
        </w:rPr>
        <w:t>North 48 degrees 48 minutes 32 seconds West along the said centerline of the Ingress-Egress Easement for 360.45 feet to a point of curvature; thence</w:t>
      </w:r>
    </w:p>
    <w:p>
      <w:pPr>
        <w:spacing w:after="0" w:line="200" w:lineRule="exact"/>
        <w:rPr>
          <w:sz w:val="20"/>
          <w:szCs w:val="20"/>
          <w:color w:val="auto"/>
        </w:rPr>
      </w:pPr>
    </w:p>
    <w:p>
      <w:pPr>
        <w:spacing w:after="0" w:line="340" w:lineRule="exact"/>
        <w:rPr>
          <w:sz w:val="20"/>
          <w:szCs w:val="20"/>
          <w:color w:val="auto"/>
        </w:rPr>
      </w:pPr>
    </w:p>
    <w:p>
      <w:pPr>
        <w:ind w:left="340"/>
        <w:spacing w:after="0" w:line="253" w:lineRule="auto"/>
        <w:rPr>
          <w:sz w:val="20"/>
          <w:szCs w:val="20"/>
          <w:color w:val="auto"/>
        </w:rPr>
      </w:pPr>
      <w:r>
        <w:rPr>
          <w:rFonts w:ascii="Arial" w:cs="Arial" w:eastAsia="Arial" w:hAnsi="Arial"/>
          <w:sz w:val="22"/>
          <w:szCs w:val="22"/>
          <w:color w:val="auto"/>
        </w:rPr>
        <w:t>Continuing along the said centerline, being a counterclockwise curve having a radius of 62.00 feet, an arc length of 25.79 feet, a delta angle of 23 degrees 50 minutes 04 seconds and a chord which bears North 60 degrees 43 minutes 34 seconds West for 25.60 feet to a point of tangency; thence</w:t>
      </w:r>
    </w:p>
    <w:p>
      <w:pPr>
        <w:spacing w:after="0" w:line="200" w:lineRule="exact"/>
        <w:rPr>
          <w:sz w:val="20"/>
          <w:szCs w:val="20"/>
          <w:color w:val="auto"/>
        </w:rPr>
      </w:pPr>
    </w:p>
    <w:p>
      <w:pPr>
        <w:spacing w:after="0" w:line="351" w:lineRule="exact"/>
        <w:rPr>
          <w:sz w:val="20"/>
          <w:szCs w:val="20"/>
          <w:color w:val="auto"/>
        </w:rPr>
      </w:pPr>
    </w:p>
    <w:p>
      <w:pPr>
        <w:ind w:left="340"/>
        <w:spacing w:after="0"/>
        <w:rPr>
          <w:sz w:val="20"/>
          <w:szCs w:val="20"/>
          <w:color w:val="auto"/>
        </w:rPr>
      </w:pPr>
      <w:r>
        <w:rPr>
          <w:rFonts w:ascii="Arial" w:cs="Arial" w:eastAsia="Arial" w:hAnsi="Arial"/>
          <w:sz w:val="21"/>
          <w:szCs w:val="21"/>
          <w:color w:val="auto"/>
        </w:rPr>
        <w:t>North 72 degrees 38 minutes 36 seconds West along the said centerline for 367.77 feet to a point of curvature; thence</w:t>
      </w:r>
    </w:p>
    <w:p>
      <w:pPr>
        <w:spacing w:after="0" w:line="200" w:lineRule="exact"/>
        <w:rPr>
          <w:sz w:val="20"/>
          <w:szCs w:val="20"/>
          <w:color w:val="auto"/>
        </w:rPr>
      </w:pPr>
    </w:p>
    <w:p>
      <w:pPr>
        <w:spacing w:after="0" w:line="396" w:lineRule="exact"/>
        <w:rPr>
          <w:sz w:val="20"/>
          <w:szCs w:val="20"/>
          <w:color w:val="auto"/>
        </w:rPr>
      </w:pPr>
    </w:p>
    <w:p>
      <w:pPr>
        <w:ind w:left="340"/>
        <w:spacing w:after="0" w:line="253" w:lineRule="auto"/>
        <w:rPr>
          <w:sz w:val="20"/>
          <w:szCs w:val="20"/>
          <w:color w:val="auto"/>
        </w:rPr>
      </w:pPr>
      <w:r>
        <w:rPr>
          <w:rFonts w:ascii="Arial" w:cs="Arial" w:eastAsia="Arial" w:hAnsi="Arial"/>
          <w:sz w:val="22"/>
          <w:szCs w:val="22"/>
          <w:color w:val="auto"/>
        </w:rPr>
        <w:t>Continuing along the said centerline, being a counterclockwise curve having a radius of 62.00 feet, an arc length of 41.39 feet, a delta angle of 38 degrees 14 minutes 44 seconds and a chord which bears South 88 degrees 14 minutes 02 seconds West for 40.63 feet to a point of tangency; thence</w:t>
      </w:r>
    </w:p>
    <w:p>
      <w:pPr>
        <w:spacing w:after="0" w:line="200" w:lineRule="exact"/>
        <w:rPr>
          <w:sz w:val="20"/>
          <w:szCs w:val="20"/>
          <w:color w:val="auto"/>
        </w:rPr>
      </w:pPr>
    </w:p>
    <w:p>
      <w:pPr>
        <w:spacing w:after="0" w:line="351" w:lineRule="exact"/>
        <w:rPr>
          <w:sz w:val="20"/>
          <w:szCs w:val="20"/>
          <w:color w:val="auto"/>
        </w:rPr>
      </w:pPr>
    </w:p>
    <w:p>
      <w:pPr>
        <w:ind w:left="340"/>
        <w:spacing w:after="0"/>
        <w:rPr>
          <w:sz w:val="20"/>
          <w:szCs w:val="20"/>
          <w:color w:val="auto"/>
        </w:rPr>
      </w:pPr>
      <w:r>
        <w:rPr>
          <w:rFonts w:ascii="Arial" w:cs="Arial" w:eastAsia="Arial" w:hAnsi="Arial"/>
          <w:sz w:val="21"/>
          <w:szCs w:val="21"/>
          <w:color w:val="auto"/>
        </w:rPr>
        <w:t>South 69 degrees 06 minutes 40 seconds West along the said centerline for 20.29 feet to a point of curvature; thence</w:t>
      </w:r>
    </w:p>
    <w:p>
      <w:pPr>
        <w:spacing w:after="0" w:line="200" w:lineRule="exact"/>
        <w:rPr>
          <w:sz w:val="20"/>
          <w:szCs w:val="20"/>
          <w:color w:val="auto"/>
        </w:rPr>
      </w:pPr>
    </w:p>
    <w:p>
      <w:pPr>
        <w:spacing w:after="0" w:line="396" w:lineRule="exact"/>
        <w:rPr>
          <w:sz w:val="20"/>
          <w:szCs w:val="20"/>
          <w:color w:val="auto"/>
        </w:rPr>
      </w:pPr>
    </w:p>
    <w:p>
      <w:pPr>
        <w:ind w:left="340" w:right="140"/>
        <w:spacing w:after="0" w:line="253" w:lineRule="auto"/>
        <w:rPr>
          <w:sz w:val="20"/>
          <w:szCs w:val="20"/>
          <w:color w:val="auto"/>
        </w:rPr>
      </w:pPr>
      <w:r>
        <w:rPr>
          <w:rFonts w:ascii="Arial" w:cs="Arial" w:eastAsia="Arial" w:hAnsi="Arial"/>
          <w:sz w:val="22"/>
          <w:szCs w:val="22"/>
          <w:color w:val="auto"/>
        </w:rPr>
        <w:t>Continuing along the said centerline, being a counterclockwise curve having a radius of 683.33 feet, an arc length of 295.32 feet, a delta angle of 24 degrees 45 minutes 42 seconds and a chord which bears South 56 degrees 43 minutes 49 seconds West for 293.02 feet to a point of tangency; thence</w:t>
      </w:r>
    </w:p>
    <w:p>
      <w:pPr>
        <w:spacing w:after="0" w:line="200" w:lineRule="exact"/>
        <w:rPr>
          <w:sz w:val="20"/>
          <w:szCs w:val="20"/>
          <w:color w:val="auto"/>
        </w:rPr>
      </w:pPr>
    </w:p>
    <w:p>
      <w:pPr>
        <w:spacing w:after="0" w:line="351" w:lineRule="exact"/>
        <w:rPr>
          <w:sz w:val="20"/>
          <w:szCs w:val="20"/>
          <w:color w:val="auto"/>
        </w:rPr>
      </w:pPr>
    </w:p>
    <w:p>
      <w:pPr>
        <w:ind w:left="340" w:right="40"/>
        <w:spacing w:after="0" w:line="312" w:lineRule="auto"/>
        <w:rPr>
          <w:sz w:val="20"/>
          <w:szCs w:val="20"/>
          <w:color w:val="auto"/>
        </w:rPr>
      </w:pPr>
      <w:r>
        <w:rPr>
          <w:rFonts w:ascii="Arial" w:cs="Arial" w:eastAsia="Arial" w:hAnsi="Arial"/>
          <w:sz w:val="19"/>
          <w:szCs w:val="19"/>
          <w:color w:val="auto"/>
        </w:rPr>
        <w:t>South 44 degrees 20 minutes 58 seconds West for 75.30 feet to the "Point of Termination" for this easement, containing 1.96 acres, more or less, and said point also being the point of termination for that easement filed for record in Book 852 at Page 778 at the office of the Circuit Court Clerk and Ex-Officio Recorder of Crittenden County, Arkansas,</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color w:val="auto"/>
        </w:rPr>
        <w:t>Bearing in the above description have a origin of TRUE NORTH based on computations from solar observations.</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 - 15</w:t>
      </w:r>
    </w:p>
    <w:p>
      <w:pPr>
        <w:sectPr>
          <w:pgSz w:w="11900" w:h="16838" w:orient="portrait"/>
          <w:cols w:equalWidth="0" w:num="1">
            <w:col w:w="11420"/>
          </w:cols>
          <w:pgMar w:left="240" w:top="672" w:right="239" w:bottom="1440" w:gutter="0" w:footer="0" w:header="0"/>
        </w:sectPr>
      </w:pPr>
    </w:p>
    <w:bookmarkStart w:id="158" w:name="page159"/>
    <w:bookmarkEnd w:id="158"/>
    <w:p>
      <w:pPr>
        <w:jc w:val="center"/>
        <w:ind w:right="-1200"/>
        <w:spacing w:after="0"/>
        <w:rPr>
          <w:sz w:val="20"/>
          <w:szCs w:val="20"/>
          <w:color w:val="auto"/>
        </w:rPr>
      </w:pPr>
      <w:r>
        <w:rPr>
          <w:rFonts w:ascii="Arial" w:cs="Arial" w:eastAsia="Arial" w:hAnsi="Arial"/>
          <w:sz w:val="22"/>
          <w:szCs w:val="22"/>
          <w:color w:val="auto"/>
        </w:rPr>
        <w:t>ANNEX B-1</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LEGAL DESCRIPTIONS OF PROPERTY REMOVED FROM EXHIBIT B</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Hollywood Casino Lawrenceburg:</w:t>
      </w:r>
    </w:p>
    <w:p>
      <w:pPr>
        <w:spacing w:after="0" w:line="221" w:lineRule="exact"/>
        <w:rPr>
          <w:sz w:val="20"/>
          <w:szCs w:val="20"/>
          <w:color w:val="auto"/>
        </w:rPr>
      </w:pPr>
    </w:p>
    <w:p>
      <w:pPr>
        <w:ind w:right="3439"/>
        <w:spacing w:after="0" w:line="257" w:lineRule="auto"/>
        <w:rPr>
          <w:sz w:val="20"/>
          <w:szCs w:val="20"/>
          <w:color w:val="auto"/>
        </w:rPr>
      </w:pPr>
      <w:r>
        <w:rPr>
          <w:rFonts w:ascii="Arial" w:cs="Arial" w:eastAsia="Arial" w:hAnsi="Arial"/>
          <w:sz w:val="18"/>
          <w:szCs w:val="18"/>
          <w:b w:val="1"/>
          <w:bCs w:val="1"/>
          <w:color w:val="auto"/>
        </w:rPr>
        <w:t>Being a part of the Northwest Quarter of Section 11, Township 5 North, Range 1 West of the First Principal Meridian and situated in the Town of Greendale, Dearborn County, Indiana, and being a parcel of land described as follows:</w:t>
      </w:r>
    </w:p>
    <w:p>
      <w:pPr>
        <w:spacing w:after="0" w:line="2" w:lineRule="exact"/>
        <w:rPr>
          <w:sz w:val="20"/>
          <w:szCs w:val="20"/>
          <w:color w:val="auto"/>
        </w:rPr>
      </w:pPr>
    </w:p>
    <w:p>
      <w:pPr>
        <w:ind w:right="2979"/>
        <w:spacing w:after="0" w:line="281" w:lineRule="auto"/>
        <w:rPr>
          <w:sz w:val="20"/>
          <w:szCs w:val="20"/>
          <w:color w:val="auto"/>
        </w:rPr>
      </w:pPr>
      <w:r>
        <w:rPr>
          <w:rFonts w:ascii="Arial" w:cs="Arial" w:eastAsia="Arial" w:hAnsi="Arial"/>
          <w:sz w:val="16"/>
          <w:szCs w:val="16"/>
          <w:b w:val="1"/>
          <w:bCs w:val="1"/>
          <w:color w:val="auto"/>
        </w:rPr>
        <w:t>Commencing at a stone marking the Northeast comer of Lot 7, Greendale Heights Subdivision (Slide 9), thence N 89</w:t>
      </w:r>
      <w:r>
        <w:rPr>
          <w:rFonts w:ascii="Arial" w:cs="Arial" w:eastAsia="Arial" w:hAnsi="Arial"/>
          <w:sz w:val="11"/>
          <w:szCs w:val="11"/>
          <w:b w:val="1"/>
          <w:bCs w:val="1"/>
          <w:color w:val="auto"/>
        </w:rPr>
        <w:t>0</w:t>
      </w:r>
      <w:r>
        <w:rPr>
          <w:rFonts w:ascii="Arial" w:cs="Arial" w:eastAsia="Arial" w:hAnsi="Arial"/>
          <w:sz w:val="16"/>
          <w:szCs w:val="16"/>
          <w:b w:val="1"/>
          <w:bCs w:val="1"/>
          <w:color w:val="auto"/>
        </w:rPr>
        <w:t>42</w:t>
      </w:r>
      <w:r>
        <w:rPr>
          <w:rFonts w:ascii="Arial" w:cs="Arial" w:eastAsia="Arial" w:hAnsi="Arial"/>
          <w:sz w:val="11"/>
          <w:szCs w:val="11"/>
          <w:b w:val="1"/>
          <w:bCs w:val="1"/>
          <w:color w:val="auto"/>
        </w:rPr>
        <w:t>,</w:t>
      </w:r>
      <w:r>
        <w:rPr>
          <w:rFonts w:ascii="Arial" w:cs="Arial" w:eastAsia="Arial" w:hAnsi="Arial"/>
          <w:sz w:val="16"/>
          <w:szCs w:val="16"/>
          <w:b w:val="1"/>
          <w:bCs w:val="1"/>
          <w:color w:val="auto"/>
        </w:rPr>
        <w:t>53" E, a distance of 1008.50 feet, thence S 00</w:t>
      </w:r>
      <w:r>
        <w:rPr>
          <w:rFonts w:ascii="Arial" w:cs="Arial" w:eastAsia="Arial" w:hAnsi="Arial"/>
          <w:sz w:val="11"/>
          <w:szCs w:val="11"/>
          <w:b w:val="1"/>
          <w:bCs w:val="1"/>
          <w:color w:val="auto"/>
        </w:rPr>
        <w:t>0</w:t>
      </w:r>
      <w:r>
        <w:rPr>
          <w:rFonts w:ascii="Arial" w:cs="Arial" w:eastAsia="Arial" w:hAnsi="Arial"/>
          <w:sz w:val="16"/>
          <w:szCs w:val="16"/>
          <w:b w:val="1"/>
          <w:bCs w:val="1"/>
          <w:color w:val="auto"/>
        </w:rPr>
        <w:t>17'07" E, a</w:t>
      </w:r>
    </w:p>
    <w:p>
      <w:pPr>
        <w:spacing w:after="0" w:line="1" w:lineRule="exact"/>
        <w:rPr>
          <w:sz w:val="20"/>
          <w:szCs w:val="20"/>
          <w:color w:val="auto"/>
        </w:rPr>
      </w:pPr>
    </w:p>
    <w:p>
      <w:pPr>
        <w:ind w:right="3319"/>
        <w:spacing w:after="0" w:line="287" w:lineRule="auto"/>
        <w:rPr>
          <w:sz w:val="20"/>
          <w:szCs w:val="20"/>
          <w:color w:val="auto"/>
        </w:rPr>
      </w:pPr>
      <w:r>
        <w:rPr>
          <w:rFonts w:ascii="Arial" w:cs="Arial" w:eastAsia="Arial" w:hAnsi="Arial"/>
          <w:sz w:val="16"/>
          <w:szCs w:val="16"/>
          <w:b w:val="1"/>
          <w:bCs w:val="1"/>
          <w:color w:val="auto"/>
        </w:rPr>
        <w:t>distance of 700.09 feet, crossing Lorey Lane to a point in the South right of way of Lorey Lane, thence N 89</w:t>
      </w:r>
      <w:r>
        <w:rPr>
          <w:rFonts w:ascii="Arial" w:cs="Arial" w:eastAsia="Arial" w:hAnsi="Arial"/>
          <w:sz w:val="11"/>
          <w:szCs w:val="11"/>
          <w:b w:val="1"/>
          <w:bCs w:val="1"/>
          <w:color w:val="auto"/>
        </w:rPr>
        <w:t>0</w:t>
      </w:r>
      <w:r>
        <w:rPr>
          <w:rFonts w:ascii="Arial" w:cs="Arial" w:eastAsia="Arial" w:hAnsi="Arial"/>
          <w:sz w:val="16"/>
          <w:szCs w:val="16"/>
          <w:b w:val="1"/>
          <w:bCs w:val="1"/>
          <w:color w:val="auto"/>
        </w:rPr>
        <w:t>13'53" E, along said right of way a distance of 508.59 feet to a point in the West right of way of U.S. #50, thence along said right of way S Ol'SS'Se" E, a distance of 506.92 feet, thence continuing along said right of way along a curve to the South with a radius of 7699.44 feet, an arc distance of 249.74 feet and chord of arc bears S 02</w:t>
      </w:r>
      <w:r>
        <w:rPr>
          <w:rFonts w:ascii="Arial" w:cs="Arial" w:eastAsia="Arial" w:hAnsi="Arial"/>
          <w:sz w:val="11"/>
          <w:szCs w:val="11"/>
          <w:b w:val="1"/>
          <w:bCs w:val="1"/>
          <w:color w:val="auto"/>
        </w:rPr>
        <w:t>o</w:t>
      </w:r>
      <w:r>
        <w:rPr>
          <w:rFonts w:ascii="Arial" w:cs="Arial" w:eastAsia="Arial" w:hAnsi="Arial"/>
          <w:sz w:val="16"/>
          <w:szCs w:val="16"/>
          <w:b w:val="1"/>
          <w:bCs w:val="1"/>
          <w:color w:val="auto"/>
        </w:rPr>
        <w:t>49</w:t>
      </w:r>
      <w:r>
        <w:rPr>
          <w:rFonts w:ascii="Arial" w:cs="Arial" w:eastAsia="Arial" w:hAnsi="Arial"/>
          <w:sz w:val="11"/>
          <w:szCs w:val="11"/>
          <w:b w:val="1"/>
          <w:bCs w:val="1"/>
          <w:color w:val="auto"/>
        </w:rPr>
        <w:t>&lt;</w:t>
      </w:r>
      <w:r>
        <w:rPr>
          <w:rFonts w:ascii="Arial" w:cs="Arial" w:eastAsia="Arial" w:hAnsi="Arial"/>
          <w:sz w:val="16"/>
          <w:szCs w:val="16"/>
          <w:b w:val="1"/>
          <w:bCs w:val="1"/>
          <w:color w:val="auto"/>
        </w:rPr>
        <w:t>41" E and a chord distance of 249.73', thence along the property line of David Lorey (Instr. No. 200200014586 of the Dearborn County Recorder's records) S 89°22'36" W, a distance of 353.41 feet, thence along aforementioned property line and the property line of Taco Bell of America, LLC (Instr. No. 2014004351 of the Dearborn County Recorder's records) S 00</w:t>
      </w:r>
      <w:r>
        <w:rPr>
          <w:rFonts w:ascii="Arial" w:cs="Arial" w:eastAsia="Arial" w:hAnsi="Arial"/>
          <w:sz w:val="11"/>
          <w:szCs w:val="11"/>
          <w:b w:val="1"/>
          <w:bCs w:val="1"/>
          <w:color w:val="auto"/>
        </w:rPr>
        <w:t>o</w:t>
      </w:r>
      <w:r>
        <w:rPr>
          <w:rFonts w:ascii="Arial" w:cs="Arial" w:eastAsia="Arial" w:hAnsi="Arial"/>
          <w:sz w:val="16"/>
          <w:szCs w:val="16"/>
          <w:b w:val="1"/>
          <w:bCs w:val="1"/>
          <w:color w:val="auto"/>
        </w:rPr>
        <w:t>46'07" E, a distance of 363.00 feet to a set mag nail in the center of Urban Way and</w:t>
      </w:r>
    </w:p>
    <w:p>
      <w:pPr>
        <w:spacing w:after="0" w:line="1" w:lineRule="exact"/>
        <w:rPr>
          <w:sz w:val="20"/>
          <w:szCs w:val="20"/>
          <w:color w:val="auto"/>
        </w:rPr>
      </w:pPr>
    </w:p>
    <w:p>
      <w:pPr>
        <w:ind w:right="2979"/>
        <w:spacing w:after="0" w:line="269" w:lineRule="auto"/>
        <w:rPr>
          <w:sz w:val="20"/>
          <w:szCs w:val="20"/>
          <w:color w:val="auto"/>
        </w:rPr>
      </w:pPr>
      <w:r>
        <w:rPr>
          <w:rFonts w:ascii="Arial" w:cs="Arial" w:eastAsia="Arial" w:hAnsi="Arial"/>
          <w:sz w:val="17"/>
          <w:szCs w:val="17"/>
          <w:b w:val="1"/>
          <w:bCs w:val="1"/>
          <w:color w:val="auto"/>
        </w:rPr>
        <w:t>the TRUE POINT OF BEGINNING OF THIS DESCRIPTION: thence along the North line of the City of Greendale property (Instrument Number 2012002597, Dearborn County Recorder's records) S 89°22'37" W, a distance of 689.48 feet to a found 5/8" rebar with raney cap, thence along a new division line of the Grantors' property for two calls: N 00°37'23" W, a distance of 30.00 feet to a set 5/8" rebar with cap and N 89</w:t>
      </w:r>
      <w:r>
        <w:rPr>
          <w:rFonts w:ascii="Arial" w:cs="Arial" w:eastAsia="Arial" w:hAnsi="Arial"/>
          <w:sz w:val="11"/>
          <w:szCs w:val="11"/>
          <w:b w:val="1"/>
          <w:bCs w:val="1"/>
          <w:color w:val="auto"/>
        </w:rPr>
        <w:t>0</w:t>
      </w:r>
      <w:r>
        <w:rPr>
          <w:rFonts w:ascii="Arial" w:cs="Arial" w:eastAsia="Arial" w:hAnsi="Arial"/>
          <w:sz w:val="17"/>
          <w:szCs w:val="17"/>
          <w:b w:val="1"/>
          <w:bCs w:val="1"/>
          <w:color w:val="auto"/>
        </w:rPr>
        <w:t>22'37" E, a distance of 689.41 feet to a found mag nail in the West line of Taco Bell of America, LLC (Instr. No. 2014004351 of the Dearborn County Recorder's records), thence along said line S 00°46'07" E, a distance of 30.00 feet to the place of beginning.</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Containing 0.475 acres, more or less.</w:t>
      </w:r>
    </w:p>
    <w:p>
      <w:pPr>
        <w:spacing w:after="0" w:line="207" w:lineRule="exact"/>
        <w:rPr>
          <w:sz w:val="20"/>
          <w:szCs w:val="20"/>
          <w:color w:val="auto"/>
        </w:rPr>
      </w:pPr>
    </w:p>
    <w:p>
      <w:pPr>
        <w:ind w:right="3479"/>
        <w:spacing w:after="0" w:line="347" w:lineRule="auto"/>
        <w:rPr>
          <w:sz w:val="20"/>
          <w:szCs w:val="20"/>
          <w:color w:val="auto"/>
        </w:rPr>
      </w:pPr>
      <w:r>
        <w:rPr>
          <w:rFonts w:ascii="Arial" w:cs="Arial" w:eastAsia="Arial" w:hAnsi="Arial"/>
          <w:sz w:val="16"/>
          <w:szCs w:val="16"/>
          <w:b w:val="1"/>
          <w:bCs w:val="1"/>
          <w:color w:val="auto"/>
        </w:rPr>
        <w:t>Being part of the same property conveyed to the Grantor herein by Instrument Number 2013010037 of the Dearborn County Recorder's records, Lawrenceburg, Indiana.</w:t>
      </w:r>
    </w:p>
    <w:p>
      <w:pPr>
        <w:spacing w:after="0" w:line="36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B - 16</w:t>
      </w:r>
    </w:p>
    <w:p>
      <w:pPr>
        <w:sectPr>
          <w:pgSz w:w="11900" w:h="16838" w:orient="portrait"/>
          <w:cols w:equalWidth="0" w:num="1">
            <w:col w:w="10219"/>
          </w:cols>
          <w:pgMar w:left="240" w:top="1010" w:right="1440" w:bottom="1440" w:gutter="0" w:footer="0" w:header="0"/>
        </w:sectPr>
      </w:pPr>
    </w:p>
    <w:bookmarkStart w:id="159" w:name="page160"/>
    <w:bookmarkEnd w:id="159"/>
    <w:p>
      <w:pPr>
        <w:jc w:val="center"/>
        <w:ind w:right="20"/>
        <w:spacing w:after="0"/>
        <w:rPr>
          <w:sz w:val="20"/>
          <w:szCs w:val="20"/>
          <w:color w:val="auto"/>
        </w:rPr>
      </w:pPr>
      <w:r>
        <w:rPr>
          <w:rFonts w:ascii="Arial" w:cs="Arial" w:eastAsia="Arial" w:hAnsi="Arial"/>
          <w:sz w:val="22"/>
          <w:szCs w:val="22"/>
          <w:color w:val="auto"/>
        </w:rPr>
        <w:t>ANNEX 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GAMING LICENSES ADDED TO EXHIBIT D</w:t>
      </w:r>
    </w:p>
    <w:p>
      <w:pPr>
        <w:spacing w:after="0" w:line="34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62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Licensed Entity</w:t>
            </w:r>
          </w:p>
        </w:tc>
        <w:tc>
          <w:tcPr>
            <w:tcW w:w="190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8"/>
                <w:szCs w:val="18"/>
                <w:b w:val="1"/>
                <w:bCs w:val="1"/>
                <w:color w:val="auto"/>
              </w:rPr>
              <w:t>Leased Property</w:t>
            </w:r>
          </w:p>
        </w:tc>
        <w:tc>
          <w:tcPr>
            <w:tcW w:w="960" w:type="dxa"/>
            <w:vAlign w:val="bottom"/>
            <w:tcBorders>
              <w:top w:val="single" w:sz="8" w:color="auto"/>
              <w:right w:val="single" w:sz="8" w:color="auto"/>
            </w:tcBorders>
          </w:tcPr>
          <w:p>
            <w:pPr>
              <w:ind w:left="280"/>
              <w:spacing w:after="0"/>
              <w:rPr>
                <w:sz w:val="20"/>
                <w:szCs w:val="20"/>
                <w:color w:val="auto"/>
              </w:rPr>
            </w:pPr>
            <w:r>
              <w:rPr>
                <w:rFonts w:ascii="Arial" w:cs="Arial" w:eastAsia="Arial" w:hAnsi="Arial"/>
                <w:sz w:val="18"/>
                <w:szCs w:val="18"/>
                <w:b w:val="1"/>
                <w:bCs w:val="1"/>
                <w:color w:val="auto"/>
              </w:rPr>
              <w:t>State</w:t>
            </w:r>
          </w:p>
        </w:tc>
        <w:tc>
          <w:tcPr>
            <w:tcW w:w="2220" w:type="dxa"/>
            <w:vAlign w:val="bottom"/>
            <w:tcBorders>
              <w:top w:val="single" w:sz="8" w:color="auto"/>
              <w:right w:val="single" w:sz="8" w:color="auto"/>
            </w:tcBorders>
          </w:tcPr>
          <w:p>
            <w:pPr>
              <w:ind w:left="260"/>
              <w:spacing w:after="0"/>
              <w:rPr>
                <w:sz w:val="20"/>
                <w:szCs w:val="20"/>
                <w:color w:val="auto"/>
              </w:rPr>
            </w:pPr>
            <w:r>
              <w:rPr>
                <w:rFonts w:ascii="Arial" w:cs="Arial" w:eastAsia="Arial" w:hAnsi="Arial"/>
                <w:sz w:val="18"/>
                <w:szCs w:val="18"/>
                <w:b w:val="1"/>
                <w:bCs w:val="1"/>
                <w:color w:val="auto"/>
              </w:rPr>
              <w:t>Regulatory Authority</w:t>
            </w:r>
          </w:p>
        </w:tc>
        <w:tc>
          <w:tcPr>
            <w:tcW w:w="242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w w:val="93"/>
              </w:rPr>
              <w:t>Regulatory Agency Address</w:t>
            </w:r>
          </w:p>
        </w:tc>
        <w:tc>
          <w:tcPr>
            <w:tcW w:w="148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w w:val="95"/>
              </w:rPr>
              <w:t>Type of License</w:t>
            </w:r>
          </w:p>
        </w:tc>
      </w:tr>
      <w:tr>
        <w:trPr>
          <w:trHeight w:val="27"/>
        </w:trPr>
        <w:tc>
          <w:tcPr>
            <w:tcW w:w="1620" w:type="dxa"/>
            <w:vAlign w:val="bottom"/>
            <w:tcBorders>
              <w:left w:val="single" w:sz="8" w:color="auto"/>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22"/>
        </w:trPr>
        <w:tc>
          <w:tcPr>
            <w:tcW w:w="1620" w:type="dxa"/>
            <w:vAlign w:val="bottom"/>
            <w:tcBorders>
              <w:left w:val="single" w:sz="8" w:color="auto"/>
              <w:right w:val="single" w:sz="8" w:color="auto"/>
            </w:tcBorders>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2220" w:type="dxa"/>
            <w:vAlign w:val="bottom"/>
            <w:tcBorders>
              <w:right w:val="single" w:sz="8" w:color="auto"/>
            </w:tcBorders>
          </w:tcPr>
          <w:p>
            <w:pPr>
              <w:spacing w:after="0"/>
              <w:rPr>
                <w:sz w:val="19"/>
                <w:szCs w:val="19"/>
                <w:color w:val="auto"/>
              </w:rPr>
            </w:pPr>
          </w:p>
        </w:tc>
        <w:tc>
          <w:tcPr>
            <w:tcW w:w="24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620 North Street</w:t>
            </w:r>
          </w:p>
        </w:tc>
        <w:tc>
          <w:tcPr>
            <w:tcW w:w="1480" w:type="dxa"/>
            <w:vAlign w:val="bottom"/>
            <w:tcBorders>
              <w:right w:val="single" w:sz="8" w:color="auto"/>
            </w:tcBorders>
          </w:tcPr>
          <w:p>
            <w:pPr>
              <w:spacing w:after="0"/>
              <w:rPr>
                <w:sz w:val="19"/>
                <w:szCs w:val="19"/>
                <w:color w:val="auto"/>
              </w:rPr>
            </w:pPr>
          </w:p>
        </w:tc>
      </w:tr>
      <w:tr>
        <w:trPr>
          <w:trHeight w:val="216"/>
        </w:trPr>
        <w:tc>
          <w:tcPr>
            <w:tcW w:w="1620" w:type="dxa"/>
            <w:vAlign w:val="bottom"/>
            <w:tcBorders>
              <w:left w:val="single" w:sz="8" w:color="auto"/>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24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Suite 200</w:t>
            </w:r>
          </w:p>
        </w:tc>
        <w:tc>
          <w:tcPr>
            <w:tcW w:w="1480" w:type="dxa"/>
            <w:vAlign w:val="bottom"/>
            <w:tcBorders>
              <w:right w:val="single" w:sz="8" w:color="auto"/>
            </w:tcBorders>
          </w:tcPr>
          <w:p>
            <w:pPr>
              <w:spacing w:after="0"/>
              <w:rPr>
                <w:sz w:val="18"/>
                <w:szCs w:val="18"/>
                <w:color w:val="auto"/>
              </w:rPr>
            </w:pPr>
          </w:p>
        </w:tc>
      </w:tr>
      <w:tr>
        <w:trPr>
          <w:trHeight w:val="216"/>
        </w:trPr>
        <w:tc>
          <w:tcPr>
            <w:tcW w:w="1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RIH Acquisitions I</w:t>
            </w:r>
          </w:p>
        </w:tc>
        <w:tc>
          <w:tcPr>
            <w:tcW w:w="19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Mississippi Gaming</w:t>
            </w:r>
          </w:p>
        </w:tc>
        <w:tc>
          <w:tcPr>
            <w:tcW w:w="24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Jackson, MS 39202</w:t>
            </w:r>
          </w:p>
        </w:tc>
        <w:tc>
          <w:tcPr>
            <w:tcW w:w="1480" w:type="dxa"/>
            <w:vAlign w:val="bottom"/>
            <w:tcBorders>
              <w:right w:val="single" w:sz="8" w:color="auto"/>
            </w:tcBorders>
          </w:tcPr>
          <w:p>
            <w:pPr>
              <w:spacing w:after="0"/>
              <w:rPr>
                <w:sz w:val="18"/>
                <w:szCs w:val="18"/>
                <w:color w:val="auto"/>
              </w:rPr>
            </w:pPr>
          </w:p>
        </w:tc>
      </w:tr>
      <w:tr>
        <w:trPr>
          <w:trHeight w:val="230"/>
        </w:trPr>
        <w:tc>
          <w:tcPr>
            <w:tcW w:w="1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MS, LLC</w:t>
            </w:r>
          </w:p>
        </w:tc>
        <w:tc>
          <w:tcPr>
            <w:tcW w:w="1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Resorts Casino Tunica</w:t>
            </w:r>
          </w:p>
        </w:tc>
        <w:tc>
          <w:tcPr>
            <w:tcW w:w="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MS</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Commission</w:t>
            </w:r>
          </w:p>
        </w:tc>
        <w:tc>
          <w:tcPr>
            <w:tcW w:w="24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601.576.3800</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Gaming License</w:t>
            </w:r>
          </w:p>
        </w:tc>
      </w:tr>
      <w:tr>
        <w:trPr>
          <w:trHeight w:val="27"/>
        </w:trPr>
        <w:tc>
          <w:tcPr>
            <w:tcW w:w="1620" w:type="dxa"/>
            <w:vAlign w:val="bottom"/>
            <w:tcBorders>
              <w:left w:val="single" w:sz="8" w:color="auto"/>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22"/>
        </w:trPr>
        <w:tc>
          <w:tcPr>
            <w:tcW w:w="1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RIH Acquisitions II</w:t>
            </w:r>
          </w:p>
        </w:tc>
        <w:tc>
          <w:tcPr>
            <w:tcW w:w="19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Mississippi Gaming</w:t>
            </w:r>
          </w:p>
        </w:tc>
        <w:tc>
          <w:tcPr>
            <w:tcW w:w="242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r>
      <w:tr>
        <w:trPr>
          <w:trHeight w:val="230"/>
        </w:trPr>
        <w:tc>
          <w:tcPr>
            <w:tcW w:w="1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MS, LLC</w:t>
            </w:r>
          </w:p>
        </w:tc>
        <w:tc>
          <w:tcPr>
            <w:tcW w:w="1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Bally’s Casino Tunica</w:t>
            </w:r>
          </w:p>
        </w:tc>
        <w:tc>
          <w:tcPr>
            <w:tcW w:w="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MS</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Commission</w:t>
            </w:r>
          </w:p>
        </w:tc>
        <w:tc>
          <w:tcPr>
            <w:tcW w:w="24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above</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Gaming License</w:t>
            </w:r>
          </w:p>
        </w:tc>
      </w:tr>
      <w:tr>
        <w:trPr>
          <w:trHeight w:val="27"/>
        </w:trPr>
        <w:tc>
          <w:tcPr>
            <w:tcW w:w="1620" w:type="dxa"/>
            <w:vAlign w:val="bottom"/>
            <w:tcBorders>
              <w:left w:val="single" w:sz="8" w:color="auto"/>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669"/>
        </w:trPr>
        <w:tc>
          <w:tcPr>
            <w:tcW w:w="16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20" w:type="dxa"/>
            <w:vAlign w:val="bottom"/>
          </w:tcPr>
          <w:p>
            <w:pPr>
              <w:ind w:left="640"/>
              <w:spacing w:after="0"/>
              <w:rPr>
                <w:sz w:val="20"/>
                <w:szCs w:val="20"/>
                <w:color w:val="auto"/>
              </w:rPr>
            </w:pPr>
            <w:r>
              <w:rPr>
                <w:rFonts w:ascii="Arial" w:cs="Arial" w:eastAsia="Arial" w:hAnsi="Arial"/>
                <w:sz w:val="18"/>
                <w:szCs w:val="18"/>
                <w:color w:val="auto"/>
              </w:rPr>
              <w:t>C - 1</w:t>
            </w:r>
          </w:p>
        </w:tc>
        <w:tc>
          <w:tcPr>
            <w:tcW w:w="242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0600"/>
          </w:cols>
          <w:pgMar w:left="660" w:top="591" w:right="639" w:bottom="1440" w:gutter="0" w:footer="0" w:header="0"/>
        </w:sectPr>
      </w:pPr>
    </w:p>
    <w:bookmarkStart w:id="160" w:name="page161"/>
    <w:bookmarkEnd w:id="160"/>
    <w:p>
      <w:pPr>
        <w:jc w:val="center"/>
        <w:ind w:right="20"/>
        <w:spacing w:after="0"/>
        <w:rPr>
          <w:sz w:val="20"/>
          <w:szCs w:val="20"/>
          <w:color w:val="auto"/>
        </w:rPr>
      </w:pPr>
      <w:r>
        <w:rPr>
          <w:rFonts w:ascii="Arial" w:cs="Arial" w:eastAsia="Arial" w:hAnsi="Arial"/>
          <w:sz w:val="22"/>
          <w:szCs w:val="22"/>
          <w:color w:val="auto"/>
        </w:rPr>
        <w:t>ANNEX D</w:t>
      </w: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GROUND LEASES ADDED TO SCHEDULE 1A</w:t>
      </w:r>
    </w:p>
    <w:p>
      <w:pPr>
        <w:spacing w:after="0" w:line="343"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3220" w:type="dxa"/>
            <w:vAlign w:val="bottom"/>
            <w:tcBorders>
              <w:top w:val="single" w:sz="8" w:color="auto"/>
              <w:left w:val="single" w:sz="8" w:color="auto"/>
              <w:bottom w:val="single" w:sz="8" w:color="auto"/>
              <w:right w:val="single" w:sz="8" w:color="auto"/>
            </w:tcBorders>
            <w:gridSpan w:val="3"/>
            <w:shd w:val="clear" w:color="auto" w:fill="A6A6A6"/>
          </w:tcPr>
          <w:p>
            <w:pPr>
              <w:ind w:left="40"/>
              <w:spacing w:after="0"/>
              <w:rPr>
                <w:sz w:val="20"/>
                <w:szCs w:val="20"/>
                <w:color w:val="auto"/>
              </w:rPr>
            </w:pPr>
            <w:r>
              <w:rPr>
                <w:rFonts w:ascii="Arial" w:cs="Arial" w:eastAsia="Arial" w:hAnsi="Arial"/>
                <w:sz w:val="18"/>
                <w:szCs w:val="18"/>
                <w:b w:val="1"/>
                <w:bCs w:val="1"/>
                <w:color w:val="auto"/>
              </w:rPr>
              <w:t>Property</w:t>
            </w:r>
          </w:p>
        </w:tc>
        <w:tc>
          <w:tcPr>
            <w:tcW w:w="20" w:type="dxa"/>
            <w:vAlign w:val="bottom"/>
            <w:tcBorders>
              <w:top w:val="single" w:sz="8" w:color="auto"/>
              <w:bottom w:val="single" w:sz="8" w:color="auto"/>
            </w:tcBorders>
            <w:shd w:val="clear" w:color="auto" w:fill="A6A6A6"/>
          </w:tcPr>
          <w:p>
            <w:pPr>
              <w:spacing w:after="0"/>
              <w:rPr>
                <w:sz w:val="24"/>
                <w:szCs w:val="24"/>
                <w:color w:val="auto"/>
              </w:rPr>
            </w:pPr>
          </w:p>
        </w:tc>
        <w:tc>
          <w:tcPr>
            <w:tcW w:w="3920" w:type="dxa"/>
            <w:vAlign w:val="bottom"/>
            <w:tcBorders>
              <w:top w:val="single" w:sz="8" w:color="auto"/>
              <w:bottom w:val="single" w:sz="8" w:color="auto"/>
              <w:right w:val="single" w:sz="8" w:color="auto"/>
            </w:tcBorders>
            <w:gridSpan w:val="2"/>
            <w:shd w:val="clear" w:color="auto" w:fill="A6A6A6"/>
          </w:tcPr>
          <w:p>
            <w:pPr>
              <w:spacing w:after="0"/>
              <w:rPr>
                <w:sz w:val="20"/>
                <w:szCs w:val="20"/>
                <w:color w:val="auto"/>
              </w:rPr>
            </w:pPr>
            <w:r>
              <w:rPr>
                <w:rFonts w:ascii="Arial" w:cs="Arial" w:eastAsia="Arial" w:hAnsi="Arial"/>
                <w:sz w:val="18"/>
                <w:szCs w:val="18"/>
                <w:b w:val="1"/>
                <w:bCs w:val="1"/>
                <w:color w:val="auto"/>
              </w:rPr>
              <w:t>Address</w:t>
            </w:r>
          </w:p>
        </w:tc>
        <w:tc>
          <w:tcPr>
            <w:tcW w:w="20" w:type="dxa"/>
            <w:vAlign w:val="bottom"/>
            <w:tcBorders>
              <w:top w:val="single" w:sz="8" w:color="auto"/>
              <w:bottom w:val="single" w:sz="8" w:color="auto"/>
            </w:tcBorders>
            <w:shd w:val="clear" w:color="auto" w:fill="A6A6A6"/>
          </w:tcPr>
          <w:p>
            <w:pPr>
              <w:spacing w:after="0"/>
              <w:rPr>
                <w:sz w:val="24"/>
                <w:szCs w:val="24"/>
                <w:color w:val="auto"/>
              </w:rPr>
            </w:pPr>
          </w:p>
        </w:tc>
        <w:tc>
          <w:tcPr>
            <w:tcW w:w="3460" w:type="dxa"/>
            <w:vAlign w:val="bottom"/>
            <w:tcBorders>
              <w:top w:val="single" w:sz="8" w:color="auto"/>
              <w:bottom w:val="single" w:sz="8" w:color="auto"/>
              <w:right w:val="single" w:sz="8" w:color="auto"/>
            </w:tcBorders>
            <w:gridSpan w:val="2"/>
            <w:shd w:val="clear" w:color="auto" w:fill="A6A6A6"/>
          </w:tcPr>
          <w:p>
            <w:pPr>
              <w:spacing w:after="0"/>
              <w:rPr>
                <w:sz w:val="20"/>
                <w:szCs w:val="20"/>
                <w:color w:val="auto"/>
              </w:rPr>
            </w:pPr>
            <w:r>
              <w:rPr>
                <w:rFonts w:ascii="Arial" w:cs="Arial" w:eastAsia="Arial" w:hAnsi="Arial"/>
                <w:sz w:val="18"/>
                <w:szCs w:val="18"/>
                <w:b w:val="1"/>
                <w:bCs w:val="1"/>
                <w:color w:val="auto"/>
              </w:rPr>
              <w:t>Record Owner</w:t>
            </w:r>
          </w:p>
        </w:tc>
      </w:tr>
      <w:tr>
        <w:trPr>
          <w:trHeight w:val="237"/>
        </w:trPr>
        <w:tc>
          <w:tcPr>
            <w:tcW w:w="32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Resorts Casino Tunica</w:t>
            </w:r>
          </w:p>
        </w:tc>
        <w:tc>
          <w:tcPr>
            <w:tcW w:w="20" w:type="dxa"/>
            <w:vAlign w:val="bottom"/>
          </w:tcPr>
          <w:p>
            <w:pPr>
              <w:spacing w:after="0"/>
              <w:rPr>
                <w:sz w:val="20"/>
                <w:szCs w:val="20"/>
                <w:color w:val="auto"/>
              </w:rPr>
            </w:pPr>
          </w:p>
        </w:tc>
        <w:tc>
          <w:tcPr>
            <w:tcW w:w="392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w w:val="96"/>
              </w:rPr>
              <w:t>1100 Casino Strip Boulevard, Tunica Resorts, MS 38664</w:t>
            </w:r>
          </w:p>
        </w:tc>
        <w:tc>
          <w:tcPr>
            <w:tcW w:w="20" w:type="dxa"/>
            <w:vAlign w:val="bottom"/>
          </w:tcPr>
          <w:p>
            <w:pPr>
              <w:spacing w:after="0"/>
              <w:rPr>
                <w:sz w:val="20"/>
                <w:szCs w:val="20"/>
                <w:color w:val="auto"/>
              </w:rPr>
            </w:pPr>
          </w:p>
        </w:tc>
        <w:tc>
          <w:tcPr>
            <w:tcW w:w="3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4"/>
              </w:rPr>
              <w:t>R.M. Leatherman and Hugh M. Mageveny, III</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5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3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0"/>
              </w:rPr>
              <w:t>Ben C. Adams, Holmes Properties, L.P., James</w:t>
            </w:r>
          </w:p>
        </w:tc>
      </w:tr>
      <w:tr>
        <w:trPr>
          <w:trHeight w:val="216"/>
        </w:trPr>
        <w:tc>
          <w:tcPr>
            <w:tcW w:w="40" w:type="dxa"/>
            <w:vAlign w:val="bottom"/>
            <w:tcBorders>
              <w:lef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25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3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5"/>
              </w:rPr>
              <w:t>S. Williams, James Ronald Williams, Pamela</w:t>
            </w:r>
          </w:p>
        </w:tc>
      </w:tr>
      <w:tr>
        <w:trPr>
          <w:trHeight w:val="230"/>
        </w:trPr>
        <w:tc>
          <w:tcPr>
            <w:tcW w:w="32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Bally’s Casino Tunica</w:t>
            </w:r>
          </w:p>
        </w:tc>
        <w:tc>
          <w:tcPr>
            <w:tcW w:w="20" w:type="dxa"/>
            <w:vAlign w:val="bottom"/>
          </w:tcPr>
          <w:p>
            <w:pPr>
              <w:spacing w:after="0"/>
              <w:rPr>
                <w:sz w:val="20"/>
                <w:szCs w:val="20"/>
                <w:color w:val="auto"/>
              </w:rPr>
            </w:pPr>
          </w:p>
        </w:tc>
        <w:tc>
          <w:tcPr>
            <w:tcW w:w="392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1450 Bally Boulevard, Tunica Resorts, MS 38664</w:t>
            </w:r>
          </w:p>
        </w:tc>
        <w:tc>
          <w:tcPr>
            <w:tcW w:w="20" w:type="dxa"/>
            <w:vAlign w:val="bottom"/>
          </w:tcPr>
          <w:p>
            <w:pPr>
              <w:spacing w:after="0"/>
              <w:rPr>
                <w:sz w:val="20"/>
                <w:szCs w:val="20"/>
                <w:color w:val="auto"/>
              </w:rPr>
            </w:pPr>
          </w:p>
        </w:tc>
        <w:tc>
          <w:tcPr>
            <w:tcW w:w="3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Jean Williams and Tempe Kyser Adams</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5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3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Board of Levee Commissioners for the Yazoo-</w:t>
            </w:r>
          </w:p>
        </w:tc>
      </w:tr>
      <w:tr>
        <w:trPr>
          <w:trHeight w:val="230"/>
        </w:trPr>
        <w:tc>
          <w:tcPr>
            <w:tcW w:w="32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Bally’s Casino Tunica</w:t>
            </w:r>
          </w:p>
        </w:tc>
        <w:tc>
          <w:tcPr>
            <w:tcW w:w="20" w:type="dxa"/>
            <w:vAlign w:val="bottom"/>
          </w:tcPr>
          <w:p>
            <w:pPr>
              <w:spacing w:after="0"/>
              <w:rPr>
                <w:sz w:val="20"/>
                <w:szCs w:val="20"/>
                <w:color w:val="auto"/>
              </w:rPr>
            </w:pPr>
          </w:p>
        </w:tc>
        <w:tc>
          <w:tcPr>
            <w:tcW w:w="392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1450 Bally Boulevard, Tunica Resorts, MS 38664</w:t>
            </w:r>
          </w:p>
        </w:tc>
        <w:tc>
          <w:tcPr>
            <w:tcW w:w="20" w:type="dxa"/>
            <w:vAlign w:val="bottom"/>
          </w:tcPr>
          <w:p>
            <w:pPr>
              <w:spacing w:after="0"/>
              <w:rPr>
                <w:sz w:val="20"/>
                <w:szCs w:val="20"/>
                <w:color w:val="auto"/>
              </w:rPr>
            </w:pPr>
          </w:p>
        </w:tc>
        <w:tc>
          <w:tcPr>
            <w:tcW w:w="3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Mississippi Delta</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r>
      <w:tr>
        <w:trPr>
          <w:trHeight w:val="669"/>
        </w:trPr>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300" w:type="dxa"/>
            <w:vAlign w:val="bottom"/>
          </w:tcPr>
          <w:p>
            <w:pPr>
              <w:ind w:left="1260"/>
              <w:spacing w:after="0"/>
              <w:rPr>
                <w:sz w:val="20"/>
                <w:szCs w:val="20"/>
                <w:color w:val="auto"/>
              </w:rPr>
            </w:pPr>
            <w:r>
              <w:rPr>
                <w:rFonts w:ascii="Arial" w:cs="Arial" w:eastAsia="Arial" w:hAnsi="Arial"/>
                <w:sz w:val="18"/>
                <w:szCs w:val="18"/>
                <w:color w:val="auto"/>
              </w:rPr>
              <w:t>D - 1</w:t>
            </w: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340" w:type="dxa"/>
            <w:vAlign w:val="bottom"/>
          </w:tcPr>
          <w:p>
            <w:pPr>
              <w:spacing w:after="0"/>
              <w:rPr>
                <w:sz w:val="24"/>
                <w:szCs w:val="24"/>
                <w:color w:val="auto"/>
              </w:rPr>
            </w:pPr>
          </w:p>
        </w:tc>
      </w:tr>
    </w:tbl>
    <w:p>
      <w:pPr>
        <w:sectPr>
          <w:pgSz w:w="11900" w:h="16838" w:orient="portrait"/>
          <w:cols w:equalWidth="0" w:num="1">
            <w:col w:w="10640"/>
          </w:cols>
          <w:pgMar w:left="640" w:top="591" w:right="619" w:bottom="1440" w:gutter="0" w:footer="0" w:header="0"/>
        </w:sectPr>
      </w:pPr>
    </w:p>
    <w:bookmarkStart w:id="161" w:name="page162"/>
    <w:bookmarkEnd w:id="161"/>
    <w:p>
      <w:pPr>
        <w:jc w:val="center"/>
        <w:ind w:right="-479"/>
        <w:spacing w:after="0"/>
        <w:rPr>
          <w:sz w:val="20"/>
          <w:szCs w:val="20"/>
          <w:color w:val="auto"/>
        </w:rPr>
      </w:pPr>
      <w:r>
        <w:rPr>
          <w:rFonts w:ascii="Arial" w:cs="Arial" w:eastAsia="Arial" w:hAnsi="Arial"/>
          <w:sz w:val="22"/>
          <w:szCs w:val="22"/>
          <w:color w:val="auto"/>
        </w:rPr>
        <w:t>ANNEX E</w:t>
      </w:r>
    </w:p>
    <w:p>
      <w:pPr>
        <w:spacing w:after="0" w:line="200" w:lineRule="exact"/>
        <w:rPr>
          <w:sz w:val="20"/>
          <w:szCs w:val="20"/>
          <w:color w:val="auto"/>
        </w:rPr>
      </w:pPr>
    </w:p>
    <w:p>
      <w:pPr>
        <w:spacing w:after="0" w:line="236"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ENVIRONMENTAL MATTERS / HAZARDOUS SUBSTANCES ADDED TO SCHEDULE 1A</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 Resorts Casino Tunica, Tunica County, Mississippi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 Bally’s Casino Tunica, Tunica County, Mississippi</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Bally’s Hotel</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Mold was discovered in the Bally’s Hotel. The hotel has been closed since January 2016.</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Bally’s Barge</w:t>
      </w:r>
    </w:p>
    <w:p>
      <w:pPr>
        <w:spacing w:after="0" w:line="22"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Reference is made to the structural issues and other conditions described in the Bally’s Casino Assessment, dated February 24, 2017, prepared by Penn National Gaming, Inc.’s internal construction team.</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E - 1</w:t>
      </w:r>
    </w:p>
    <w:p>
      <w:pPr>
        <w:sectPr>
          <w:pgSz w:w="11900" w:h="16838" w:orient="portrait"/>
          <w:cols w:equalWidth="0" w:num="1">
            <w:col w:w="10960"/>
          </w:cols>
          <w:pgMar w:left="240" w:top="591" w:right="699" w:bottom="1440" w:gutter="0" w:footer="0" w:header="0"/>
        </w:sectPr>
      </w:pPr>
    </w:p>
    <w:bookmarkStart w:id="162" w:name="page163"/>
    <w:bookmarkEnd w:id="162"/>
    <w:p>
      <w:pPr>
        <w:ind w:left="5240"/>
        <w:spacing w:after="0"/>
        <w:rPr>
          <w:sz w:val="20"/>
          <w:szCs w:val="20"/>
          <w:color w:val="auto"/>
        </w:rPr>
      </w:pPr>
      <w:r>
        <w:rPr>
          <w:rFonts w:ascii="Arial" w:cs="Arial" w:eastAsia="Arial" w:hAnsi="Arial"/>
          <w:sz w:val="22"/>
          <w:szCs w:val="22"/>
          <w:color w:val="auto"/>
        </w:rPr>
        <w:t>ANNEX F</w:t>
      </w:r>
    </w:p>
    <w:p>
      <w:pPr>
        <w:spacing w:after="0" w:line="200" w:lineRule="exact"/>
        <w:rPr>
          <w:sz w:val="20"/>
          <w:szCs w:val="20"/>
          <w:color w:val="auto"/>
        </w:rPr>
      </w:pPr>
    </w:p>
    <w:p>
      <w:pPr>
        <w:spacing w:after="0" w:line="236" w:lineRule="exact"/>
        <w:rPr>
          <w:sz w:val="20"/>
          <w:szCs w:val="20"/>
          <w:color w:val="auto"/>
        </w:rPr>
      </w:pPr>
    </w:p>
    <w:p>
      <w:pPr>
        <w:jc w:val="right"/>
        <w:ind w:right="2439"/>
        <w:spacing w:after="0"/>
        <w:rPr>
          <w:sz w:val="20"/>
          <w:szCs w:val="20"/>
          <w:color w:val="auto"/>
        </w:rPr>
      </w:pPr>
      <w:r>
        <w:rPr>
          <w:rFonts w:ascii="Arial" w:cs="Arial" w:eastAsia="Arial" w:hAnsi="Arial"/>
          <w:sz w:val="22"/>
          <w:szCs w:val="22"/>
          <w:color w:val="auto"/>
        </w:rPr>
        <w:t>GUARANTORS ADDED TO SCHEDULE 6.3</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RIH Acquisitions MS I, LLC, a Mississippi limited liability company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RIH Acquisitions MS II, LLC, a Mississippi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 - 1</w:t>
      </w:r>
    </w:p>
    <w:p>
      <w:pPr>
        <w:sectPr>
          <w:pgSz w:w="11900" w:h="16838" w:orient="portrait"/>
          <w:cols w:equalWidth="0" w:num="1">
            <w:col w:w="10219"/>
          </w:cols>
          <w:pgMar w:left="240" w:top="591" w:right="1440" w:bottom="1440" w:gutter="0" w:footer="0" w:header="0"/>
        </w:sectPr>
      </w:pPr>
    </w:p>
    <w:bookmarkStart w:id="163" w:name="page164"/>
    <w:bookmarkEnd w:id="163"/>
    <w:p>
      <w:pPr>
        <w:jc w:val="center"/>
        <w:spacing w:after="0"/>
        <w:rPr>
          <w:sz w:val="20"/>
          <w:szCs w:val="20"/>
          <w:color w:val="auto"/>
        </w:rPr>
      </w:pPr>
      <w:r>
        <w:rPr>
          <w:rFonts w:ascii="Arial" w:cs="Arial" w:eastAsia="Arial" w:hAnsi="Arial"/>
          <w:sz w:val="22"/>
          <w:szCs w:val="22"/>
          <w:b w:val="1"/>
          <w:bCs w:val="1"/>
          <w:color w:val="auto"/>
        </w:rPr>
        <w:t>CONSENT OF GUARANTOR</w:t>
      </w:r>
    </w:p>
    <w:p>
      <w:pPr>
        <w:spacing w:after="0" w:line="22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THIS CONSENT OF GUARANTOR (“</w:t>
      </w:r>
      <w:r>
        <w:rPr>
          <w:rFonts w:ascii="Arial" w:cs="Arial" w:eastAsia="Arial" w:hAnsi="Arial"/>
          <w:sz w:val="21"/>
          <w:szCs w:val="21"/>
          <w:b w:val="1"/>
          <w:bCs w:val="1"/>
          <w:color w:val="auto"/>
        </w:rPr>
        <w:t>Consent</w:t>
      </w:r>
      <w:r>
        <w:rPr>
          <w:rFonts w:ascii="Arial" w:cs="Arial" w:eastAsia="Arial" w:hAnsi="Arial"/>
          <w:sz w:val="21"/>
          <w:szCs w:val="21"/>
          <w:color w:val="auto"/>
        </w:rPr>
        <w:t>”) is made as of May 1, 2017 from Penn National Gaming, Inc., a Pennsylvania corporation (the “</w:t>
      </w:r>
      <w:r>
        <w:rPr>
          <w:rFonts w:ascii="Arial" w:cs="Arial" w:eastAsia="Arial" w:hAnsi="Arial"/>
          <w:sz w:val="21"/>
          <w:szCs w:val="21"/>
          <w:b w:val="1"/>
          <w:bCs w:val="1"/>
          <w:color w:val="auto"/>
        </w:rPr>
        <w:t>Guarantor</w:t>
      </w:r>
      <w:r>
        <w:rPr>
          <w:rFonts w:ascii="Arial" w:cs="Arial" w:eastAsia="Arial" w:hAnsi="Arial"/>
          <w:sz w:val="21"/>
          <w:szCs w:val="21"/>
          <w:color w:val="auto"/>
        </w:rPr>
        <w:t>”), for the benefit of GLP Capital, L.P. (together with its permitted successors and assigns, “</w:t>
      </w:r>
      <w:r>
        <w:rPr>
          <w:rFonts w:ascii="Arial" w:cs="Arial" w:eastAsia="Arial" w:hAnsi="Arial"/>
          <w:sz w:val="21"/>
          <w:szCs w:val="21"/>
          <w:b w:val="1"/>
          <w:bCs w:val="1"/>
          <w:color w:val="auto"/>
        </w:rPr>
        <w:t>Landlord</w:t>
      </w:r>
      <w:r>
        <w:rPr>
          <w:rFonts w:ascii="Arial" w:cs="Arial" w:eastAsia="Arial" w:hAnsi="Arial"/>
          <w:sz w:val="21"/>
          <w:szCs w:val="21"/>
          <w:color w:val="auto"/>
        </w:rPr>
        <w:t>”) and Penn Tenant, LLC (together with its permitted successors and assigns, “</w:t>
      </w:r>
      <w:r>
        <w:rPr>
          <w:rFonts w:ascii="Arial" w:cs="Arial" w:eastAsia="Arial" w:hAnsi="Arial"/>
          <w:sz w:val="21"/>
          <w:szCs w:val="21"/>
          <w:b w:val="1"/>
          <w:bCs w:val="1"/>
          <w:color w:val="auto"/>
        </w:rPr>
        <w:t>Tenant</w:t>
      </w:r>
      <w:r>
        <w:rPr>
          <w:rFonts w:ascii="Arial" w:cs="Arial" w:eastAsia="Arial" w:hAnsi="Arial"/>
          <w:sz w:val="21"/>
          <w:szCs w:val="21"/>
          <w:color w:val="auto"/>
        </w:rPr>
        <w: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RECITALS</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A. Landlord and Tenant are parties that certain Master Lease, dated November 1, 2013, as amended by that certain First Amendment to Master Lease, dated March 5, 2014, as further amended by that certain Second Amendment to Master Lease and First Amendment to Access Agreement, dated April 18, 2014, and as further amended by that certain Third Amendment to Master Lease, dated September 20, 2016 (collectively, the “</w:t>
      </w:r>
      <w:r>
        <w:rPr>
          <w:rFonts w:ascii="Arial" w:cs="Arial" w:eastAsia="Arial" w:hAnsi="Arial"/>
          <w:sz w:val="22"/>
          <w:szCs w:val="22"/>
          <w:b w:val="1"/>
          <w:bCs w:val="1"/>
          <w:color w:val="auto"/>
        </w:rPr>
        <w:t>Master Lease</w:t>
      </w:r>
      <w:r>
        <w:rPr>
          <w:rFonts w:ascii="Arial" w:cs="Arial" w:eastAsia="Arial" w:hAnsi="Arial"/>
          <w:sz w:val="22"/>
          <w:szCs w:val="22"/>
          <w:color w:val="auto"/>
        </w:rPr>
        <w:t>”), pursuant to which Tenant leases certain Leased Property, as further defined in the Master Lease</w:t>
      </w:r>
    </w:p>
    <w:p>
      <w:pPr>
        <w:spacing w:after="0" w:line="84" w:lineRule="exact"/>
        <w:rPr>
          <w:sz w:val="20"/>
          <w:szCs w:val="20"/>
          <w:color w:val="auto"/>
        </w:rPr>
      </w:pPr>
    </w:p>
    <w:p>
      <w:pPr>
        <w:ind w:firstLine="656"/>
        <w:spacing w:after="0" w:line="348" w:lineRule="auto"/>
        <w:tabs>
          <w:tab w:leader="none" w:pos="1134" w:val="left"/>
        </w:tabs>
        <w:numPr>
          <w:ilvl w:val="0"/>
          <w:numId w:val="38"/>
        </w:numPr>
        <w:rPr>
          <w:rFonts w:ascii="Arial" w:cs="Arial" w:eastAsia="Arial" w:hAnsi="Arial"/>
          <w:sz w:val="19"/>
          <w:szCs w:val="19"/>
          <w:color w:val="auto"/>
        </w:rPr>
      </w:pPr>
      <w:r>
        <w:rPr>
          <w:rFonts w:ascii="Arial" w:cs="Arial" w:eastAsia="Arial" w:hAnsi="Arial"/>
          <w:sz w:val="19"/>
          <w:szCs w:val="19"/>
          <w:color w:val="auto"/>
        </w:rPr>
        <w:t xml:space="preserve">Landlord and Tenant each desire to add two (2) additional Facilities, as further defined in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Annex B</w:t>
      </w:r>
      <w:r>
        <w:rPr>
          <w:rFonts w:ascii="Arial" w:cs="Arial" w:eastAsia="Arial" w:hAnsi="Arial"/>
          <w:sz w:val="19"/>
          <w:szCs w:val="19"/>
          <w:color w:val="auto"/>
        </w:rPr>
        <w:t xml:space="preserve"> attached hereto and incorporated herein (the “</w:t>
      </w:r>
      <w:r>
        <w:rPr>
          <w:rFonts w:ascii="Arial" w:cs="Arial" w:eastAsia="Arial" w:hAnsi="Arial"/>
          <w:sz w:val="19"/>
          <w:szCs w:val="19"/>
          <w:b w:val="1"/>
          <w:bCs w:val="1"/>
          <w:color w:val="auto"/>
        </w:rPr>
        <w:t>Additional Leased Property</w:t>
      </w:r>
      <w:r>
        <w:rPr>
          <w:rFonts w:ascii="Arial" w:cs="Arial" w:eastAsia="Arial" w:hAnsi="Arial"/>
          <w:sz w:val="19"/>
          <w:szCs w:val="19"/>
          <w:color w:val="auto"/>
        </w:rPr>
        <w:t>”), on the terms and conditions hereinafter set forth.</w:t>
      </w:r>
    </w:p>
    <w:p>
      <w:pPr>
        <w:spacing w:after="0" w:line="1" w:lineRule="exact"/>
        <w:rPr>
          <w:rFonts w:ascii="Arial" w:cs="Arial" w:eastAsia="Arial" w:hAnsi="Arial"/>
          <w:sz w:val="19"/>
          <w:szCs w:val="19"/>
          <w:color w:val="auto"/>
        </w:rPr>
      </w:pPr>
    </w:p>
    <w:p>
      <w:pPr>
        <w:ind w:firstLine="656"/>
        <w:spacing w:after="0" w:line="276" w:lineRule="auto"/>
        <w:tabs>
          <w:tab w:leader="none" w:pos="1094" w:val="left"/>
        </w:tabs>
        <w:numPr>
          <w:ilvl w:val="0"/>
          <w:numId w:val="38"/>
        </w:numPr>
        <w:rPr>
          <w:rFonts w:ascii="Arial" w:cs="Arial" w:eastAsia="Arial" w:hAnsi="Arial"/>
          <w:sz w:val="22"/>
          <w:szCs w:val="22"/>
          <w:color w:val="auto"/>
        </w:rPr>
      </w:pPr>
      <w:r>
        <w:rPr>
          <w:rFonts w:ascii="Arial" w:cs="Arial" w:eastAsia="Arial" w:hAnsi="Arial"/>
          <w:sz w:val="22"/>
          <w:szCs w:val="22"/>
          <w:color w:val="auto"/>
        </w:rPr>
        <w:t>Guarantor has executed and delivered that certain Guaranty of Master Lease dated November 1, 2013 in connection with the Master Lease.</w:t>
      </w:r>
    </w:p>
    <w:p>
      <w:pPr>
        <w:spacing w:after="0" w:line="160" w:lineRule="exact"/>
        <w:rPr>
          <w:rFonts w:ascii="Arial" w:cs="Arial" w:eastAsia="Arial" w:hAnsi="Arial"/>
          <w:sz w:val="22"/>
          <w:szCs w:val="22"/>
          <w:color w:val="auto"/>
        </w:rPr>
      </w:pPr>
    </w:p>
    <w:p>
      <w:pPr>
        <w:ind w:firstLine="656"/>
        <w:spacing w:after="0" w:line="358" w:lineRule="auto"/>
        <w:tabs>
          <w:tab w:leader="none" w:pos="1052" w:val="left"/>
        </w:tabs>
        <w:numPr>
          <w:ilvl w:val="0"/>
          <w:numId w:val="38"/>
        </w:numPr>
        <w:rPr>
          <w:rFonts w:ascii="Arial" w:cs="Arial" w:eastAsia="Arial" w:hAnsi="Arial"/>
          <w:sz w:val="19"/>
          <w:szCs w:val="19"/>
          <w:color w:val="auto"/>
        </w:rPr>
      </w:pPr>
      <w:r>
        <w:rPr>
          <w:rFonts w:ascii="Arial" w:cs="Arial" w:eastAsia="Arial" w:hAnsi="Arial"/>
          <w:sz w:val="19"/>
          <w:szCs w:val="19"/>
          <w:color w:val="auto"/>
        </w:rPr>
        <w:t>Landlord and Tenant desire to further amend the Master Lease pursuant to the terms of a certain Fourth Amendment to Master Lease of even date herewith (the “</w:t>
      </w:r>
      <w:r>
        <w:rPr>
          <w:rFonts w:ascii="Arial" w:cs="Arial" w:eastAsia="Arial" w:hAnsi="Arial"/>
          <w:sz w:val="19"/>
          <w:szCs w:val="19"/>
          <w:b w:val="1"/>
          <w:bCs w:val="1"/>
          <w:color w:val="auto"/>
        </w:rPr>
        <w:t>Amendment</w:t>
      </w:r>
      <w:r>
        <w:rPr>
          <w:rFonts w:ascii="Arial" w:cs="Arial" w:eastAsia="Arial" w:hAnsi="Arial"/>
          <w:sz w:val="19"/>
          <w:szCs w:val="19"/>
          <w:color w:val="auto"/>
        </w:rPr>
        <w:t>”), and Guarantor is executing this Consent in connection therewith.</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AGREEMENT</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Guarantor hereby consents to Landlord’s and Tenant’s execution, delivery and performance of the Amendment. Guarantor agrees that the Guaranty remains in full force and effect and that all references to the “Master Lease” in the Guaranty shall mean the Master Lease as defined in this Consent, as such Master Lease is amended by the Amendment and by such further amendments to which Landlord and Tenant might hereafter agree.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appears on the following page.]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w:t>
      </w:r>
    </w:p>
    <w:p>
      <w:pPr>
        <w:sectPr>
          <w:pgSz w:w="11900" w:h="16838" w:orient="portrait"/>
          <w:cols w:equalWidth="0" w:num="1">
            <w:col w:w="11420"/>
          </w:cols>
          <w:pgMar w:left="240" w:top="585" w:right="239" w:bottom="1440" w:gutter="0" w:footer="0" w:header="0"/>
        </w:sectPr>
      </w:pPr>
    </w:p>
    <w:bookmarkStart w:id="164" w:name="page165"/>
    <w:bookmarkEnd w:id="164"/>
    <w:p>
      <w:pPr>
        <w:spacing w:after="0"/>
        <w:rPr>
          <w:sz w:val="20"/>
          <w:szCs w:val="20"/>
          <w:color w:val="auto"/>
        </w:rPr>
      </w:pPr>
      <w:r>
        <w:rPr>
          <w:rFonts w:ascii="Arial" w:cs="Arial" w:eastAsia="Arial" w:hAnsi="Arial"/>
          <w:sz w:val="19"/>
          <w:szCs w:val="19"/>
          <w:color w:val="auto"/>
        </w:rPr>
        <w:t>IN WITNESS WHEREOF, the Guarantor has caused this Consent to be executed under seal as of the day set forth above.</w:t>
      </w:r>
    </w:p>
    <w:p>
      <w:pPr>
        <w:sectPr>
          <w:pgSz w:w="11900" w:h="16838" w:orient="portrait"/>
          <w:cols w:equalWidth="0" w:num="1">
            <w:col w:w="10500"/>
          </w:cols>
          <w:pgMar w:left="900" w:top="847"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GUARANTOR:</w:t>
      </w:r>
    </w:p>
    <w:p>
      <w:pPr>
        <w:spacing w:after="0" w:line="226" w:lineRule="exact"/>
        <w:rPr>
          <w:sz w:val="20"/>
          <w:szCs w:val="20"/>
          <w:color w:val="auto"/>
        </w:rPr>
      </w:pPr>
    </w:p>
    <w:p>
      <w:pPr>
        <w:jc w:val="center"/>
        <w:ind w:right="320"/>
        <w:spacing w:after="0"/>
        <w:rPr>
          <w:sz w:val="20"/>
          <w:szCs w:val="20"/>
          <w:color w:val="auto"/>
        </w:rPr>
      </w:pPr>
      <w:r>
        <w:rPr>
          <w:rFonts w:ascii="Arial" w:cs="Arial" w:eastAsia="Arial" w:hAnsi="Arial"/>
          <w:sz w:val="19"/>
          <w:szCs w:val="19"/>
          <w:color w:val="auto"/>
        </w:rPr>
        <w:t>Penn National Gaming, Inc.</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88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7"/>
          <w:szCs w:val="17"/>
          <w:u w:val="single" w:color="auto"/>
          <w:color w:val="auto"/>
        </w:rPr>
        <w:t xml:space="preserve">/s/ </w:t>
      </w:r>
      <w:r>
        <w:rPr>
          <w:rFonts w:ascii="Arial" w:cs="Arial" w:eastAsia="Arial" w:hAnsi="Arial"/>
          <w:sz w:val="20"/>
          <w:szCs w:val="20"/>
          <w:u w:val="single" w:color="auto"/>
          <w:color w:val="auto"/>
        </w:rPr>
        <w:t>William J. Fair</w:t>
      </w:r>
    </w:p>
    <w:p>
      <w:pPr>
        <w:spacing w:after="0" w:line="233"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William J. Fair</w:t>
      </w:r>
    </w:p>
    <w:p>
      <w:pPr>
        <w:spacing w:after="0" w:line="220" w:lineRule="exact"/>
        <w:rPr>
          <w:sz w:val="20"/>
          <w:szCs w:val="20"/>
          <w:color w:val="auto"/>
        </w:rPr>
      </w:pPr>
    </w:p>
    <w:p>
      <w:pPr>
        <w:ind w:left="3880"/>
        <w:spacing w:after="0"/>
        <w:rPr>
          <w:sz w:val="20"/>
          <w:szCs w:val="20"/>
          <w:color w:val="auto"/>
        </w:rPr>
      </w:pPr>
      <w:r>
        <w:rPr>
          <w:rFonts w:ascii="Arial" w:cs="Arial" w:eastAsia="Arial" w:hAnsi="Arial"/>
          <w:sz w:val="19"/>
          <w:szCs w:val="19"/>
          <w:color w:val="auto"/>
        </w:rPr>
        <w:t xml:space="preserve">Title: </w:t>
      </w:r>
      <w:r>
        <w:rPr>
          <w:rFonts w:ascii="Arial" w:cs="Arial" w:eastAsia="Arial" w:hAnsi="Arial"/>
          <w:sz w:val="19"/>
          <w:szCs w:val="19"/>
          <w:u w:val="single" w:color="auto"/>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F - 3</w:t>
      </w:r>
    </w:p>
    <w:p>
      <w:pPr>
        <w:sectPr>
          <w:pgSz w:w="11900" w:h="16838" w:orient="portrait"/>
          <w:cols w:equalWidth="0" w:num="1">
            <w:col w:w="10500"/>
          </w:cols>
          <w:pgMar w:left="900" w:top="847" w:right="499" w:bottom="1440" w:gutter="0" w:footer="0" w:header="0"/>
          <w:type w:val="continuous"/>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CERTIFICATION PURSUANT TO RULE 13a-14(a) OR 15d-14(a)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M. Carlino, certify that:</w:t>
      </w:r>
    </w:p>
    <w:p>
      <w:pPr>
        <w:spacing w:after="0" w:line="225" w:lineRule="exact"/>
        <w:rPr>
          <w:sz w:val="20"/>
          <w:szCs w:val="20"/>
          <w:color w:val="auto"/>
        </w:rPr>
      </w:pPr>
    </w:p>
    <w:p>
      <w:pPr>
        <w:ind w:left="680" w:hanging="672"/>
        <w:spacing w:after="0"/>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Gaming and Leisure Properties, Inc.;</w:t>
      </w:r>
    </w:p>
    <w:p>
      <w:pPr>
        <w:spacing w:after="0" w:line="265" w:lineRule="exact"/>
        <w:rPr>
          <w:rFonts w:ascii="Arial" w:cs="Arial" w:eastAsia="Arial" w:hAnsi="Arial"/>
          <w:sz w:val="18"/>
          <w:szCs w:val="18"/>
          <w:color w:val="auto"/>
        </w:rPr>
      </w:pPr>
    </w:p>
    <w:p>
      <w:pPr>
        <w:ind w:right="260" w:firstLine="8"/>
        <w:spacing w:after="0" w:line="395" w:lineRule="auto"/>
        <w:tabs>
          <w:tab w:leader="none" w:pos="6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220" w:firstLine="8"/>
        <w:spacing w:after="0" w:line="324" w:lineRule="auto"/>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right="460" w:firstLine="8"/>
        <w:spacing w:after="0" w:line="324" w:lineRule="auto"/>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30" w:lineRule="exact"/>
        <w:rPr>
          <w:sz w:val="20"/>
          <w:szCs w:val="20"/>
          <w:color w:val="auto"/>
        </w:rPr>
      </w:pPr>
    </w:p>
    <w:p>
      <w:pPr>
        <w:ind w:left="1340" w:hanging="684"/>
        <w:spacing w:after="0"/>
        <w:tabs>
          <w:tab w:leader="none" w:pos="1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w:t>
      </w:r>
    </w:p>
    <w:p>
      <w:pPr>
        <w:spacing w:after="0" w:line="7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right="380" w:firstLine="656"/>
        <w:spacing w:after="0" w:line="357" w:lineRule="auto"/>
        <w:tabs>
          <w:tab w:leader="none" w:pos="1335" w:val="left"/>
        </w:tabs>
        <w:numPr>
          <w:ilvl w:val="1"/>
          <w:numId w:val="4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7"/>
          <w:szCs w:val="17"/>
          <w:color w:val="auto"/>
        </w:rPr>
      </w:pPr>
    </w:p>
    <w:p>
      <w:pPr>
        <w:ind w:right="340" w:firstLine="656"/>
        <w:spacing w:after="0" w:line="395" w:lineRule="auto"/>
        <w:tabs>
          <w:tab w:leader="none" w:pos="1339" w:val="left"/>
        </w:tabs>
        <w:numPr>
          <w:ilvl w:val="1"/>
          <w:numId w:val="4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3" w:lineRule="exact"/>
        <w:rPr>
          <w:rFonts w:ascii="Arial" w:cs="Arial" w:eastAsia="Arial" w:hAnsi="Arial"/>
          <w:sz w:val="16"/>
          <w:szCs w:val="16"/>
          <w:color w:val="auto"/>
        </w:rPr>
      </w:pPr>
    </w:p>
    <w:p>
      <w:pPr>
        <w:ind w:right="140" w:firstLine="8"/>
        <w:spacing w:after="0" w:line="357" w:lineRule="auto"/>
        <w:tabs>
          <w:tab w:leader="none" w:pos="6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600" w:firstLine="656"/>
        <w:spacing w:after="0" w:line="357" w:lineRule="auto"/>
        <w:tabs>
          <w:tab w:leader="none" w:pos="1325" w:val="left"/>
        </w:tabs>
        <w:numPr>
          <w:ilvl w:val="1"/>
          <w:numId w:val="4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7"/>
          <w:szCs w:val="17"/>
          <w:color w:val="auto"/>
        </w:rPr>
      </w:pPr>
    </w:p>
    <w:p>
      <w:pPr>
        <w:ind w:right="280" w:firstLine="656"/>
        <w:spacing w:after="0" w:line="324" w:lineRule="auto"/>
        <w:tabs>
          <w:tab w:leader="none" w:pos="1335"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700" w:type="dxa"/>
            <w:vAlign w:val="bottom"/>
          </w:tcPr>
          <w:p>
            <w:pPr>
              <w:spacing w:after="0"/>
              <w:rPr>
                <w:sz w:val="20"/>
                <w:szCs w:val="20"/>
                <w:color w:val="auto"/>
              </w:rPr>
            </w:pPr>
            <w:r>
              <w:rPr>
                <w:rFonts w:ascii="Arial" w:cs="Arial" w:eastAsia="Arial" w:hAnsi="Arial"/>
                <w:sz w:val="18"/>
                <w:szCs w:val="18"/>
                <w:color w:val="auto"/>
              </w:rPr>
              <w:t>May 3, 2017</w:t>
            </w:r>
          </w:p>
        </w:tc>
        <w:tc>
          <w:tcPr>
            <w:tcW w:w="1740" w:type="dxa"/>
            <w:vAlign w:val="bottom"/>
            <w:gridSpan w:val="2"/>
          </w:tcPr>
          <w:p>
            <w:pPr>
              <w:spacing w:after="0"/>
              <w:rPr>
                <w:sz w:val="20"/>
                <w:szCs w:val="20"/>
                <w:color w:val="auto"/>
              </w:rPr>
            </w:pPr>
            <w:r>
              <w:rPr>
                <w:rFonts w:ascii="Arial" w:cs="Arial" w:eastAsia="Arial" w:hAnsi="Arial"/>
                <w:sz w:val="18"/>
                <w:szCs w:val="18"/>
                <w:color w:val="auto"/>
              </w:rPr>
              <w:t>/s/ Peter M. Carlino</w:t>
            </w:r>
          </w:p>
        </w:tc>
      </w:tr>
      <w:tr>
        <w:trPr>
          <w:trHeight w:val="20"/>
        </w:trPr>
        <w:tc>
          <w:tcPr>
            <w:tcW w:w="57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91"/>
        </w:trPr>
        <w:tc>
          <w:tcPr>
            <w:tcW w:w="5700" w:type="dxa"/>
            <w:vAlign w:val="bottom"/>
          </w:tcPr>
          <w:p>
            <w:pPr>
              <w:spacing w:after="0"/>
              <w:rPr>
                <w:sz w:val="24"/>
                <w:szCs w:val="24"/>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w w:val="91"/>
              </w:rPr>
              <w:t>Name: Peter M. Carlino</w:t>
            </w:r>
          </w:p>
        </w:tc>
      </w:tr>
      <w:tr>
        <w:trPr>
          <w:trHeight w:val="270"/>
        </w:trPr>
        <w:tc>
          <w:tcPr>
            <w:tcW w:w="5700" w:type="dxa"/>
            <w:vAlign w:val="bottom"/>
          </w:tcPr>
          <w:p>
            <w:pPr>
              <w:spacing w:after="0"/>
              <w:rPr>
                <w:sz w:val="23"/>
                <w:szCs w:val="23"/>
                <w:color w:val="auto"/>
              </w:rPr>
            </w:pPr>
          </w:p>
        </w:tc>
        <w:tc>
          <w:tcPr>
            <w:tcW w:w="1740" w:type="dxa"/>
            <w:vAlign w:val="bottom"/>
            <w:gridSpan w:val="2"/>
          </w:tcPr>
          <w:p>
            <w:pPr>
              <w:spacing w:after="0"/>
              <w:rPr>
                <w:sz w:val="20"/>
                <w:szCs w:val="20"/>
                <w:color w:val="auto"/>
              </w:rPr>
            </w:pPr>
            <w:r>
              <w:rPr>
                <w:rFonts w:ascii="Arial" w:cs="Arial" w:eastAsia="Arial" w:hAnsi="Arial"/>
                <w:sz w:val="18"/>
                <w:szCs w:val="18"/>
                <w:i w:val="1"/>
                <w:iCs w:val="1"/>
                <w:color w:val="auto"/>
                <w:w w:val="93"/>
              </w:rPr>
              <w:t>Chief Executive Officer</w:t>
            </w:r>
          </w:p>
        </w:tc>
      </w:tr>
    </w:tbl>
    <w:p>
      <w:pPr>
        <w:sectPr>
          <w:pgSz w:w="11900" w:h="16838" w:orient="portrait"/>
          <w:cols w:equalWidth="0" w:num="1">
            <w:col w:w="11420"/>
          </w:cols>
          <w:pgMar w:left="240" w:top="580" w:right="2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CERTIFICATION PURSUANT TO RULE 13a-14(a) OR 15d-14(a)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J. Clifford, certify that:</w:t>
      </w:r>
    </w:p>
    <w:p>
      <w:pPr>
        <w:spacing w:after="0" w:line="225" w:lineRule="exact"/>
        <w:rPr>
          <w:sz w:val="20"/>
          <w:szCs w:val="20"/>
          <w:color w:val="auto"/>
        </w:rPr>
      </w:pPr>
    </w:p>
    <w:p>
      <w:pPr>
        <w:ind w:left="680" w:hanging="672"/>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Gaming and Leisure Properties, Inc.;</w:t>
      </w:r>
    </w:p>
    <w:p>
      <w:pPr>
        <w:spacing w:after="0" w:line="265" w:lineRule="exact"/>
        <w:rPr>
          <w:rFonts w:ascii="Arial" w:cs="Arial" w:eastAsia="Arial" w:hAnsi="Arial"/>
          <w:sz w:val="18"/>
          <w:szCs w:val="18"/>
          <w:color w:val="auto"/>
        </w:rPr>
      </w:pPr>
    </w:p>
    <w:p>
      <w:pPr>
        <w:ind w:right="260" w:firstLine="8"/>
        <w:spacing w:after="0" w:line="395" w:lineRule="auto"/>
        <w:tabs>
          <w:tab w:leader="none" w:pos="6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220" w:firstLine="8"/>
        <w:spacing w:after="0" w:line="324" w:lineRule="auto"/>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right="460" w:firstLine="8"/>
        <w:spacing w:after="0" w:line="324" w:lineRule="auto"/>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30" w:lineRule="exact"/>
        <w:rPr>
          <w:sz w:val="20"/>
          <w:szCs w:val="20"/>
          <w:color w:val="auto"/>
        </w:rPr>
      </w:pPr>
    </w:p>
    <w:p>
      <w:pPr>
        <w:ind w:left="1340" w:hanging="684"/>
        <w:spacing w:after="0"/>
        <w:tabs>
          <w:tab w:leader="none" w:pos="1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w:t>
      </w:r>
    </w:p>
    <w:p>
      <w:pPr>
        <w:spacing w:after="0" w:line="7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right="380" w:firstLine="656"/>
        <w:spacing w:after="0" w:line="357" w:lineRule="auto"/>
        <w:tabs>
          <w:tab w:leader="none" w:pos="1335" w:val="left"/>
        </w:tabs>
        <w:numPr>
          <w:ilvl w:val="1"/>
          <w:numId w:val="4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7"/>
          <w:szCs w:val="17"/>
          <w:color w:val="auto"/>
        </w:rPr>
      </w:pPr>
    </w:p>
    <w:p>
      <w:pPr>
        <w:ind w:right="340" w:firstLine="656"/>
        <w:spacing w:after="0" w:line="395" w:lineRule="auto"/>
        <w:tabs>
          <w:tab w:leader="none" w:pos="1339" w:val="left"/>
        </w:tabs>
        <w:numPr>
          <w:ilvl w:val="1"/>
          <w:numId w:val="4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3" w:lineRule="exact"/>
        <w:rPr>
          <w:rFonts w:ascii="Arial" w:cs="Arial" w:eastAsia="Arial" w:hAnsi="Arial"/>
          <w:sz w:val="16"/>
          <w:szCs w:val="16"/>
          <w:color w:val="auto"/>
        </w:rPr>
      </w:pPr>
    </w:p>
    <w:p>
      <w:pPr>
        <w:ind w:right="140" w:firstLine="8"/>
        <w:spacing w:after="0" w:line="357" w:lineRule="auto"/>
        <w:tabs>
          <w:tab w:leader="none" w:pos="6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600" w:firstLine="656"/>
        <w:spacing w:after="0" w:line="357" w:lineRule="auto"/>
        <w:tabs>
          <w:tab w:leader="none" w:pos="1325" w:val="left"/>
        </w:tabs>
        <w:numPr>
          <w:ilvl w:val="1"/>
          <w:numId w:val="4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7"/>
          <w:szCs w:val="17"/>
          <w:color w:val="auto"/>
        </w:rPr>
      </w:pPr>
    </w:p>
    <w:p>
      <w:pPr>
        <w:ind w:right="280" w:firstLine="656"/>
        <w:spacing w:after="0" w:line="324" w:lineRule="auto"/>
        <w:tabs>
          <w:tab w:leader="none" w:pos="1335"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700" w:type="dxa"/>
            <w:vAlign w:val="bottom"/>
          </w:tcPr>
          <w:p>
            <w:pPr>
              <w:spacing w:after="0"/>
              <w:rPr>
                <w:sz w:val="20"/>
                <w:szCs w:val="20"/>
                <w:color w:val="auto"/>
              </w:rPr>
            </w:pPr>
            <w:r>
              <w:rPr>
                <w:rFonts w:ascii="Arial" w:cs="Arial" w:eastAsia="Arial" w:hAnsi="Arial"/>
                <w:sz w:val="18"/>
                <w:szCs w:val="18"/>
                <w:color w:val="auto"/>
              </w:rPr>
              <w:t>May 3, 2017</w:t>
            </w:r>
          </w:p>
        </w:tc>
        <w:tc>
          <w:tcPr>
            <w:tcW w:w="1900" w:type="dxa"/>
            <w:vAlign w:val="bottom"/>
            <w:gridSpan w:val="2"/>
          </w:tcPr>
          <w:p>
            <w:pPr>
              <w:spacing w:after="0"/>
              <w:rPr>
                <w:sz w:val="20"/>
                <w:szCs w:val="20"/>
                <w:color w:val="auto"/>
              </w:rPr>
            </w:pPr>
            <w:r>
              <w:rPr>
                <w:rFonts w:ascii="Arial" w:cs="Arial" w:eastAsia="Arial" w:hAnsi="Arial"/>
                <w:sz w:val="18"/>
                <w:szCs w:val="18"/>
                <w:color w:val="auto"/>
              </w:rPr>
              <w:t>/s/ William J. Clifford</w:t>
            </w:r>
          </w:p>
        </w:tc>
      </w:tr>
      <w:tr>
        <w:trPr>
          <w:trHeight w:val="20"/>
        </w:trPr>
        <w:tc>
          <w:tcPr>
            <w:tcW w:w="57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91"/>
        </w:trPr>
        <w:tc>
          <w:tcPr>
            <w:tcW w:w="5700" w:type="dxa"/>
            <w:vAlign w:val="bottom"/>
          </w:tcPr>
          <w:p>
            <w:pPr>
              <w:spacing w:after="0"/>
              <w:rPr>
                <w:sz w:val="24"/>
                <w:szCs w:val="24"/>
                <w:color w:val="auto"/>
              </w:rPr>
            </w:pPr>
          </w:p>
        </w:tc>
        <w:tc>
          <w:tcPr>
            <w:tcW w:w="1900" w:type="dxa"/>
            <w:vAlign w:val="bottom"/>
            <w:gridSpan w:val="2"/>
          </w:tcPr>
          <w:p>
            <w:pPr>
              <w:spacing w:after="0"/>
              <w:rPr>
                <w:sz w:val="20"/>
                <w:szCs w:val="20"/>
                <w:color w:val="auto"/>
              </w:rPr>
            </w:pPr>
            <w:r>
              <w:rPr>
                <w:rFonts w:ascii="Arial" w:cs="Arial" w:eastAsia="Arial" w:hAnsi="Arial"/>
                <w:sz w:val="18"/>
                <w:szCs w:val="18"/>
                <w:color w:val="auto"/>
                <w:w w:val="95"/>
              </w:rPr>
              <w:t>Name: William J. Clifford</w:t>
            </w:r>
          </w:p>
        </w:tc>
      </w:tr>
      <w:tr>
        <w:trPr>
          <w:trHeight w:val="270"/>
        </w:trPr>
        <w:tc>
          <w:tcPr>
            <w:tcW w:w="5700" w:type="dxa"/>
            <w:vAlign w:val="bottom"/>
          </w:tcPr>
          <w:p>
            <w:pPr>
              <w:spacing w:after="0"/>
              <w:rPr>
                <w:sz w:val="23"/>
                <w:szCs w:val="23"/>
                <w:color w:val="auto"/>
              </w:rPr>
            </w:pPr>
          </w:p>
        </w:tc>
        <w:tc>
          <w:tcPr>
            <w:tcW w:w="1900" w:type="dxa"/>
            <w:vAlign w:val="bottom"/>
            <w:gridSpan w:val="2"/>
          </w:tcPr>
          <w:p>
            <w:pPr>
              <w:spacing w:after="0"/>
              <w:rPr>
                <w:sz w:val="20"/>
                <w:szCs w:val="20"/>
                <w:color w:val="auto"/>
              </w:rPr>
            </w:pPr>
            <w:r>
              <w:rPr>
                <w:rFonts w:ascii="Arial" w:cs="Arial" w:eastAsia="Arial" w:hAnsi="Arial"/>
                <w:sz w:val="18"/>
                <w:szCs w:val="18"/>
                <w:i w:val="1"/>
                <w:iCs w:val="1"/>
                <w:color w:val="auto"/>
              </w:rPr>
              <w:t>Chief Financial Officer</w:t>
            </w:r>
          </w:p>
        </w:tc>
      </w:tr>
    </w:tbl>
    <w:p>
      <w:pPr>
        <w:sectPr>
          <w:pgSz w:w="11900" w:h="16838" w:orient="portrait"/>
          <w:cols w:equalWidth="0" w:num="1">
            <w:col w:w="11420"/>
          </w:cols>
          <w:pgMar w:left="240" w:top="580" w:right="2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In connection with the quarterly report of Gaming and Leisure Properties, Inc. (the “Company”) on Form 10-Q for the quarter ended March 31, 2017, as filed with the Securities and Exchange Commission on the date hereof (the “Report”), I, Peter M. Carlino, Chief Executive Officer of the Company, certify, pursuant to Section 906 of the Sarbanes-Oxley Act of 2002, 18 U.S.C. Section 1350, that, to my knowledge:</w:t>
      </w:r>
    </w:p>
    <w:p>
      <w:pPr>
        <w:spacing w:after="0" w:line="181" w:lineRule="exact"/>
        <w:rPr>
          <w:sz w:val="20"/>
          <w:szCs w:val="20"/>
          <w:color w:val="auto"/>
        </w:rPr>
      </w:pPr>
    </w:p>
    <w:p>
      <w:pPr>
        <w:ind w:left="1340" w:hanging="684"/>
        <w:spacing w:after="0"/>
        <w:tabs>
          <w:tab w:leader="none" w:pos="13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77" w:lineRule="exact"/>
        <w:rPr>
          <w:rFonts w:ascii="Arial" w:cs="Arial" w:eastAsia="Arial" w:hAnsi="Arial"/>
          <w:sz w:val="17"/>
          <w:szCs w:val="17"/>
          <w:color w:val="auto"/>
        </w:rPr>
      </w:pPr>
    </w:p>
    <w:p>
      <w:pPr>
        <w:ind w:left="1340" w:hanging="684"/>
        <w:spacing w:after="0"/>
        <w:tabs>
          <w:tab w:leader="none" w:pos="13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6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/s/ Peter M. Carlino</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Peter M. Carlino</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Executive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May 3, 2017</w:t>
      </w:r>
    </w:p>
    <w:p>
      <w:pPr>
        <w:sectPr>
          <w:pgSz w:w="11900" w:h="16838" w:orient="portrait"/>
          <w:cols w:equalWidth="0" w:num="1">
            <w:col w:w="11420"/>
          </w:cols>
          <w:pgMar w:left="240" w:top="581"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connection with the quarterly report of Gaming and Leisure Properties, Inc. (the “Company”) on Form 10-Q for the quarter ended March 31, 2017, as filed with the Securities and Exchange Commission on the date hereof (the “Report”), I, William J. Clifford, Chief Financial Officer of the Company, certify, pursuant to Section 906 of the Sarbanes-Oxley Act of 2002, 18 U.S.C. Section 1350, that, to my knowledge:</w:t>
      </w:r>
    </w:p>
    <w:p>
      <w:pPr>
        <w:spacing w:after="0" w:line="181" w:lineRule="exact"/>
        <w:rPr>
          <w:sz w:val="20"/>
          <w:szCs w:val="20"/>
          <w:color w:val="auto"/>
        </w:rPr>
      </w:pPr>
    </w:p>
    <w:p>
      <w:pPr>
        <w:ind w:left="1340" w:hanging="684"/>
        <w:spacing w:after="0"/>
        <w:tabs>
          <w:tab w:leader="none" w:pos="13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77" w:lineRule="exact"/>
        <w:rPr>
          <w:rFonts w:ascii="Arial" w:cs="Arial" w:eastAsia="Arial" w:hAnsi="Arial"/>
          <w:sz w:val="17"/>
          <w:szCs w:val="17"/>
          <w:color w:val="auto"/>
        </w:rPr>
      </w:pPr>
    </w:p>
    <w:p>
      <w:pPr>
        <w:ind w:left="1340" w:hanging="684"/>
        <w:spacing w:after="0"/>
        <w:tabs>
          <w:tab w:leader="none" w:pos="13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6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/s/ William J. Clifford</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William J. Clifford</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May 3, 2017</w:t>
      </w:r>
    </w:p>
    <w:sectPr>
      <w:pgSz w:w="11900" w:h="16838" w:orient="portrait"/>
      <w:cols w:equalWidth="0" w:num="1">
        <w:col w:w="11420"/>
      </w:cols>
      <w:pgMar w:left="240" w:top="5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1."/>
      <w:numFmt w:val="decimal"/>
      <w:start w:val="2"/>
    </w:lvl>
  </w:abstractNum>
  <w:abstractNum w:abstractNumId="5">
    <w:nsid w:val="54E49EB4"/>
    <w:multiLevelType w:val="hybridMultilevel"/>
    <w:lvl w:ilvl="0">
      <w:lvlJc w:val="left"/>
      <w:lvlText w:val="%1."/>
      <w:numFmt w:val="decimal"/>
      <w:start w:val="4"/>
    </w:lvl>
  </w:abstractNum>
  <w:abstractNum w:abstractNumId="6">
    <w:nsid w:val="71F32454"/>
    <w:multiLevelType w:val="hybridMultilevel"/>
    <w:lvl w:ilvl="0">
      <w:lvlJc w:val="left"/>
      <w:lvlText w:val="%1."/>
      <w:numFmt w:val="decimal"/>
      <w:start w:val="5"/>
    </w:lvl>
  </w:abstractNum>
  <w:abstractNum w:abstractNumId="7">
    <w:nsid w:val="2CA88611"/>
    <w:multiLevelType w:val="hybridMultilevel"/>
    <w:lvl w:ilvl="0">
      <w:lvlJc w:val="left"/>
      <w:lvlText w:val="%1."/>
      <w:numFmt w:val="decimal"/>
      <w:start w:val="7"/>
    </w:lvl>
  </w:abstractNum>
  <w:abstractNum w:abstractNumId="8">
    <w:nsid w:val="836C40E"/>
    <w:multiLevelType w:val="hybridMultilevel"/>
    <w:lvl w:ilvl="0">
      <w:lvlJc w:val="left"/>
      <w:lvlText w:val="%1."/>
      <w:numFmt w:val="decimal"/>
      <w:start w:val="10"/>
    </w:lvl>
  </w:abstractNum>
  <w:abstractNum w:abstractNumId="9">
    <w:nsid w:val="2901D82"/>
    <w:multiLevelType w:val="hybridMultilevel"/>
    <w:lvl w:ilvl="0">
      <w:lvlJc w:val="left"/>
      <w:lvlText w:val="(%1)"/>
      <w:numFmt w:val="decimal"/>
      <w:start w:val="2"/>
    </w:lvl>
  </w:abstractNum>
  <w:abstractNum w:abstractNumId="10">
    <w:nsid w:val="3A95F874"/>
    <w:multiLevelType w:val="hybridMultilevel"/>
    <w:lvl w:ilvl="0">
      <w:lvlJc w:val="left"/>
      <w:lvlText w:val="%1."/>
      <w:numFmt w:val="decimal"/>
      <w:start w:val="12"/>
    </w:lvl>
  </w:abstractNum>
  <w:abstractNum w:abstractNumId="11">
    <w:nsid w:val="8138641"/>
    <w:multiLevelType w:val="hybridMultilevel"/>
    <w:lvl w:ilvl="0">
      <w:lvlJc w:val="left"/>
      <w:lvlText w:val="%1"/>
      <w:numFmt w:val="decimal"/>
      <w:start w:val="1"/>
    </w:lvl>
    <w:lvl w:ilvl="1">
      <w:lvlJc w:val="left"/>
      <w:lvlText w:val="(%2)"/>
      <w:numFmt w:val="decimal"/>
      <w:start w:val="1"/>
    </w:lvl>
  </w:abstractNum>
  <w:abstractNum w:abstractNumId="12">
    <w:nsid w:val="1E7FF521"/>
    <w:multiLevelType w:val="hybridMultilevel"/>
    <w:lvl w:ilvl="0">
      <w:lvlJc w:val="left"/>
      <w:lvlText w:val="%1."/>
      <w:numFmt w:val="decimal"/>
      <w:start w:val="14"/>
    </w:lvl>
    <w:lvl w:ilvl="1">
      <w:lvlJc w:val="left"/>
      <w:lvlText w:val="%2"/>
      <w:numFmt w:val="decimal"/>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1)"/>
      <w:numFmt w:val="decimal"/>
      <w:start w:val="1"/>
    </w:lvl>
  </w:abstractNum>
  <w:abstractNum w:abstractNumId="18">
    <w:nsid w:val="3006C83E"/>
    <w:multiLevelType w:val="hybridMultilevel"/>
    <w:lvl w:ilvl="0">
      <w:lvlJc w:val="left"/>
      <w:lvlText w:val="(%1)"/>
      <w:numFmt w:val="decimal"/>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1)"/>
      <w:numFmt w:val="lowerLetter"/>
      <w:start w:val="1"/>
    </w:lvl>
  </w:abstractNum>
  <w:abstractNum w:abstractNumId="22">
    <w:nsid w:val="440BADFC"/>
    <w:multiLevelType w:val="hybridMultilevel"/>
    <w:lvl w:ilvl="0">
      <w:lvlJc w:val="left"/>
      <w:lvlText w:val="(%1)"/>
      <w:numFmt w:val="lowerLetter"/>
      <w:start w:val="2"/>
    </w:lvl>
  </w:abstractNum>
  <w:abstractNum w:abstractNumId="23">
    <w:nsid w:val="5072367"/>
    <w:multiLevelType w:val="hybridMultilevel"/>
    <w:lvl w:ilvl="0">
      <w:lvlJc w:val="left"/>
      <w:lvlText w:val="%1."/>
      <w:numFmt w:val="decimal"/>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1."/>
      <w:numFmt w:val="decimal"/>
      <w:start w:val="36"/>
    </w:lvl>
  </w:abstractNum>
  <w:abstractNum w:abstractNumId="28">
    <w:nsid w:val="2463B9EA"/>
    <w:multiLevelType w:val="hybridMultilevel"/>
    <w:lvl w:ilvl="0">
      <w:lvlJc w:val="left"/>
      <w:lvlText w:val="%1."/>
      <w:numFmt w:val="upperLetter"/>
      <w:start w:val="1"/>
    </w:lvl>
  </w:abstractNum>
  <w:abstractNum w:abstractNumId="29">
    <w:nsid w:val="5E884ADC"/>
    <w:multiLevelType w:val="hybridMultilevel"/>
    <w:lvl w:ilvl="0">
      <w:lvlJc w:val="left"/>
      <w:lvlText w:val="(%1)"/>
      <w:numFmt w:val="lowerLetter"/>
      <w:start w:val="1"/>
    </w:lvl>
    <w:lvl w:ilvl="1">
      <w:lvlJc w:val="left"/>
      <w:lvlText w:val="(%2)"/>
      <w:numFmt w:val="lowerLetter"/>
      <w:start w:val="9"/>
    </w:lvl>
  </w:abstractNum>
  <w:abstractNum w:abstractNumId="30">
    <w:nsid w:val="51EAD36B"/>
    <w:multiLevelType w:val="hybridMultilevel"/>
    <w:lvl w:ilvl="0">
      <w:lvlJc w:val="left"/>
      <w:lvlText w:val="%1"/>
      <w:numFmt w:val="lowerLetter"/>
      <w:start w:val="1"/>
    </w:lvl>
    <w:lvl w:ilvl="1">
      <w:lvlJc w:val="left"/>
      <w:lvlText w:val="(%2)"/>
      <w:numFmt w:val="lowerLetter"/>
      <w:start w:val="35"/>
    </w:lvl>
  </w:abstractNum>
  <w:abstractNum w:abstractNumId="31">
    <w:nsid w:val="2D517796"/>
    <w:multiLevelType w:val="hybridMultilevel"/>
    <w:lvl w:ilvl="0">
      <w:lvlJc w:val="left"/>
      <w:lvlText w:val="(%1)"/>
      <w:numFmt w:val="lowerLetter"/>
      <w:start w:val="3"/>
    </w:lvl>
    <w:lvl w:ilvl="1">
      <w:lvlJc w:val="left"/>
      <w:lvlText w:val="%2"/>
      <w:numFmt w:val="lowerLetter"/>
      <w:start w:val="1"/>
    </w:lvl>
  </w:abstractNum>
  <w:abstractNum w:abstractNumId="32">
    <w:nsid w:val="580BD78F"/>
    <w:multiLevelType w:val="hybridMultilevel"/>
    <w:lvl w:ilvl="0">
      <w:lvlJc w:val="left"/>
      <w:lvlText w:val="(%1)"/>
      <w:numFmt w:val="lowerLetter"/>
      <w:start w:val="1"/>
    </w:lvl>
  </w:abstractNum>
  <w:abstractNum w:abstractNumId="33">
    <w:nsid w:val="153EA438"/>
    <w:multiLevelType w:val="hybridMultilevel"/>
    <w:lvl w:ilvl="0">
      <w:lvlJc w:val="left"/>
      <w:lvlText w:val="%1."/>
      <w:numFmt w:val="upperLetter"/>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1."/>
      <w:numFmt w:val="upperLetter"/>
      <w:start w:val="2"/>
    </w:lvl>
  </w:abstractNum>
  <w:abstractNum w:abstractNumId="38">
    <w:nsid w:val="1D4ED43B"/>
    <w:multiLevelType w:val="hybridMultilevel"/>
    <w:lvl w:ilvl="0">
      <w:lvlJc w:val="left"/>
      <w:lvlText w:val="%1."/>
      <w:numFmt w:val="decimal"/>
      <w:start w:val="1"/>
    </w:lvl>
  </w:abstractNum>
  <w:abstractNum w:abstractNumId="39">
    <w:nsid w:val="725A06FB"/>
    <w:multiLevelType w:val="hybridMultilevel"/>
    <w:lvl w:ilvl="0">
      <w:lvlJc w:val="left"/>
      <w:lvlText w:val="(%1)"/>
      <w:numFmt w:val="lowerLetter"/>
      <w:start w:val="1"/>
    </w:lvl>
  </w:abstractNum>
  <w:abstractNum w:abstractNumId="40">
    <w:nsid w:val="2CD89A32"/>
    <w:multiLevelType w:val="hybridMultilevel"/>
    <w:lvl w:ilvl="0">
      <w:lvlJc w:val="left"/>
      <w:lvlText w:val="%1"/>
      <w:numFmt w:val="decimal"/>
      <w:start w:val="1"/>
    </w:lvl>
    <w:lvl w:ilvl="1">
      <w:lvlJc w:val="left"/>
      <w:lvlText w:val="(%2)"/>
      <w:numFmt w:val="lowerLetter"/>
      <w:start w:val="2"/>
    </w:lvl>
  </w:abstractNum>
  <w:abstractNum w:abstractNumId="41">
    <w:nsid w:val="57E4CCAF"/>
    <w:multiLevelType w:val="hybridMultilevel"/>
    <w:lvl w:ilvl="0">
      <w:lvlJc w:val="left"/>
      <w:lvlText w:val="%1."/>
      <w:numFmt w:val="decimal"/>
      <w:start w:val="5"/>
    </w:lvl>
    <w:lvl w:ilvl="1">
      <w:lvlJc w:val="left"/>
      <w:lvlText w:val="(%2)"/>
      <w:numFmt w:val="lowerLetter"/>
      <w:start w:val="1"/>
    </w:lvl>
  </w:abstractNum>
  <w:abstractNum w:abstractNumId="42">
    <w:nsid w:val="7A6D8D3C"/>
    <w:multiLevelType w:val="hybridMultilevel"/>
    <w:lvl w:ilvl="0">
      <w:lvlJc w:val="left"/>
      <w:lvlText w:val="%1."/>
      <w:numFmt w:val="decimal"/>
      <w:start w:val="1"/>
    </w:lvl>
  </w:abstractNum>
  <w:abstractNum w:abstractNumId="43">
    <w:nsid w:val="4B588F54"/>
    <w:multiLevelType w:val="hybridMultilevel"/>
    <w:lvl w:ilvl="0">
      <w:lvlJc w:val="left"/>
      <w:lvlText w:val="(%1)"/>
      <w:numFmt w:val="lowerLetter"/>
      <w:start w:val="1"/>
    </w:lvl>
  </w:abstractNum>
  <w:abstractNum w:abstractNumId="44">
    <w:nsid w:val="542289EC"/>
    <w:multiLevelType w:val="hybridMultilevel"/>
    <w:lvl w:ilvl="0">
      <w:lvlJc w:val="left"/>
      <w:lvlText w:val="%1"/>
      <w:numFmt w:val="decimal"/>
      <w:start w:val="1"/>
    </w:lvl>
    <w:lvl w:ilvl="1">
      <w:lvlJc w:val="left"/>
      <w:lvlText w:val="(%2)"/>
      <w:numFmt w:val="lowerLetter"/>
      <w:start w:val="2"/>
    </w:lvl>
  </w:abstractNum>
  <w:abstractNum w:abstractNumId="45">
    <w:nsid w:val="6DE91B18"/>
    <w:multiLevelType w:val="hybridMultilevel"/>
    <w:lvl w:ilvl="0">
      <w:lvlJc w:val="left"/>
      <w:lvlText w:val="%1."/>
      <w:numFmt w:val="decimal"/>
      <w:start w:val="5"/>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2019-12-29T05:37:25Z</dcterms:created>
  <dcterms:modified xsi:type="dcterms:W3CDTF">2019-12-29T05:37:25Z</dcterms:modified>
</cp:coreProperties>
</file>