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9"/>
          <w:szCs w:val="19"/>
          <w:b w:val="1"/>
          <w:bCs w:val="1"/>
          <w:color w:val="auto"/>
        </w:rPr>
        <w:t>QUARTERLY REPORT PURSUANT TO SECTION 13 OR 15(d)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1"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4100" w:type="dxa"/>
            <w:vAlign w:val="bottom"/>
          </w:tcPr>
          <w:p>
            <w:pPr>
              <w:jc w:val="center"/>
              <w:ind w:right="1830"/>
              <w:spacing w:after="0"/>
              <w:rPr>
                <w:sz w:val="20"/>
                <w:szCs w:val="20"/>
                <w:color w:val="auto"/>
              </w:rPr>
            </w:pPr>
            <w:r>
              <w:rPr>
                <w:rFonts w:ascii="Arial" w:cs="Arial" w:eastAsia="Arial" w:hAnsi="Arial"/>
                <w:sz w:val="18"/>
                <w:szCs w:val="18"/>
                <w:b w:val="1"/>
                <w:bCs w:val="1"/>
                <w:color w:val="auto"/>
                <w:w w:val="88"/>
              </w:rPr>
              <w:t>Pennsylvania</w:t>
            </w:r>
          </w:p>
        </w:tc>
        <w:tc>
          <w:tcPr>
            <w:tcW w:w="3280" w:type="dxa"/>
            <w:vAlign w:val="bottom"/>
          </w:tcPr>
          <w:p>
            <w:pPr>
              <w:jc w:val="center"/>
              <w:ind w:left="1850"/>
              <w:spacing w:after="0"/>
              <w:rPr>
                <w:sz w:val="20"/>
                <w:szCs w:val="20"/>
                <w:color w:val="auto"/>
              </w:rPr>
            </w:pPr>
            <w:r>
              <w:rPr>
                <w:rFonts w:ascii="Arial" w:cs="Arial" w:eastAsia="Arial" w:hAnsi="Arial"/>
                <w:sz w:val="18"/>
                <w:szCs w:val="18"/>
                <w:b w:val="1"/>
                <w:bCs w:val="1"/>
                <w:color w:val="auto"/>
                <w:w w:val="89"/>
              </w:rPr>
              <w:t>46-2116489</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(State or other jurisdiction of</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2"/>
              </w:rPr>
              <w:t>(I.R.S. Employer</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bl>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Berkshire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610-401-2900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01" w:lineRule="exact"/>
        <w:rPr>
          <w:sz w:val="24"/>
          <w:szCs w:val="24"/>
          <w:color w:val="auto"/>
        </w:rPr>
      </w:pPr>
    </w:p>
    <w:p>
      <w:pPr>
        <w:jc w:val="both"/>
        <w:ind w:right="180" w:firstLine="324"/>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76" w:lineRule="exact"/>
        <w:rPr>
          <w:sz w:val="24"/>
          <w:szCs w:val="24"/>
          <w:color w:val="auto"/>
        </w:rPr>
      </w:pPr>
    </w:p>
    <w:p>
      <w:pPr>
        <w:jc w:val="both"/>
        <w:ind w:right="40" w:firstLine="367"/>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89" w:lineRule="exact"/>
        <w:rPr>
          <w:sz w:val="24"/>
          <w:szCs w:val="24"/>
          <w:color w:val="auto"/>
        </w:rPr>
      </w:pPr>
    </w:p>
    <w:p>
      <w:pPr>
        <w:ind w:firstLine="367"/>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240" w:type="dxa"/>
        <w:tblCellMar>
          <w:top w:w="0" w:type="dxa"/>
          <w:left w:w="0" w:type="dxa"/>
          <w:bottom w:w="0" w:type="dxa"/>
          <w:right w:w="0" w:type="dxa"/>
        </w:tblCellMar>
      </w:tblPr>
      <w:tr>
        <w:trPr>
          <w:trHeight w:val="283"/>
        </w:trPr>
        <w:tc>
          <w:tcPr>
            <w:tcW w:w="4760" w:type="dxa"/>
            <w:vAlign w:val="bottom"/>
          </w:tcPr>
          <w:p>
            <w:pPr>
              <w:jc w:val="center"/>
              <w:ind w:right="1350"/>
              <w:spacing w:after="0"/>
              <w:rPr>
                <w:sz w:val="20"/>
                <w:szCs w:val="20"/>
                <w:color w:val="auto"/>
              </w:rPr>
            </w:pPr>
            <w:r>
              <w:rPr>
                <w:rFonts w:ascii="Arial" w:cs="Arial" w:eastAsia="Arial" w:hAnsi="Arial"/>
                <w:sz w:val="18"/>
                <w:szCs w:val="18"/>
                <w:color w:val="auto"/>
                <w:w w:val="91"/>
              </w:rPr>
              <w:t>Large accelerated filer x</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r>
      <w:tr>
        <w:trPr>
          <w:trHeight w:val="540"/>
        </w:trPr>
        <w:tc>
          <w:tcPr>
            <w:tcW w:w="4760" w:type="dxa"/>
            <w:vAlign w:val="bottom"/>
          </w:tcPr>
          <w:p>
            <w:pPr>
              <w:jc w:val="center"/>
              <w:ind w:right="135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r>
      <w:tr>
        <w:trPr>
          <w:trHeight w:val="250"/>
        </w:trPr>
        <w:tc>
          <w:tcPr>
            <w:tcW w:w="4760" w:type="dxa"/>
            <w:vAlign w:val="bottom"/>
          </w:tcPr>
          <w:p>
            <w:pPr>
              <w:jc w:val="center"/>
              <w:ind w:right="1330"/>
              <w:spacing w:after="0"/>
              <w:rPr>
                <w:sz w:val="20"/>
                <w:szCs w:val="20"/>
                <w:color w:val="auto"/>
              </w:rPr>
            </w:pPr>
            <w:r>
              <w:rPr>
                <w:rFonts w:ascii="Arial" w:cs="Arial" w:eastAsia="Arial" w:hAnsi="Arial"/>
                <w:sz w:val="18"/>
                <w:szCs w:val="18"/>
                <w:color w:val="auto"/>
                <w:w w:val="91"/>
              </w:rPr>
              <w:t>(Do not check if a smaller reporting company)</w:t>
            </w:r>
          </w:p>
        </w:tc>
        <w:tc>
          <w:tcPr>
            <w:tcW w:w="3620" w:type="dxa"/>
            <w:vAlign w:val="bottom"/>
          </w:tcPr>
          <w:p>
            <w:pPr>
              <w:spacing w:after="0"/>
              <w:rPr>
                <w:sz w:val="21"/>
                <w:szCs w:val="21"/>
                <w:color w:val="auto"/>
              </w:rPr>
            </w:pPr>
          </w:p>
        </w:tc>
      </w:tr>
      <w:tr>
        <w:trPr>
          <w:trHeight w:val="412"/>
        </w:trPr>
        <w:tc>
          <w:tcPr>
            <w:tcW w:w="4760" w:type="dxa"/>
            <w:vAlign w:val="bottom"/>
          </w:tcPr>
          <w:p>
            <w:pPr>
              <w:spacing w:after="0"/>
              <w:rPr>
                <w:sz w:val="24"/>
                <w:szCs w:val="24"/>
                <w:color w:val="auto"/>
              </w:rPr>
            </w:pP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r>
    </w:tbl>
    <w:p>
      <w:pPr>
        <w:ind w:left="3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3"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5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0" w:lineRule="exact"/>
        <w:rPr>
          <w:sz w:val="24"/>
          <w:szCs w:val="24"/>
          <w:color w:val="auto"/>
        </w:rPr>
      </w:pPr>
    </w:p>
    <w:p>
      <w:pPr>
        <w:ind w:left="2760"/>
        <w:spacing w:after="0"/>
        <w:tabs>
          <w:tab w:leader="none" w:pos="810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July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23495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sectPr>
      </w:pPr>
    </w:p>
    <w:p>
      <w:pPr>
        <w:spacing w:after="0" w:line="63" w:lineRule="exact"/>
        <w:rPr>
          <w:sz w:val="24"/>
          <w:szCs w:val="24"/>
          <w:color w:val="auto"/>
        </w:rPr>
      </w:pPr>
    </w:p>
    <w:p>
      <w:pPr>
        <w:ind w:left="1440"/>
        <w:spacing w:after="0"/>
        <w:tabs>
          <w:tab w:leader="none" w:pos="8060" w:val="left"/>
        </w:tabs>
        <w:rPr>
          <w:sz w:val="20"/>
          <w:szCs w:val="20"/>
          <w:color w:val="auto"/>
        </w:rPr>
      </w:pPr>
      <w:r>
        <w:rPr>
          <w:rFonts w:ascii="Arial" w:cs="Arial" w:eastAsia="Arial" w:hAnsi="Arial"/>
          <w:sz w:val="18"/>
          <w:szCs w:val="18"/>
          <w:color w:val="auto"/>
        </w:rPr>
        <w:t>Common Stock, par value $.01 per share</w:t>
      </w:r>
      <w:r>
        <w:rPr>
          <w:sz w:val="20"/>
          <w:szCs w:val="20"/>
          <w:color w:val="auto"/>
        </w:rPr>
        <w:tab/>
      </w:r>
      <w:r>
        <w:rPr>
          <w:rFonts w:ascii="Arial" w:cs="Arial" w:eastAsia="Arial" w:hAnsi="Arial"/>
          <w:sz w:val="16"/>
          <w:szCs w:val="16"/>
          <w:color w:val="auto"/>
        </w:rPr>
        <w:t>212,486,894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3" w:lineRule="exact"/>
        <w:rPr>
          <w:sz w:val="20"/>
          <w:szCs w:val="20"/>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access to debt and equity capital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GLPI's duty to indemnify Penn National Gaming, Inc. and its subsidiaries ("Penn") in certain circumstances if the spin-off transaction described in Note 1 to the condensed consolidated financial statements fails to be tax-free;</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real estate investment trusts or to the gaming, lodging or hospitality industries;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additional factors as discussed in the Company’s Annual Report on Form 10-K for the year ended December 31, 2016, in this Quarterly Report on Form 10-Q and Current Reports on Form 8-K as filed with the United States Securities and Exchange Commission (the "SEC").</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Certain of these factors and other factors, risks and uncertainties are discussed in the "Risk Factors" section in the Company’s Annual Report on Form 10-K for the year ended December 31, 2016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on Form 10-K for the year ended December 31, 2016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30"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PART I.</w:t>
              </w:r>
            </w:hyperlink>
          </w:p>
        </w:tc>
        <w:tc>
          <w:tcPr>
            <w:tcW w:w="1260" w:type="dxa"/>
            <w:vAlign w:val="bottom"/>
            <w:gridSpan w:val="5"/>
          </w:tcPr>
          <w:p>
            <w:pPr>
              <w:spacing w:after="0"/>
              <w:rPr>
                <w:sz w:val="17"/>
                <w:szCs w:val="17"/>
                <w:color w:val="auto"/>
              </w:rPr>
            </w:pPr>
          </w:p>
        </w:tc>
        <w:tc>
          <w:tcPr>
            <w:tcW w:w="2240" w:type="dxa"/>
            <w:vAlign w:val="bottom"/>
            <w:gridSpan w:val="5"/>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FINANCIAL INFORMATION</w:t>
              </w:r>
            </w:hyperlink>
          </w:p>
        </w:tc>
        <w:tc>
          <w:tcPr>
            <w:tcW w:w="6160" w:type="dxa"/>
            <w:vAlign w:val="bottom"/>
            <w:gridSpan w:val="13"/>
          </w:tcPr>
          <w:p>
            <w:pPr>
              <w:spacing w:after="0"/>
              <w:rPr>
                <w:sz w:val="17"/>
                <w:szCs w:val="17"/>
                <w:color w:val="auto"/>
              </w:rPr>
            </w:pPr>
          </w:p>
        </w:tc>
        <w:tc>
          <w:tcPr>
            <w:tcW w:w="840" w:type="dxa"/>
            <w:vAlign w:val="bottom"/>
            <w:gridSpan w:val="4"/>
          </w:tcPr>
          <w:p>
            <w:pPr>
              <w:jc w:val="center"/>
              <w:ind w:left="5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ITEM 1.</w:t>
              </w:r>
            </w:hyperlink>
          </w:p>
        </w:tc>
        <w:tc>
          <w:tcPr>
            <w:tcW w:w="1260" w:type="dxa"/>
            <w:vAlign w:val="bottom"/>
            <w:gridSpan w:val="5"/>
          </w:tcPr>
          <w:p>
            <w:pPr>
              <w:spacing w:after="0"/>
              <w:rPr>
                <w:sz w:val="24"/>
                <w:szCs w:val="24"/>
                <w:color w:val="auto"/>
              </w:rPr>
            </w:pPr>
          </w:p>
        </w:tc>
        <w:tc>
          <w:tcPr>
            <w:tcW w:w="3060" w:type="dxa"/>
            <w:vAlign w:val="bottom"/>
            <w:gridSpan w:val="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FINANCIAL STATEMENTS (Unaudited)</w:t>
              </w:r>
            </w:hyperlink>
          </w:p>
        </w:tc>
        <w:tc>
          <w:tcPr>
            <w:tcW w:w="5340" w:type="dxa"/>
            <w:vAlign w:val="bottom"/>
            <w:gridSpan w:val="10"/>
          </w:tcPr>
          <w:p>
            <w:pPr>
              <w:spacing w:after="0"/>
              <w:rPr>
                <w:sz w:val="24"/>
                <w:szCs w:val="24"/>
                <w:color w:val="auto"/>
              </w:rPr>
            </w:pPr>
          </w:p>
        </w:tc>
        <w:tc>
          <w:tcPr>
            <w:tcW w:w="840" w:type="dxa"/>
            <w:vAlign w:val="bottom"/>
            <w:gridSpan w:val="4"/>
          </w:tcPr>
          <w:p>
            <w:pPr>
              <w:jc w:val="center"/>
              <w:ind w:left="5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June 30, 2017 and December 31, 2016</w:t>
              </w:r>
            </w:hyperlink>
          </w:p>
        </w:tc>
        <w:tc>
          <w:tcPr>
            <w:tcW w:w="840" w:type="dxa"/>
            <w:vAlign w:val="bottom"/>
            <w:gridSpan w:val="4"/>
          </w:tcPr>
          <w:p>
            <w:pPr>
              <w:jc w:val="center"/>
              <w:ind w:left="5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 Three and Six Months Ended June 30, 2017 and 2016</w:t>
              </w:r>
            </w:hyperlink>
          </w:p>
        </w:tc>
        <w:tc>
          <w:tcPr>
            <w:tcW w:w="840" w:type="dxa"/>
            <w:vAlign w:val="bottom"/>
            <w:gridSpan w:val="4"/>
          </w:tcPr>
          <w:p>
            <w:pPr>
              <w:jc w:val="center"/>
              <w:ind w:left="55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80" w:type="dxa"/>
            <w:vAlign w:val="bottom"/>
            <w:gridSpan w:val="1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Condensed Consolidated Statement of Changes in Shareholders' Equity - Six Months Ended June 30, 2017</w:t>
              </w:r>
            </w:hyperlink>
          </w:p>
        </w:tc>
        <w:tc>
          <w:tcPr>
            <w:tcW w:w="720" w:type="dxa"/>
            <w:vAlign w:val="bottom"/>
            <w:gridSpan w:val="2"/>
          </w:tcPr>
          <w:p>
            <w:pPr>
              <w:spacing w:after="0"/>
              <w:rPr>
                <w:sz w:val="21"/>
                <w:szCs w:val="21"/>
                <w:color w:val="auto"/>
              </w:rPr>
            </w:pPr>
          </w:p>
        </w:tc>
        <w:tc>
          <w:tcPr>
            <w:tcW w:w="840" w:type="dxa"/>
            <w:vAlign w:val="bottom"/>
            <w:gridSpan w:val="4"/>
          </w:tcPr>
          <w:p>
            <w:pPr>
              <w:jc w:val="center"/>
              <w:ind w:left="5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60" w:type="dxa"/>
            <w:vAlign w:val="bottom"/>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 Six Months Ended June 30, 2017 and 2016</w:t>
              </w:r>
            </w:hyperlink>
          </w:p>
        </w:tc>
        <w:tc>
          <w:tcPr>
            <w:tcW w:w="720" w:type="dxa"/>
            <w:vAlign w:val="bottom"/>
            <w:gridSpan w:val="2"/>
          </w:tcPr>
          <w:p>
            <w:pPr>
              <w:spacing w:after="0"/>
              <w:rPr>
                <w:sz w:val="21"/>
                <w:szCs w:val="21"/>
                <w:color w:val="auto"/>
              </w:rPr>
            </w:pPr>
          </w:p>
        </w:tc>
        <w:tc>
          <w:tcPr>
            <w:tcW w:w="720" w:type="dxa"/>
            <w:vAlign w:val="bottom"/>
            <w:gridSpan w:val="2"/>
          </w:tcPr>
          <w:p>
            <w:pPr>
              <w:spacing w:after="0"/>
              <w:rPr>
                <w:sz w:val="21"/>
                <w:szCs w:val="21"/>
                <w:color w:val="auto"/>
              </w:rPr>
            </w:pPr>
          </w:p>
        </w:tc>
        <w:tc>
          <w:tcPr>
            <w:tcW w:w="840" w:type="dxa"/>
            <w:vAlign w:val="bottom"/>
            <w:gridSpan w:val="4"/>
          </w:tcPr>
          <w:p>
            <w:pPr>
              <w:jc w:val="center"/>
              <w:ind w:left="55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60" w:type="dxa"/>
            <w:vAlign w:val="bottom"/>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2700" w:type="dxa"/>
            <w:vAlign w:val="bottom"/>
            <w:gridSpan w:val="4"/>
          </w:tcPr>
          <w:p>
            <w:pPr>
              <w:spacing w:after="0"/>
              <w:rPr>
                <w:sz w:val="21"/>
                <w:szCs w:val="21"/>
                <w:color w:val="auto"/>
              </w:rPr>
            </w:pPr>
          </w:p>
        </w:tc>
        <w:tc>
          <w:tcPr>
            <w:tcW w:w="1440" w:type="dxa"/>
            <w:vAlign w:val="bottom"/>
            <w:gridSpan w:val="4"/>
          </w:tcPr>
          <w:p>
            <w:pPr>
              <w:spacing w:after="0"/>
              <w:rPr>
                <w:sz w:val="21"/>
                <w:szCs w:val="21"/>
                <w:color w:val="auto"/>
              </w:rPr>
            </w:pPr>
          </w:p>
        </w:tc>
        <w:tc>
          <w:tcPr>
            <w:tcW w:w="840" w:type="dxa"/>
            <w:vAlign w:val="bottom"/>
            <w:gridSpan w:val="4"/>
          </w:tcPr>
          <w:p>
            <w:pPr>
              <w:jc w:val="center"/>
              <w:ind w:left="55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ITEM 2.</w:t>
              </w:r>
            </w:hyperlink>
          </w:p>
        </w:tc>
        <w:tc>
          <w:tcPr>
            <w:tcW w:w="1260" w:type="dxa"/>
            <w:vAlign w:val="bottom"/>
            <w:gridSpan w:val="5"/>
          </w:tcPr>
          <w:p>
            <w:pPr>
              <w:spacing w:after="0"/>
              <w:rPr>
                <w:sz w:val="24"/>
                <w:szCs w:val="24"/>
                <w:color w:val="auto"/>
              </w:rPr>
            </w:pPr>
          </w:p>
        </w:tc>
        <w:tc>
          <w:tcPr>
            <w:tcW w:w="840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w:t>
              </w:r>
            </w:hyperlink>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Borders>
              <w:top w:val="single" w:sz="8" w:color="0000EE"/>
            </w:tcBorders>
            <w:gridSpan w:val="2"/>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OPERATIONS</w:t>
              </w:r>
            </w:hyperlink>
          </w:p>
        </w:tc>
        <w:tc>
          <w:tcPr>
            <w:tcW w:w="6660" w:type="dxa"/>
            <w:vAlign w:val="bottom"/>
            <w:tcBorders>
              <w:top w:val="single" w:sz="8" w:color="0000EE"/>
            </w:tcBorders>
            <w:gridSpan w:val="15"/>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4"/>
          </w:tcPr>
          <w:p>
            <w:pPr>
              <w:jc w:val="center"/>
              <w:ind w:left="57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ITEM 3.</w:t>
              </w:r>
            </w:hyperlink>
          </w:p>
        </w:tc>
        <w:tc>
          <w:tcPr>
            <w:tcW w:w="1260" w:type="dxa"/>
            <w:vAlign w:val="bottom"/>
            <w:gridSpan w:val="5"/>
          </w:tcPr>
          <w:p>
            <w:pPr>
              <w:spacing w:after="0"/>
              <w:rPr>
                <w:sz w:val="24"/>
                <w:szCs w:val="24"/>
                <w:color w:val="auto"/>
              </w:rPr>
            </w:pPr>
          </w:p>
        </w:tc>
        <w:tc>
          <w:tcPr>
            <w:tcW w:w="6140" w:type="dxa"/>
            <w:vAlign w:val="bottom"/>
            <w:gridSpan w:val="13"/>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QUANTITATIVE AND QUALITATIVE DISCLOSURES ABOUT MARKET RISK</w:t>
              </w:r>
            </w:hyperlink>
          </w:p>
        </w:tc>
        <w:tc>
          <w:tcPr>
            <w:tcW w:w="2260" w:type="dxa"/>
            <w:vAlign w:val="bottom"/>
            <w:gridSpan w:val="5"/>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ITEM 4.</w:t>
              </w:r>
            </w:hyperlink>
          </w:p>
        </w:tc>
        <w:tc>
          <w:tcPr>
            <w:tcW w:w="1260" w:type="dxa"/>
            <w:vAlign w:val="bottom"/>
            <w:gridSpan w:val="5"/>
          </w:tcPr>
          <w:p>
            <w:pPr>
              <w:spacing w:after="0"/>
              <w:rPr>
                <w:sz w:val="24"/>
                <w:szCs w:val="24"/>
                <w:color w:val="auto"/>
              </w:rPr>
            </w:pPr>
          </w:p>
        </w:tc>
        <w:tc>
          <w:tcPr>
            <w:tcW w:w="2600" w:type="dxa"/>
            <w:vAlign w:val="bottom"/>
            <w:gridSpan w:val="7"/>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CONTROLS AND PROCEDURES</w:t>
              </w:r>
            </w:hyperlink>
          </w:p>
        </w:tc>
        <w:tc>
          <w:tcPr>
            <w:tcW w:w="3540" w:type="dxa"/>
            <w:vAlign w:val="bottom"/>
            <w:gridSpan w:val="6"/>
          </w:tcPr>
          <w:p>
            <w:pPr>
              <w:spacing w:after="0"/>
              <w:rPr>
                <w:sz w:val="24"/>
                <w:szCs w:val="24"/>
                <w:color w:val="auto"/>
              </w:rPr>
            </w:pPr>
          </w:p>
        </w:tc>
        <w:tc>
          <w:tcPr>
            <w:tcW w:w="2260" w:type="dxa"/>
            <w:vAlign w:val="bottom"/>
            <w:gridSpan w:val="5"/>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PART II.</w:t>
              </w:r>
            </w:hyperlink>
          </w:p>
        </w:tc>
        <w:tc>
          <w:tcPr>
            <w:tcW w:w="1200" w:type="dxa"/>
            <w:vAlign w:val="bottom"/>
            <w:gridSpan w:val="4"/>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OTHER INFORMATION</w:t>
              </w:r>
            </w:hyperlink>
          </w:p>
        </w:tc>
        <w:tc>
          <w:tcPr>
            <w:tcW w:w="6540" w:type="dxa"/>
            <w:vAlign w:val="bottom"/>
            <w:gridSpan w:val="14"/>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ITEM 1.</w:t>
              </w:r>
            </w:hyperlink>
          </w:p>
        </w:tc>
        <w:tc>
          <w:tcPr>
            <w:tcW w:w="60" w:type="dxa"/>
            <w:vAlign w:val="bottom"/>
          </w:tcPr>
          <w:p>
            <w:pPr>
              <w:spacing w:after="0"/>
              <w:rPr>
                <w:sz w:val="24"/>
                <w:szCs w:val="24"/>
                <w:color w:val="auto"/>
              </w:rPr>
            </w:pPr>
          </w:p>
        </w:tc>
        <w:tc>
          <w:tcPr>
            <w:tcW w:w="1200" w:type="dxa"/>
            <w:vAlign w:val="bottom"/>
            <w:gridSpan w:val="4"/>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LEGAL PROCEEDINGS</w:t>
              </w:r>
            </w:hyperlink>
          </w:p>
        </w:tc>
        <w:tc>
          <w:tcPr>
            <w:tcW w:w="6540" w:type="dxa"/>
            <w:vAlign w:val="bottom"/>
            <w:gridSpan w:val="14"/>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1A.</w:t>
              </w:r>
            </w:hyperlink>
          </w:p>
        </w:tc>
        <w:tc>
          <w:tcPr>
            <w:tcW w:w="840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840" w:type="dxa"/>
            <w:vAlign w:val="bottom"/>
            <w:gridSpan w:val="4"/>
          </w:tcPr>
          <w:p>
            <w:pPr>
              <w:jc w:val="center"/>
              <w:ind w:left="5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7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ITEM 2.</w:t>
              </w:r>
            </w:hyperlink>
          </w:p>
        </w:tc>
        <w:tc>
          <w:tcPr>
            <w:tcW w:w="160" w:type="dxa"/>
            <w:vAlign w:val="bottom"/>
            <w:gridSpan w:val="2"/>
          </w:tcPr>
          <w:p>
            <w:pPr>
              <w:spacing w:after="0"/>
              <w:rPr>
                <w:sz w:val="24"/>
                <w:szCs w:val="24"/>
                <w:color w:val="auto"/>
              </w:rPr>
            </w:pPr>
          </w:p>
        </w:tc>
        <w:tc>
          <w:tcPr>
            <w:tcW w:w="1100" w:type="dxa"/>
            <w:vAlign w:val="bottom"/>
            <w:gridSpan w:val="3"/>
          </w:tcPr>
          <w:p>
            <w:pPr>
              <w:spacing w:after="0"/>
              <w:rPr>
                <w:sz w:val="24"/>
                <w:szCs w:val="24"/>
                <w:color w:val="auto"/>
              </w:rPr>
            </w:pPr>
          </w:p>
        </w:tc>
        <w:tc>
          <w:tcPr>
            <w:tcW w:w="840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840" w:type="dxa"/>
            <w:vAlign w:val="bottom"/>
            <w:gridSpan w:val="4"/>
          </w:tcPr>
          <w:p>
            <w:pPr>
              <w:jc w:val="center"/>
              <w:ind w:left="5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ITEM 3.</w:t>
              </w:r>
            </w:hyperlink>
          </w:p>
        </w:tc>
        <w:tc>
          <w:tcPr>
            <w:tcW w:w="1260" w:type="dxa"/>
            <w:vAlign w:val="bottom"/>
            <w:gridSpan w:val="5"/>
          </w:tcPr>
          <w:p>
            <w:pPr>
              <w:spacing w:after="0"/>
              <w:rPr>
                <w:sz w:val="24"/>
                <w:szCs w:val="24"/>
                <w:color w:val="auto"/>
              </w:rPr>
            </w:pPr>
          </w:p>
        </w:tc>
        <w:tc>
          <w:tcPr>
            <w:tcW w:w="3180" w:type="dxa"/>
            <w:vAlign w:val="bottom"/>
            <w:gridSpan w:val="9"/>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DEFAULTS UPON SENIOR SECURITIES</w:t>
              </w:r>
            </w:hyperlink>
          </w:p>
        </w:tc>
        <w:tc>
          <w:tcPr>
            <w:tcW w:w="2880" w:type="dxa"/>
            <w:vAlign w:val="bottom"/>
            <w:gridSpan w:val="3"/>
          </w:tcPr>
          <w:p>
            <w:pPr>
              <w:spacing w:after="0"/>
              <w:rPr>
                <w:sz w:val="24"/>
                <w:szCs w:val="24"/>
                <w:color w:val="auto"/>
              </w:rPr>
            </w:pPr>
          </w:p>
        </w:tc>
        <w:tc>
          <w:tcPr>
            <w:tcW w:w="2340" w:type="dxa"/>
            <w:vAlign w:val="bottom"/>
            <w:gridSpan w:val="6"/>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ITEM 4.</w:t>
              </w:r>
            </w:hyperlink>
          </w:p>
        </w:tc>
        <w:tc>
          <w:tcPr>
            <w:tcW w:w="1260" w:type="dxa"/>
            <w:vAlign w:val="bottom"/>
            <w:gridSpan w:val="5"/>
          </w:tcPr>
          <w:p>
            <w:pPr>
              <w:spacing w:after="0"/>
              <w:rPr>
                <w:sz w:val="24"/>
                <w:szCs w:val="24"/>
                <w:color w:val="auto"/>
              </w:rPr>
            </w:pPr>
          </w:p>
        </w:tc>
        <w:tc>
          <w:tcPr>
            <w:tcW w:w="2440" w:type="dxa"/>
            <w:vAlign w:val="bottom"/>
            <w:gridSpan w:val="6"/>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MINE SAFETY DISCLOSURES</w:t>
              </w:r>
            </w:hyperlink>
          </w:p>
        </w:tc>
        <w:tc>
          <w:tcPr>
            <w:tcW w:w="740" w:type="dxa"/>
            <w:vAlign w:val="bottom"/>
            <w:gridSpan w:val="3"/>
          </w:tcPr>
          <w:p>
            <w:pPr>
              <w:spacing w:after="0"/>
              <w:rPr>
                <w:sz w:val="24"/>
                <w:szCs w:val="24"/>
                <w:color w:val="auto"/>
              </w:rPr>
            </w:pPr>
          </w:p>
        </w:tc>
        <w:tc>
          <w:tcPr>
            <w:tcW w:w="5220" w:type="dxa"/>
            <w:vAlign w:val="bottom"/>
            <w:gridSpan w:val="9"/>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96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ITEM 5.</w:t>
              </w:r>
            </w:hyperlink>
          </w:p>
        </w:tc>
        <w:tc>
          <w:tcPr>
            <w:tcW w:w="1260" w:type="dxa"/>
            <w:vAlign w:val="bottom"/>
            <w:gridSpan w:val="5"/>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OTHER INFORMATION</w:t>
              </w:r>
            </w:hyperlink>
          </w:p>
        </w:tc>
        <w:tc>
          <w:tcPr>
            <w:tcW w:w="580" w:type="dxa"/>
            <w:vAlign w:val="bottom"/>
            <w:gridSpan w:val="2"/>
          </w:tcPr>
          <w:p>
            <w:pPr>
              <w:spacing w:after="0"/>
              <w:rPr>
                <w:sz w:val="24"/>
                <w:szCs w:val="24"/>
                <w:color w:val="auto"/>
              </w:rPr>
            </w:pPr>
          </w:p>
        </w:tc>
        <w:tc>
          <w:tcPr>
            <w:tcW w:w="5960" w:type="dxa"/>
            <w:vAlign w:val="bottom"/>
            <w:gridSpan w:val="12"/>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540" w:type="dxa"/>
            <w:vAlign w:val="bottom"/>
            <w:tcBorders>
              <w:left w:val="single" w:sz="8" w:color="0000EE"/>
            </w:tcBorders>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ITEM 6.</w:t>
              </w:r>
            </w:hyperlink>
          </w:p>
        </w:tc>
        <w:tc>
          <w:tcPr>
            <w:tcW w:w="1260" w:type="dxa"/>
            <w:vAlign w:val="bottom"/>
            <w:gridSpan w:val="5"/>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EXHIBITS</w:t>
              </w:r>
            </w:hyperlink>
          </w:p>
        </w:tc>
        <w:tc>
          <w:tcPr>
            <w:tcW w:w="1040" w:type="dxa"/>
            <w:vAlign w:val="bottom"/>
            <w:gridSpan w:val="3"/>
          </w:tcPr>
          <w:p>
            <w:pPr>
              <w:spacing w:after="0"/>
              <w:rPr>
                <w:sz w:val="24"/>
                <w:szCs w:val="24"/>
                <w:color w:val="auto"/>
              </w:rPr>
            </w:pPr>
          </w:p>
        </w:tc>
        <w:tc>
          <w:tcPr>
            <w:tcW w:w="6540" w:type="dxa"/>
            <w:vAlign w:val="bottom"/>
            <w:gridSpan w:val="14"/>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000" w:type="dxa"/>
            <w:vAlign w:val="bottom"/>
            <w:gridSpan w:val="4"/>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SIGNATURE</w:t>
              </w:r>
            </w:hyperlink>
          </w:p>
        </w:tc>
        <w:tc>
          <w:tcPr>
            <w:tcW w:w="8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r>
      <w:tr>
        <w:trPr>
          <w:trHeight w:val="20"/>
        </w:trPr>
        <w:tc>
          <w:tcPr>
            <w:tcW w:w="10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 INDEX</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72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260" w:type="dxa"/>
            <w:vAlign w:val="bottom"/>
            <w:gridSpan w:val="10"/>
          </w:tcPr>
          <w:p>
            <w:pPr>
              <w:ind w:left="3780"/>
              <w:spacing w:after="0"/>
              <w:rPr>
                <w:sz w:val="20"/>
                <w:szCs w:val="20"/>
                <w:color w:val="auto"/>
              </w:rPr>
            </w:pPr>
            <w:r>
              <w:rPr>
                <w:rFonts w:ascii="Arial" w:cs="Arial" w:eastAsia="Arial" w:hAnsi="Arial"/>
                <w:sz w:val="18"/>
                <w:szCs w:val="18"/>
                <w:color w:val="auto"/>
              </w:rPr>
              <w:t>3</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3,712,310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3,739,091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590,758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114,413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119,427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2,674,866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2,710,711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 receivable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72,795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7,357,220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Gaming, property, and other taxes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49,283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4,521,423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4,664,965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rental revenue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198,790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166,052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22,865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4,838,453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4,935,461</w:t>
            </w:r>
          </w:p>
        </w:tc>
        <w:tc>
          <w:tcPr>
            <w:tcW w:w="0" w:type="dxa"/>
            <w:vAlign w:val="bottom"/>
          </w:tcPr>
          <w:p>
            <w:pPr>
              <w:spacing w:after="0"/>
              <w:rPr>
                <w:sz w:val="1"/>
                <w:szCs w:val="1"/>
                <w:color w:val="auto"/>
              </w:rPr>
            </w:pPr>
          </w:p>
        </w:tc>
      </w:tr>
      <w:tr>
        <w:trPr>
          <w:trHeight w:val="277"/>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($.01 par value, 50,000,000 shares authorized, no shares issued or outstanding at June 30, 2017</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and December 31, 2016)</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1"/>
              </w:rPr>
              <w:t>Common stock ($.01 par value, 500,000,000 shares authorized, 212,217,855 and 207,676,827 shares issued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June 30, 2017 and December 31, 2016, respectively)</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3,916,328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3,760,729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accumulated deficit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(1,399,683)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(1,328,937)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2,518,767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7,357,220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83"/>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242,316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from direct financing lease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18,516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12,631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207,119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170,405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411,824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282,447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76,530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244,608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208,776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488,573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358,977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promotional allowances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243,391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207,361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486,104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356,181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42,176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20,912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28,282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43,167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28,423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54,102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167,727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152,696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120,817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302,702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188,454</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(78,166)</w:t>
            </w:r>
          </w:p>
        </w:tc>
      </w:tr>
      <w:tr>
        <w:trPr>
          <w:trHeight w:val="291"/>
        </w:trPr>
        <w:tc>
          <w:tcPr>
            <w:tcW w:w="5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4,275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96,334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73,264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190,325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106,013</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0.69</w:t>
            </w:r>
          </w:p>
        </w:tc>
      </w:tr>
      <w:tr>
        <w:trPr>
          <w:trHeight w:val="297"/>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common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5"/>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207,676,827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3,760,729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3,864,872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139,341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139,379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515,611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160,545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(261,071)</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190,325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190,325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2017</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212,217,855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3,916,328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2,518,767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83"/>
        </w:trPr>
        <w:tc>
          <w:tcPr>
            <w:tcW w:w="8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106,013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55,643</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8,632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(gains) on dispositions of property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9,163</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Straight-line rent adjustments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27,912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210,342</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project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Principal payments on loan receivable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of real estate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(2,940,490)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35,845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12,525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(2,927,122)</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(179,122)</w:t>
            </w:r>
          </w:p>
        </w:tc>
      </w:tr>
      <w:tr>
        <w:trPr>
          <w:trHeight w:val="229"/>
        </w:trPr>
        <w:tc>
          <w:tcPr>
            <w:tcW w:w="8360" w:type="dxa"/>
            <w:vAlign w:val="bottom"/>
            <w:gridSpan w:val="2"/>
          </w:tcPr>
          <w:p>
            <w:pPr>
              <w:ind w:left="180"/>
              <w:spacing w:after="0"/>
              <w:rPr>
                <w:sz w:val="20"/>
                <w:szCs w:val="20"/>
                <w:color w:val="auto"/>
              </w:rPr>
            </w:pPr>
            <w:r>
              <w:rPr>
                <w:rFonts w:ascii="Arial" w:cs="Arial" w:eastAsia="Arial" w:hAnsi="Arial"/>
                <w:sz w:val="18"/>
                <w:szCs w:val="18"/>
                <w:color w:val="auto"/>
                <w:w w:val="94"/>
              </w:rPr>
              <w:t>Proceeds from exercise of options, net of taxes paid related to shares withheld for tax purposes on restricted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stock award vestings</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54,527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825,198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2,337,000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(307,051)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2,698,644</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41,875</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29,510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23,739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Note15 to the condensed consolidated financial statements for supplemental cash flow information and noncash investing and financing activities.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United States ("U.S.") federal income tax return for its taxable year beginning on January 1, 2014 to be treated as a REIT and the Company, together with its indirect wholly-owned subsidiary of the Company,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result of the Spin-Off, GLPI owns substantially all of Penn’s former real property assets and leases back most of those assets to Penn for use by its subsidiaries, under a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leases these assets back to Pinnacle, under a triple-net lease with an initial term of 10 years (expiring April 30, 2026) with no purchase option, followed by five 5-year renewal options (exercisable by Pinnacle) on the same terms and conditions (the "Pinnacle Master Lease" and together with the Penn Master Lease, the "Master Leases").</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June 30, 2017,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June 30, 2017.</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GLPI expects to grow its portfolio by pursuing opportunities to acquire additional gaming facilities to lease to gaming operators under prudent terms. For example, on May 1, 2017 the Company purchased the real property assets of Bally's Casino Tunica and Resorts Casino Tunica (the "Tunica Properties") for $82.9 million. Penn purchased the operating assets of the Tunica Properties directly from the seller, operates both properties and leases the real property assets from the Company under the Penn Master Lease. The initial annual cash rent of $9.0 million for the Tunica Properties will be subject to rent escalators and adjustments consistent with the other properties under the Penn Master Lease. See Note 5 for additional information on the acquisition of the Tunica Properties.</w:t>
      </w:r>
    </w:p>
    <w:p>
      <w:pPr>
        <w:spacing w:after="0" w:line="18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7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order to conform to the current presentation of the statement of income, the Company combined certain line items on the condensed consolidated statements of income for the three and six months ended June 30, 2016. Specifically, the Company aggregated the former revenue line items gaming revenue and food, beverage and other revenue into the line item gaming, food, beverage and other revenues and aggregated the former expense line items gaming expenses and food, beverage and other expenses into the line item gaming, food, beverage and other expenses. These reclassifications were made only for presentation purposes and had no impact on the Company's financial results for the three and six months ended June 30, 2016.</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GLPI and its subsidiaries. All intercompany accounts and transactions have been eliminated in consolidation.</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Operating results for the three and six months ended June 30, 2017 are not necessarily indicative of the results that may be expected for the year ending December 31, 2017. The notes to the consolidated financial statements contained in our Annual Report on Form 10-K for the year ended December 31, 2016 (our "Annual Report") should be read in conjunction with these condensed consolidated financial statements. The December 31, 2016 financial information has been derived from the Company’s audited consolidated financial statements.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No. 2016-09, </w:t>
      </w:r>
      <w:r>
        <w:rPr>
          <w:rFonts w:ascii="Arial" w:cs="Arial" w:eastAsia="Arial" w:hAnsi="Arial"/>
          <w:sz w:val="16"/>
          <w:szCs w:val="16"/>
          <w:i w:val="1"/>
          <w:iCs w:val="1"/>
          <w:color w:val="auto"/>
        </w:rPr>
        <w:t>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(Topic 718): Improvements to Employee Share-Based Payment Accounting </w:t>
      </w:r>
      <w:r>
        <w:rPr>
          <w:rFonts w:ascii="Arial" w:cs="Arial" w:eastAsia="Arial" w:hAnsi="Arial"/>
          <w:sz w:val="16"/>
          <w:szCs w:val="16"/>
          <w:color w:val="auto"/>
        </w:rPr>
        <w:t>("ASU 2016-09"). This ASU amends certain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share-based payments to employees, including (i) requiring all income tax effects of share-based awards to be recognized in the income statement when the award vests or settles and eliminating APIC pools, (ii) permitting employers to withhold the share equivalent of an employee's maximum tax liability without triggering liability accounting and (iii) allowing companies to make a policy election to account for forfeitures as they occur. The Company adopted ASU 2016-09 on January 1, 2017 and it did not have a significant impact on how the Company accounts for share-based payments.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This ASU provides clarity about which changes to the terms or conditions of a share-based payment award require the application of modification accounting. Specifically, ASU 2017-09 clarifies that changes to the terms or conditions of an award should be accounted for as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and</w:t>
      </w:r>
    </w:p>
    <w:p>
      <w:pPr>
        <w:spacing w:after="0" w:line="2" w:lineRule="exact"/>
        <w:rPr>
          <w:sz w:val="20"/>
          <w:szCs w:val="20"/>
          <w:color w:val="auto"/>
        </w:rPr>
      </w:pPr>
    </w:p>
    <w:p>
      <w:pPr>
        <w:ind w:right="80" w:firstLine="8"/>
        <w:spacing w:after="0" w:line="254"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 ASU 2017-09 is effective for annual reporting periods beginning after December 15, 2017 and early adoption is permitted. The Company does not expect the adoption of ASU 2017-09 to significantly impact its accounting for share-based payment awards, as changes to awards' terms and conditions subsequent to the grant date are unusual and infrequent in nature.</w:t>
      </w:r>
    </w:p>
    <w:p>
      <w:pPr>
        <w:spacing w:after="0" w:line="19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periods beginning after December 15, 2019 and early adoption is permitted. The Company does not expect the adoption of ASU 2017-04 to significantly impact its goodwill impairment testing.</w:t>
      </w:r>
    </w:p>
    <w:p>
      <w:pPr>
        <w:spacing w:after="0" w:line="16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This ASU provides clarifying guidance on what constitutes a business acquisition versus an asset acquisition. Specifically, the new guidance lays out a screen to more easily determine if a set of integrated assets and activities does in fact represent a business. Under the ASU 2017-01, when substantially all of the fair value of the gross assets acquired is concentrated in a single identifiable asset or group of similar identifiable assets, the assets do not represent a business.</w:t>
      </w:r>
    </w:p>
    <w:p>
      <w:pPr>
        <w:spacing w:after="0" w:line="2" w:lineRule="exact"/>
        <w:rPr>
          <w:sz w:val="20"/>
          <w:szCs w:val="20"/>
          <w:color w:val="auto"/>
        </w:rPr>
      </w:pPr>
    </w:p>
    <w:p>
      <w:pPr>
        <w:ind w:right="520"/>
        <w:spacing w:after="0" w:line="290" w:lineRule="auto"/>
        <w:rPr>
          <w:sz w:val="20"/>
          <w:szCs w:val="20"/>
          <w:color w:val="auto"/>
        </w:rPr>
      </w:pPr>
      <w:r>
        <w:rPr>
          <w:rFonts w:ascii="Arial" w:cs="Arial" w:eastAsia="Arial" w:hAnsi="Arial"/>
          <w:sz w:val="17"/>
          <w:szCs w:val="17"/>
          <w:color w:val="auto"/>
        </w:rPr>
        <w:t>ASU 2017-01 is effective for annual reporting periods beginning after December 15, 2017. As a REIT, GLPI generally acquires only real estate assets; therefore it does not expect this clarifying language to have an impact on the Company's accounting treatment of its acquisitions.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30"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a Consensus of the FASB Emerging Issues Task Force </w:t>
      </w:r>
      <w:r>
        <w:rPr>
          <w:rFonts w:ascii="Arial" w:cs="Arial" w:eastAsia="Arial" w:hAnsi="Arial"/>
          <w:sz w:val="18"/>
          <w:szCs w:val="18"/>
          <w:color w:val="auto"/>
        </w:rPr>
        <w:t>("ASU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provides clarifying guidance on the presentation of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in the statement of cash flows. ASU 2016-15 is effective for annual reporting periods beginning after December 15, 2017, with early adoption permitted. The Company does not expect the adoption of ASU 2016-15 to impact its presentation of cash receipts and payments on its consolidated statements of cash flows.</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 </w:t>
      </w:r>
      <w:r>
        <w:rPr>
          <w:rFonts w:ascii="Arial" w:cs="Arial" w:eastAsia="Arial" w:hAnsi="Arial"/>
          <w:sz w:val="18"/>
          <w:szCs w:val="18"/>
          <w:color w:val="auto"/>
        </w:rPr>
        <w:t>("ASU 2016-13"). This ASU introduces a new model for estimating credit losses for certain types of financial instruments, including loans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net investments in direct financing leases,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ASU 2016-02 is effective for annual reporting periods beginning after December 15, 2018 and is required to be adopted on a modified retrospective basis, meaning the new leasing model will be applied to the earliest year presented in the financial statements and thereafter. The Company is evaluating the impact of adopting this new accounting standard on its financial statements but does not expect the adoption of the new guidance to have a significant impact on the accounting treatment of its triple-net tenant leases, which are the primary source of revenue to the Company. Generally speaking, ASU 2016-02 will more significantly impact the accounting for leases in which GLPI is the lessee by requiring the Company to record a right of use asset and lease liability on its books for these leases at adoption.</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This new standard will replace all current U.S. GAAP guidance on this topic and eliminate all industry-specific guidance. ASU 2014-09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At the April 1, 2015 FASB meeting, the board voted to defer the effective date for the new revenue recognition standard to annual reporting periods beginning after December 15, 2017. The pronouncement was originally effective for annual reporting periods beginning after December 15, 2016, and companies are permitted to elect the adoption of the standard as of the original effective date. When adopted, the new guidance can be applied either retrospectively to each period presented or as a cumulative-effect adjustment as of the date of adoption. The Company is evaluating the impact of adopting this new accounting standard on its financial statements and internal revenue recognition policies. The Company does not believe the majority of its revenue recognition policies will be impacted by the new standard, as leases (the source of the Company's majority of revenues) are excluded from ASU 2014-09. Currently, the Company believes only the accounting treatment for the customer loyalty programs at the TRS properties will be impacted by the adoption of ASU 2014-09. Specifically, the recognition of revenue associated with these points based programs will be impacted by eliminating the current accrual for the cost of the points awarded at the time of play and instead deferring an increased value of the revenue received from the customer at the time of play and attributed to the awarded points until a later period when the points are redeemed or forfeited. In addition, the Company believes that upon the adoption of ASU 2014-09, promotional allowances representing the retail value of food, beverages and other services furnished to guests without charge will no longer be presented as a separate line item on the consolidated statements of income.</w:t>
      </w:r>
    </w:p>
    <w:p>
      <w:pPr>
        <w:spacing w:after="0" w:line="17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Company's deferred compensation plan assets consist of open-ended mutual funds and as such the fair value measurement of the assets is considered a Level 1 measurement as defined under Accounting Standards Code ("ASC") 820 "Fair Value Measurements and Disclosures" ("ASC 820"). Deferred compensation plan assets are included within other assets on the condensed consolidated balance sheets.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fair value of the loan receivable approximates the carrying value of the Company's loan receivable, as collection on the outstanding loan balance is reasonably assured and the interest rate approximates market rates for a similar instrument. The fair value measurement of the loan receivable is considered a Level 3 measurement as defined under ASC 820.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senior unsecured notes and senior unsecured credit facility is estimated based on quoted prices in active markets and as such is a Level 1 measurement as defined under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June 30, 2017</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December 31, 2016</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080" w:type="dxa"/>
            <w:vAlign w:val="bottom"/>
            <w:gridSpan w:val="3"/>
          </w:tcPr>
          <w:p>
            <w:pPr>
              <w:jc w:val="center"/>
              <w:ind w:right="600"/>
              <w:spacing w:after="0" w:line="153" w:lineRule="exact"/>
              <w:rPr>
                <w:sz w:val="20"/>
                <w:szCs w:val="20"/>
                <w:color w:val="auto"/>
              </w:rPr>
            </w:pPr>
            <w:r>
              <w:rPr>
                <w:rFonts w:ascii="Arial" w:cs="Arial" w:eastAsia="Arial" w:hAnsi="Arial"/>
                <w:sz w:val="14"/>
                <w:szCs w:val="14"/>
                <w:b w:val="1"/>
                <w:bCs w:val="1"/>
                <w:color w:val="auto"/>
                <w:w w:val="97"/>
              </w:rPr>
              <w:t>Carrying</w:t>
            </w:r>
          </w:p>
        </w:tc>
        <w:tc>
          <w:tcPr>
            <w:tcW w:w="112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14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7"/>
              </w:rPr>
              <w:t>Carrying</w:t>
            </w: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0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1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29,510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29,510</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36,556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36,556</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20,150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17,593</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Loan receivable</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26,200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26,200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1,140,000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1,133,435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1,290,000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1,272,852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3,425,000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3,646,375</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3,425,000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3,573,500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condensed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recognizes income from tenants subject to direct financing leases ratably over the lease term using the effective interest rate method which produces a constant periodic rate of return on the net investment in the leased property. At lease inception, the Company records an asset which represents the Company's net investment in the direct financing lease. This initial net investment is determined by aggregating the total future minimum lease payments attributable to the direct financing lease and the estimated residual value of the property, less unearned income. Over the lease term, the investment in the direct financing lease is reduced and income is recognized for the building portion of rent. Furthermore, as the net investment in direct financing lease includes only future minimum lease payments, percentage rent that is not fixed and determinable at the lease inception is excluded from the determination of the rent attributable to the leased assets and will therefore be recorded as income from the direct financing lease in the period earned. For further detail on the Company's direct financing lease refer to Note 9.</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Additionally, in accordance with ASC 605, "Revenue Recognition," the Company records revenue for the real estate taxes paid by its tenants on the leased properties with an offsetting expense in real estate taxes within the condensed consolidated statement of income as the Company has concluded it is the primary obligor. Similarly, the Company records revenue for the ground lease rent paid by its tenants with an offsetting expense in general and administrative expense within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video lottery gaming revenue, and to a lesser extent, table game and poker revenue. Video lottery gaming revenue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Gaming revenue is recognized net of certain sales incentives in accordance with ASC 605-50, "Revenue Recognition— Customer Payments and Incentives." The Company records certain sales incentives and points earned in point-loyalty programs as a reduction of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and Admission Taxes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For the TRS Properties, the Company is subject to gaming and admission taxes based on gross gaming revenues in the jurisdictions in which it operates, as well as state gaming device fees, based upon a standard per game assessment. The Company recognizes gaming tax expense based on the statutorily required percentage of revenue that is required to be paid to state and local jurisdictions in the states where wagering occurs. Admission taxes are only assessed in Louisiana, while state gaming device fees are only assessed in Maryland. The Company records gaming and admission taxes at the Company’s estimated effective gaming tax rate for the year, considering estimated taxable gaming revenue and the applicable rates. Such estimates are adjusted each interim period. If gaming and admission tax rates change during the year, such changes are applied prospectively in the determination of gaming and admission tax expense in future interim periods. For the three and six months ended June 30, 2017, these expenses, which are primarily recorded within gaming expense in the condensed consolidated statements of income, totaled $14.8 million and $29.9 million, respectively, as compared to $15.2 million and $29.9 million for the three and six months ended June 30,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ASC 260, "Earnings per Share."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"Earnings per Share,"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six months ended June 30,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5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center"/>
              <w:ind w:left="634"/>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209,747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183,965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208,818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150,318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dilutive employee stock-based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Assumed conversion of restricted stock awards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Assumed conversion of performance-based restricted stock awards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211,802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186,982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210,824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153,030</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05"/>
        </w:trPr>
        <w:tc>
          <w:tcPr>
            <w:tcW w:w="11420" w:type="dxa"/>
            <w:vAlign w:val="bottom"/>
            <w:gridSpan w:val="12"/>
          </w:tcPr>
          <w:p>
            <w:pPr>
              <w:jc w:val="right"/>
              <w:ind w:right="132"/>
              <w:spacing w:after="0"/>
              <w:rPr>
                <w:sz w:val="20"/>
                <w:szCs w:val="20"/>
                <w:color w:val="auto"/>
              </w:rPr>
            </w:pPr>
            <w:r>
              <w:rPr>
                <w:rFonts w:ascii="Arial" w:cs="Arial" w:eastAsia="Arial" w:hAnsi="Arial"/>
                <w:sz w:val="18"/>
                <w:szCs w:val="18"/>
                <w:color w:val="auto"/>
                <w:w w:val="95"/>
              </w:rPr>
              <w:t>The following table presents the calculation of basic and diluted EPS for the Company’s common stock for the three and six months ended June 30,</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2017 and 2016:</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24"/>
                <w:szCs w:val="24"/>
                <w:color w:val="auto"/>
              </w:rPr>
            </w:pPr>
          </w:p>
        </w:tc>
        <w:tc>
          <w:tcPr>
            <w:tcW w:w="25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(in thousands, except per share data)</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96,334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73,264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190,325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106,013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96,175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73,094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190,010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105,712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209,747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183,965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96,334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211,802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186,982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210,824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153,030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0.69</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There were 3,887 and 13,486 outstanding equity based awards during the three and six months ended June 30, 2017, respectively, that were not included in the computation of diluted EPS because they were antidilutive. There were 111,818 and 139,445 outstanding equity based awards during the three and six months ended June 30, 2016, respectively, that were not included in the computation of diluted EPS because of being antidilutive.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accounts for stock compensation under ASC 718, "Compensation - Stock Compensation,"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2017, there was $7.9 million of total unrecognized compensation cost for restricted stock awards that will be recognized over the grants' remaining weighted average vesting period of 2.04 years. For the three and six months ended June 30, 2017, the Company recognized $1.4 million and $3.5 million, respectively, of compensation expense associated with these awards, compared to $1.9 million and $3.7 million for the three and six months ended June 30, 2016,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six months ended June 30, 2017:</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ind w:right="37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2016</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413,242</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184,391</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(249,001)</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June 30, 2017</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346,656</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return of the MSCI US REIT index and the Company's stock performance ranking among a group of triple-net REIT peer companies. The triple-net measurement group includes publicly traded REITS deriving at least 75% of revenues from triple-net leases. As of June 30, 2017, there was $14.8 million of total unrecognized compensation cost, which will be recognized over the performance-based restricted stock awards' remaining weighted average vesting period of 1.97 years. For the three and six months ended June 30, 2017, the Company recognized $2.4 million and $4.8 million, respectively, of compensation expense associated with these awards, compared to $2.7 million and $5.4 million for the three and six months ended June 30, 2016,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performance-based restricted stock award activity for the six months ended June 30, 2017:</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960" w:type="dxa"/>
            <w:vAlign w:val="bottom"/>
          </w:tcPr>
          <w:p>
            <w:pPr>
              <w:jc w:val="right"/>
              <w:ind w:right="115"/>
              <w:spacing w:after="0"/>
              <w:rPr>
                <w:sz w:val="20"/>
                <w:szCs w:val="20"/>
                <w:color w:val="auto"/>
              </w:rPr>
            </w:pPr>
            <w:r>
              <w:rPr>
                <w:rFonts w:ascii="Arial" w:cs="Arial" w:eastAsia="Arial" w:hAnsi="Arial"/>
                <w:sz w:val="14"/>
                <w:szCs w:val="14"/>
                <w:b w:val="1"/>
                <w:bCs w:val="1"/>
                <w:color w:val="auto"/>
              </w:rPr>
              <w:t>Number of Performance-</w:t>
            </w:r>
          </w:p>
        </w:tc>
      </w:tr>
      <w:tr>
        <w:trPr>
          <w:trHeight w:val="192"/>
        </w:trPr>
        <w:tc>
          <w:tcPr>
            <w:tcW w:w="3840" w:type="dxa"/>
            <w:vAlign w:val="bottom"/>
          </w:tcPr>
          <w:p>
            <w:pPr>
              <w:spacing w:after="0"/>
              <w:rPr>
                <w:sz w:val="16"/>
                <w:szCs w:val="16"/>
                <w:color w:val="auto"/>
              </w:rPr>
            </w:pPr>
          </w:p>
        </w:tc>
        <w:tc>
          <w:tcPr>
            <w:tcW w:w="19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Based Award Shares</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Outstanding at December 31, 2016</w:t>
            </w:r>
          </w:p>
        </w:tc>
        <w:tc>
          <w:tcPr>
            <w:tcW w:w="1960" w:type="dxa"/>
            <w:vAlign w:val="bottom"/>
          </w:tcPr>
          <w:p>
            <w:pPr>
              <w:jc w:val="right"/>
              <w:spacing w:after="0"/>
              <w:rPr>
                <w:sz w:val="20"/>
                <w:szCs w:val="20"/>
                <w:color w:val="auto"/>
              </w:rPr>
            </w:pPr>
            <w:r>
              <w:rPr>
                <w:rFonts w:ascii="Arial" w:cs="Arial" w:eastAsia="Arial" w:hAnsi="Arial"/>
                <w:sz w:val="18"/>
                <w:szCs w:val="18"/>
                <w:color w:val="auto"/>
              </w:rPr>
              <w:t>1,106,000</w:t>
            </w:r>
          </w:p>
        </w:tc>
      </w:tr>
      <w:tr>
        <w:trPr>
          <w:trHeight w:val="27"/>
        </w:trPr>
        <w:tc>
          <w:tcPr>
            <w:tcW w:w="38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558,000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Released</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840" w:type="dxa"/>
            <w:vAlign w:val="bottom"/>
          </w:tcPr>
          <w:p>
            <w:pPr>
              <w:ind w:left="20"/>
              <w:spacing w:after="0"/>
              <w:rPr>
                <w:sz w:val="20"/>
                <w:szCs w:val="20"/>
                <w:color w:val="auto"/>
              </w:rPr>
            </w:pPr>
            <w:r>
              <w:rPr>
                <w:rFonts w:ascii="Arial" w:cs="Arial" w:eastAsia="Arial" w:hAnsi="Arial"/>
                <w:sz w:val="18"/>
                <w:szCs w:val="18"/>
                <w:color w:val="auto"/>
              </w:rPr>
              <w:t>Outstanding at June 30, 2017</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1,664,000</w:t>
            </w:r>
          </w:p>
        </w:tc>
      </w:tr>
      <w:tr>
        <w:trPr>
          <w:trHeight w:val="20"/>
        </w:trPr>
        <w:tc>
          <w:tcPr>
            <w:tcW w:w="38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 2017, the Company acquired the real property assets of Bally's Casino Tunica and Resorts Casino Tunica for $82.9 million. The Company acquired both Bally's Casino Tunica and Resorts Casino Tunica, as well as the Resorts Hotel and land at Bally's Casino Tunica. Land rights to three long-term ground leases related to the Tunica Properties were also acquired in the transaction. The Company records revenue for the ground lease rent paid by its tenants with an offsetting expense in general and administrative expense within the condensed consolidated statement of income as the Company has concluded that as the lessee it is the primary obligor under these ground leases. As the primary obligor under these ground leases, the Company will record annual obligations of $2.7 million in its financial statements as both revenue and expense. However, the Company subleases these ground leases back to its tenants, who are responsible for payment directly to the landlord.</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Penn purchased the operating assets of the Tunica Properties directly from the seller, operates both properties and leases the real property assets from the Company under the Penn Master Lease. The initial annual cash rent of $9.0 million for the Tunica Properties will be subject to rent escalators and adjustments consistent with the other properties under the Penn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36 rental properties and the corporate headquarters building and is summarized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196"/>
        </w:trPr>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2,057,627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2,057,391</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2,461,572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2,438,581</w:t>
            </w: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Total real estate investments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4,519,202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4,495,972</w:t>
            </w: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(806,892)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(756,881)</w:t>
            </w:r>
          </w:p>
        </w:tc>
      </w:tr>
      <w:tr>
        <w:trPr>
          <w:trHeight w:val="257"/>
        </w:trPr>
        <w:tc>
          <w:tcPr>
            <w:tcW w:w="6120" w:type="dxa"/>
            <w:vAlign w:val="bottom"/>
          </w:tcPr>
          <w:p>
            <w:pPr>
              <w:ind w:left="40"/>
              <w:spacing w:after="0"/>
              <w:rPr>
                <w:sz w:val="20"/>
                <w:szCs w:val="20"/>
                <w:color w:val="auto"/>
              </w:rPr>
            </w:pPr>
            <w:r>
              <w:rPr>
                <w:rFonts w:ascii="Arial" w:cs="Arial" w:eastAsia="Arial" w:hAnsi="Arial"/>
                <w:sz w:val="18"/>
                <w:szCs w:val="18"/>
                <w:color w:val="auto"/>
              </w:rPr>
              <w:t>Real estate investments,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3,712,310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3,739,091</w:t>
            </w: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Land Rights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each ground lease, including all renewal options, which ranged from 25 years to 92 years at their respective acquisition dates. Land rights net, consists of the following:</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4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656,666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596,921</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(6,163)</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645,603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590,758</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Amortization expense related to the ground leases is recorded within general and administrative expenses in the condensed consolidated statements of income and totaled $2.6 million and $4.9 million for the three and six months ended June 30, 2017. Amortization expense related to the ground leases totaled $1.5 million for both the three and six months ended June 30,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2017, estimated future amortization expense related to the Company’s ground leases by fiscal year is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87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5,455</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2018</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87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596,508</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645,603</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130" w:right="3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in the TRS Properties:</w:t>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196"/>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30,965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117,518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117,350</w:t>
            </w:r>
          </w:p>
        </w:tc>
      </w:tr>
      <w:tr>
        <w:trPr>
          <w:trHeight w:val="27"/>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114,965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330</w:t>
            </w: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263,610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(144,183)</w:t>
            </w: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114,413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119,427</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Direct Financing Lease, Net</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Under ASC 840 - Leases ("ASC 840"), the Pinnacle Master Lease is bifurcated between an operating lease and a direct financing lease. The fair value assigned to the land (inclusive of the land rights) qualifies for operating lease treatment, while the fair value assigned to the buildings is classified as a direct financing lease. Under ASC 840, the accounting treatment for direct financing leases requires the Company to record an investment in direct financing leases on its books at lease inception and subsequently recognize interest income and a reduction in the investment for the building portion of rent. This initial net investment is determined by aggregating the total future minimum lease payments attributable to the direct financing lease and the estimated residual value of the property, less unearned income. The interest income recorded under the direct financing lease is included in income from direct financing lease in the Company's condensed consolidated statements of income and is recognized over the 35-year lease term using the effective interest rate method which produces a constant periodic rate of return on the net investment in the leased property. Furthermore, as the net investment in direct financing lease includes only future minimum lease payments, rent that is not fixed and determinable at the lease inception is excluded from the determination of the rent attributable to the leased assets and will therefore be recorded as income from direct financing lease in the period earned. The unguaranteed residual value is the Company's estimate of what it could realize upon the sale of the property at the end of the lease term.</w:t>
      </w:r>
    </w:p>
    <w:p>
      <w:pPr>
        <w:spacing w:after="0" w:line="17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net investment in the direct financing lease is evaluated for impairment as necessary, if indicators of impairment are present, to determine if there has been an-other-than-temporary decline in the residual value of the property or a change in the lessee's credit worthiness. At June 30, 2017, there were no indicators of a decline in the estimated residual value of the property and collectability of the remaining receivable balance is reasonably assured.</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Company's investment in direct financing lease, net, consists of the following and represents the building assets acquired from Pinnacle:</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r>
      <w:tr>
        <w:trPr>
          <w:trHeight w:val="196"/>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lease payments receivable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3,334,841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3,405,131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Unguaranteed residual value</w:t>
            </w:r>
          </w:p>
        </w:tc>
        <w:tc>
          <w:tcPr>
            <w:tcW w:w="22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689,811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689,811</w:t>
            </w: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investment in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4,024,652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4,094,942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(1,349,786)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(1,384,231)</w:t>
            </w: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direct financing lease,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2,674,866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2,710,711</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2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In January 2014, the Company completed the asset acquisition of the real property associated with the Casino Queen in East St. Louis, Illinois for $140.7 million. GLPI leases the property back to Casino Queen on a triple-net basis on terms similar to those in the Master Leases. The lease has an initial term of 15 years and the tenant has an option to renew it at the same terms and conditions for four successive five-year periods.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30"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w:t>
      </w:r>
    </w:p>
    <w:p>
      <w:pPr>
        <w:spacing w:after="0" w:line="292" w:lineRule="auto"/>
        <w:rPr>
          <w:sz w:val="20"/>
          <w:szCs w:val="20"/>
          <w:color w:val="auto"/>
        </w:rPr>
      </w:pPr>
      <w:r>
        <w:rPr>
          <w:rFonts w:ascii="Arial" w:cs="Arial" w:eastAsia="Arial" w:hAnsi="Arial"/>
          <w:sz w:val="16"/>
          <w:szCs w:val="16"/>
          <w:color w:val="auto"/>
        </w:rPr>
        <w:t>5.5 year term loan to CQ Holding Company, Inc., an affiliate of Casino Queen, to partially finance their acquisition of Lady Luck Casino in Marquette, Iowa. The cash proceeds were net settled. The new loan bears an interest rate of 15% and is pre-payable at any time. As of June 30, 2017, the balance of the new loan is $13.0 million. The collectability of the loan balance is reasonably assured, and as of June 30, 2017, there is no indication that the obligor will not remit all mandatory principal and interest payments in full and on time. The loan balance is recorded at carrying value which approximates fair value. Interest income related to the loan is recorded in interest income within the Company's condensed consolidated statements of income in the period earned.</w:t>
      </w:r>
    </w:p>
    <w:p>
      <w:pPr>
        <w:spacing w:after="0" w:line="1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term loan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825,000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$700 million revolver</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$550 million 4.375% senior unsecured notes due November 2018</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550,000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975,000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1,341</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4,566,286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4,716,341</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(51,376)</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 net of unamortized debt issuance costs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4,521,423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4,664,965</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June 30, 2017 (in thousands):</w:t>
      </w:r>
    </w:p>
    <w:p>
      <w:pPr>
        <w:spacing w:after="0" w:line="158"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2-3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865,246</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 years</w:t>
            </w:r>
          </w:p>
        </w:tc>
        <w:tc>
          <w:tcPr>
            <w:tcW w:w="10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2,225,271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1,475,654</w:t>
            </w:r>
          </w:p>
        </w:tc>
      </w:tr>
      <w:tr>
        <w:trPr>
          <w:trHeight w:val="27"/>
        </w:trPr>
        <w:tc>
          <w:tcPr>
            <w:tcW w:w="3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4,566,286</w:t>
            </w: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Company has a $1,825 million senior unsecured credit facility (the "Credit Facility"), consisting of a $700 million revolving credit facility, a $300 million Term Loan A facility, and an $825 million Term Loan A-1 facility. The revolving credit facility and the Term Loan A facility mature on October 28, 2018 and the Term Loan A-1 facility matures on April 28, 2021.</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At June 30, 2017, the Credit Facility had a gross outstanding balance of $1,140 million, consisting of the $1,125 million Term Loan A and A-1 facilities and $15 million of borrowings under the revolving credit facility. Additionally, at June 30, 2017, the Company was contingently obligated under letters of credit issued pursuant to the senior unsecured credit facility with face amounts aggregating approximately $0.4 million, resulting in $684.6 million of available borrowing capacity under the revolving credit facility as of June 30, 2017.</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value ratio, a maximum senior secured debt to total asset value ratio, a maximum ratio of certain recourse debt to unencumbered asset value and a minimum fixed charge coverage ratio. In addition, GLPI is required to maintain a minimum tangible net worth and its status as a REIT on and after the effective date of its election to be treated as a REIT, which the Company elected on its 2014 U.S. federal income tax return.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June 30, 2017, the Company was in compliance with all required financial covenants under the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Each of the 4.375% Senior Unsecured Notes due 2018 (the "2018 Notes"), 4.875% Senior Unsecured Notes due 2020 (the "2020 Notes"), 4.375% Senior Unsecured Notes due 2021 (the "2021 Notes"), 5.375% Senior Unsecured Notes due 2023 (the "2023 Notes"), and 5.375% Senior Unsecured Notes due 2026 (the "2026 Notes") and collectively with the 2018 Notes, 2020 Notes, 2021 Notes and 2023 Notes, 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2017,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3"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Recognition</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June 30, 2017, 20 of the Company’s real estate investment properties were leased to a subsidiary of Penn under the Penn Master Lease and 14 of the Company's real estate investment properties were leased to a subsidiary of Pinnacle under the Pinnacle Master Lease. The obligations under the Penn and Pinnacle Master Leases are guaranteed by Penn and Pinnacle, respectively and by most of Penn's and Pinnacle's subsidiaries that occupy and operate the facilities leased under the respective Master Leases. A default by Penn or its subsidiaries with regard to any facility will cause a default with regard to the Penn Master Lease and a default by Pinnacle or its subsidiaries with regard to any facility will cause a default with regard to the Pinnacle Master Lease. Additionally, the Meadows real estate assets are leased to Pinnacle under a single property triple-net lease separate from the Pinnacle Master Lease. GLPI also leases the Casino Queen property back to its operator on a triple-net basis on terms similar to those in the Master Leases (the "Casino Queen Lease").</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preceding five years, and (ii) monthly by an amount equal to 20% of the change in net revenues of Hollywood Casino Columbus and Hollywood Casino Toledo during the preceding month.</w:t>
      </w:r>
    </w:p>
    <w:p>
      <w:pPr>
        <w:spacing w:after="0" w:line="170"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Similar to the Penn Master Lease, the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Pinnacle Master Lease during the preceding two years.</w:t>
      </w:r>
    </w:p>
    <w:p>
      <w:pPr>
        <w:spacing w:after="0" w:line="187" w:lineRule="exact"/>
        <w:rPr>
          <w:sz w:val="20"/>
          <w:szCs w:val="20"/>
          <w:color w:val="auto"/>
        </w:rPr>
      </w:pPr>
    </w:p>
    <w:p>
      <w:pPr>
        <w:ind w:firstLine="693"/>
        <w:spacing w:after="0" w:line="293" w:lineRule="auto"/>
        <w:rPr>
          <w:sz w:val="20"/>
          <w:szCs w:val="20"/>
          <w:color w:val="auto"/>
        </w:rPr>
      </w:pPr>
      <w:r>
        <w:rPr>
          <w:rFonts w:ascii="Arial" w:cs="Arial" w:eastAsia="Arial" w:hAnsi="Arial"/>
          <w:sz w:val="16"/>
          <w:szCs w:val="16"/>
          <w:color w:val="auto"/>
        </w:rPr>
        <w:t>GLPI leases the Meadows real property assets to Pinnacle under a triple-net operating lease separate from the Pinnacle Master Lease with an initial term of 10 years with no purchase option and the option to renew for three successive 5-year terms and one 4-year term, at Pinnacle's option (the "Meadows Lease"). The Meadows Lease contains a fixed component, subject to annual escalators, and a component that is based on the performance of the facility, which is reset every two years to a fixed amount determined by multiplying (i) 4% by (ii) the average annual net revenues of the facility for the trailing two 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 fixed amount equal to the greater of (i) the annual amount of non-fixed rent applicable for the lease year immediately preceding such rent reset year and (ii) an amount equal to 4% of the average annual net revenues of the facility for the trailing five year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4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determined, based on facts and circumstances prevailing at the time of each lease's inception, that neither Penn, Pinnacle (excluding the Meadows lease as described below) nor Casino Queen could effectively operate and run their respective business without the properties that are leased to it under the respective lease agreements with GLPI. Furthermore, at lease inception, all of Casino Queen's revenues and substantially all of Penn's and Pinnacle's revenues were generated from operations in connection with the leased properties. There are also various legal restrictions in the jurisdictions in which Penn, Pinnacle and Casino Queen operate that limit the availability and location of gaming facilities, which makes relocation or replacement of the leased gaming facilities restrictive and potentially impracticable or unavailable. Moreover, under the terms of the Penn and Pinnacle Master Leases, Penn and Pinnacle must make their renewal election with respect to all of the leased property together; the tenant is not entitled to selectively renew certain of the leased property while not renewing other property. Accordingly, the Company concluded that failure by Penn, Pinnacle or Casino Queen to renew the lease would impose a significant penalty on such tenant such that renewal of all lease renewal options appears at lease inception to be reasonably assured. Therefore, the Company concluded that the term of the leases with both Penn and Casino Queen is 35 years, equal to the initial 15 year term plus all four of the 5-year renewal options. The lease term of the Pinnacle Master Lease is also 35 years, equal to the initial 10 year term plus all five of the 5-year renewal options.</w:t>
      </w:r>
    </w:p>
    <w:p>
      <w:pPr>
        <w:spacing w:after="0" w:line="18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As described above, subsequent to purchasing the majority of Pinnacle's real estate assets and leasing them back to Pinnacle, GLPI entered into a separate triple-net lease with Pinnacle to lease the newly acquired Meadows real estate assets to Pinnacle. Because this lease involves only a single property within Pinnacle's portfolio, GLPI concluded it was not reasonably assured at lease inception that Pinnacle would elect to exercise all lease renewal options. The Company concluded that failure by Pinnacle to renew the Meadows lease would not impose a significant penalty on such tenant as this property's operations represent only an incremental portion of Pinnacle's total business at lease inception. Therefore, the Company concluded that the lease term of the Meadows lease is 10 years, equal to the initial 10-year term only.</w:t>
      </w:r>
    </w:p>
    <w:p>
      <w:pPr>
        <w:spacing w:after="0" w:line="178"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Gaming revenue generated by the TRS Properties mainly consists of video lottery gaming revenue, and to a lesser extent, table game and poker revenue. Video lottery gaming revenue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counter checks (markers), and front money that are removed from the live gaming tables. Additionally, food and beverage revenue is recognized as services are performed.</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Gaming revenue is recognized net of certain sales incentives in accordance with ASC 605-50, "Revenue Recognition— Customer Payments and Incentives." The Company records certain sales incentives and points earned in point-loyalty programs as a reduction of revenue.</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discloses the components of gaming, food, beverage and other revenue within the condensed consolidated statements of income for the three and six months ended June 30, 2017 and 2016:</w:t>
      </w:r>
    </w:p>
    <w:p>
      <w:pPr>
        <w:sectPr>
          <w:pgSz w:w="11900" w:h="16838" w:orient="portrait"/>
          <w:cols w:equalWidth="0" w:num="1">
            <w:col w:w="11420"/>
          </w:cols>
          <w:pgMar w:left="240" w:top="130" w:right="239" w:bottom="1440" w:gutter="0" w:footer="0" w:header="0"/>
        </w:sectPr>
      </w:pPr>
    </w:p>
    <w:p>
      <w:pPr>
        <w:spacing w:after="0" w:line="392"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38100</wp:posOffset>
            </wp:positionV>
            <wp:extent cx="1972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2"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38100</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40" w:space="720"/>
            <w:col w:w="246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Video lottery</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30,318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30,765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62,016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Table game</w:t>
            </w:r>
          </w:p>
        </w:tc>
        <w:tc>
          <w:tcPr>
            <w:tcW w:w="5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4,451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9,191</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Poker</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Food, beverage and other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5,608</w:t>
            </w:r>
          </w:p>
        </w:tc>
      </w:tr>
      <w:tr>
        <w:trPr>
          <w:trHeight w:val="27"/>
        </w:trPr>
        <w:tc>
          <w:tcPr>
            <w:tcW w:w="5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Total gaming, food, beverage and other revenue, net of cash incentives $</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37,489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38,371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76,749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76,530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retail value of food and beverage and other services furnished to guests without charge is included in gross revenues and then deducted as promotional allowances.</w:t>
      </w:r>
    </w:p>
    <w:p>
      <w:pPr>
        <w:spacing w:after="0" w:line="16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August 2016, the Company commenced a continuous equity offering under which the Company may sell up to an aggregate of $400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for proposed transactions.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$400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83"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During the three months ended June 30, 2017, GLPI sold 3,864,872 shares of its common stock at an average price of $36.22 per share under the ATM Program, which generated gross proceeds of approximately $140.0 million (net proceeds of approximately $139.4 million). Program to date, the Company has sold 5,186,871 shares of its common stock at an average price of $35.91 per share under the ATM Program and generated gross proceeds of approximately $186.3 million (net proceeds of approximately $185.0 million). The Company used the net proceeds from the ATM Program to partially fund its acquisition of the Meadows' and Tunica real estate assets. As of June 30, 2017, the Company had $213.7 million remaining for issuance under the ATM Program and had not entered into any forward sale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lists the dividends declared and paid by the Company during the six months ended June 30, 2017 and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Shareholder Record</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Declaration Date</w:t>
            </w:r>
          </w:p>
        </w:tc>
        <w:tc>
          <w:tcPr>
            <w:tcW w:w="18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b w:val="1"/>
                <w:bCs w:val="1"/>
                <w:color w:val="auto"/>
              </w:rPr>
              <w:t>Date</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8"/>
              </w:rPr>
              <w:t>Class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231"/>
        </w:trPr>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February 1, 2017</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March 13, 2017</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2017</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24,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129,007</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April 25, 2017</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16, 2017</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2017</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131,554</w:t>
            </w:r>
          </w:p>
        </w:tc>
      </w:tr>
      <w:tr>
        <w:trPr>
          <w:trHeight w:val="324"/>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January 29, 2016</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February 22, 2016</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2016</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25, 2016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65,345</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April 25, 2016</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 2016</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2016</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17, 2016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113,212</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for the three and six months ended June 30, 2017, dividend payments were made to GLPI restricted stock award holders in the amount of $0.2 million and $0.5 million, respectively, as compared to $0.3 million and $0.6 million for the three and six months ended June 30,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Consistent with how the Company’s Chief Operating Decision Maker reviews and assesses the Company’s financial performance, the Company has two reportable segments, GLP Capital, L.P. (a wholly-owned subsidiary of GLPI through which GLPI owns substantially all of its assets) ("GLP Capital") and the TRS Properties. The GLP Capital reportable segment consists of the leased real property and represents the majority of the Company’s business. The TRS Properties reportable segment consists of Hollywood Casino Perryville and Hollywood Casino Baton Rouge.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1"/>
                <w:szCs w:val="11"/>
                <w:b w:val="1"/>
                <w:bCs w:val="1"/>
                <w:color w:val="auto"/>
                <w:w w:val="89"/>
              </w:rPr>
              <w:t>Three Months Ended June 30, 2017</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9"/>
              </w:rPr>
              <w:t>Three Months Ended June 30, 2016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5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4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GLP Capital</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40" w:type="dxa"/>
            <w:vAlign w:val="bottom"/>
          </w:tcPr>
          <w:p>
            <w:pPr>
              <w:spacing w:after="0"/>
              <w:rPr>
                <w:sz w:val="21"/>
                <w:szCs w:val="21"/>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Net revenues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207,119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36,272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243,391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170,405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36,956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207,361</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from operations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145,401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7,295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152,696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113,546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7,271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120,817</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45,284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45,282</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93,832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4,694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98,526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70,864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4,671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75,535</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2,271</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93,590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2,744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70,654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2,610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73,264</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25,626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24,197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27,019</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w w:val="98"/>
              </w:rPr>
              <w:t>Capital project expenditures, net of reimbursements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Capital maintenance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835</w:t>
            </w:r>
          </w:p>
        </w:tc>
      </w:tr>
      <w:tr>
        <w:trPr>
          <w:trHeight w:val="383"/>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w w:val="88"/>
              </w:rPr>
              <w:t>Six Months Ended June 30, 2017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8"/>
              </w:rPr>
              <w:t>Six Months Ended June 30, 2016</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5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4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40" w:type="dxa"/>
            <w:vAlign w:val="bottom"/>
          </w:tcPr>
          <w:p>
            <w:pPr>
              <w:spacing w:after="0"/>
              <w:rPr>
                <w:sz w:val="21"/>
                <w:szCs w:val="21"/>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Net revenues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411,824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74,280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486,104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282,447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73,734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356,181</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from operations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287,435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15,267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302,702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174,316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14,138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188,454</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78,166</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184,981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10,066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195,047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101,351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8,937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110,288</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4,275</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184,369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5,956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190,325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100,755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5,258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106,013</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48,409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54,102</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Capital project expenditures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269</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Capital maintenance expenditures</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1,197</w:t>
            </w:r>
          </w:p>
        </w:tc>
      </w:tr>
      <w:tr>
        <w:trPr>
          <w:trHeight w:val="22"/>
        </w:trPr>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right="340" w:firstLine="332"/>
        <w:spacing w:after="0" w:line="363" w:lineRule="auto"/>
        <w:tabs>
          <w:tab w:leader="none" w:pos="671" w:val="left"/>
        </w:tabs>
        <w:numPr>
          <w:ilvl w:val="0"/>
          <w:numId w:val="13"/>
        </w:numPr>
        <w:rPr>
          <w:rFonts w:ascii="Arial" w:cs="Arial" w:eastAsia="Arial" w:hAnsi="Arial"/>
          <w:sz w:val="11"/>
          <w:szCs w:val="11"/>
          <w:color w:val="auto"/>
        </w:rPr>
      </w:pPr>
      <w:r>
        <w:rPr>
          <w:rFonts w:ascii="Arial" w:cs="Arial" w:eastAsia="Arial" w:hAnsi="Arial"/>
          <w:sz w:val="16"/>
          <w:szCs w:val="16"/>
          <w:color w:val="auto"/>
        </w:rPr>
        <w:t>Amounts in the "Eliminations" column represent the elimination of intercompany interest payments from the Company’s TRS Properties business segment to its GLP Capital business segment.</w:t>
      </w:r>
    </w:p>
    <w:p>
      <w:pPr>
        <w:sectPr>
          <w:pgSz w:w="11900" w:h="16838" w:orient="portrait"/>
          <w:cols w:equalWidth="0" w:num="1">
            <w:col w:w="11420"/>
          </w:cols>
          <w:pgMar w:left="240" w:top="130" w:right="239" w:bottom="1095"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095"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Disclosures of Cash Flow Information and Noncash Activities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58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6"/>
        </w:trPr>
        <w:tc>
          <w:tcPr>
            <w:tcW w:w="5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paid for income taxes, net of refunds received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6,424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6,424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3,030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93,874</w:t>
            </w: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55,732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102,613</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58,301</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29"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In April 2016, the Company acquired substantially all of the real estate assets of Pinnacle for approximately $4.8 billion. In addition to the cash consideration paid to Pinnacle, the Company also issued equity to partially finance the transaction. The Company issued shares of common stock with an aggregate value of $1.824 billion (approximately 56.0 million shares of common stock) in partial exchange for the assets acquired.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Supplementary Condensed Consolidating Financial Information of Parent Guarantor and Subsidiary Issuers</w:t>
      </w:r>
    </w:p>
    <w:p>
      <w:pPr>
        <w:spacing w:after="0" w:line="2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GLPI guarantees the Notes issued by its subsidiaries, GLP Capital, L.P.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subsidiaries guarantee the Notes.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Summarized balance sheets as of June 30, 2017 and December 31, 2016, statements of income for the three and six months ended June 30, 2017 and 2016 and statements of cash flows for the six months ended June 30, 2017 and 2016 for GLPI as the parent guarantor, for GLP Capital, L.P. and GLP Financing II, Inc. as the subsidiary issuers and the other subsidiary non-issuers is presented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June 30, 2017</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1,841,065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1,871,245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3,712,310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645,603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21,592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92,821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114,413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2,674,866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2,674,866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23,975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29,510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2,518,767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5,146,315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3,028,209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(10,693,291)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44,054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28,741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72,795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2,518,767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7,313,263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8,411,324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(10,886,134)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7,357,220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33,172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33,172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24,186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25,097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49,283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4,521,423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4,521,423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191,364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7,426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198,790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20,252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22,865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4,794,498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236,798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4,838,453</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June 30, 2017)</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7"/>
              </w:rPr>
              <w:t>authorized, 212,217,855 shares issued at June 30, 2017)</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3,916,328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3,916,330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9,480,631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(13,396,961)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3,916,328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(1,399,683)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(1,399,687)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(1,308,227)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2,707,914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(1,399,683)</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2,518,767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2,518,765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8,174,526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(10,693,291)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2,518,767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2,518,767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7,313,263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8,411,324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(10,886,134)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7,357,220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16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Non-Issuers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99,647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68,116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167,763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10,927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20,840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Total rental revenue and income from direct financing lease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207,119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37,489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243,391</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10,946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20,912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28,423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90,695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65,530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87,166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152,696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52,889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(54,170)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118,419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98,526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118,177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90,101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96,334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197,399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135,525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332,924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22,083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42,560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Total rental revenue and 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411,824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76,749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76,749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488,573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266,622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486,104</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22,129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43,055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41,922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46,698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56,680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93,032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183,402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129,112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173,590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302,702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(108,606)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223,319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114,713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(107,655)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243,825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180,062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195,047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243,213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175,952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190,325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243,213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175,952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190,325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61,580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32,738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Intercompany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193,828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292,240</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real estate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(82,866)</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20"/>
              <w:spacing w:after="0"/>
              <w:rPr>
                <w:sz w:val="20"/>
                <w:szCs w:val="20"/>
                <w:color w:val="auto"/>
              </w:rPr>
            </w:pPr>
            <w:r>
              <w:rPr>
                <w:rFonts w:ascii="Arial" w:cs="Arial" w:eastAsia="Arial" w:hAnsi="Arial"/>
                <w:sz w:val="18"/>
                <w:szCs w:val="18"/>
                <w:color w:val="auto"/>
                <w:w w:val="97"/>
              </w:rPr>
              <w:t>Collection of principal payments on investment in direct financing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lease</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35,845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35,845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(35,605)</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(261,071)</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exercise of options, net of taxes paid related to</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shares withheld for tax purposes on restricted stock award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vestings</w:t>
            </w: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8,065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7"/>
              </w:rPr>
              <w:t>Proceeds from issuance of common stock, net of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139,380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(250,055)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113,626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228,840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228,840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(263,681)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23,975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29,510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2016</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1,863,568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1,875,523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3,739,091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590,758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96,829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119,427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2,710,711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2,710,711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11,774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5,211,835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2,947,915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(10,593,619)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50,090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7,343,811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8,378,122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(10,786,472)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33,743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4,664,965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4,664,965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163,204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166,052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4,909,942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4,935,461</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(deficit) equity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December 31, 2016)</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207,676,827 shares issued at December 31, 2016)</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3,760,730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3,760,730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9,338,083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(13,098,814)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3,760,729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(1,328,938)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(1,180,410)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2,509,349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(1,328,937)</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shareholders’ (deficit) equity</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8,159,750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(10,593,619)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(deficit)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7,343,811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8,378,122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(10,786,472)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7,369,330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2016</w:t>
            </w:r>
          </w:p>
        </w:tc>
        <w:tc>
          <w:tcPr>
            <w:tcW w:w="18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8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Issuers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96,066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46,035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142,101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15,673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38,371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38,371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208,776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102,714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207,361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16,075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27,019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86,544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58,781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62,036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120,817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50,091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12,383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108,872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74,419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(107,756)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75,535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108,662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72,358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73,264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79"/>
              </w:rPr>
              <w:t>28</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2016</w:t>
            </w:r>
          </w:p>
        </w:tc>
        <w:tc>
          <w:tcPr>
            <w:tcW w:w="1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192,738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49,578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242,316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282,447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76,530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76,530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358,977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Less promotional allowances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212,634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143,547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356,181</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42,176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8,355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28,282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43,167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46,887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54,102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95,865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71,862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167,727</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116,769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71,685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188,454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26,434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18,299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(78,166)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143,203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89,984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(122,899)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110,288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142,607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86,305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106,013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2016</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142,607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86,305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(122,899)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106,013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46,887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8,756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55,643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Gains on dispositions of property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27,912</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20"/>
              <w:spacing w:after="0"/>
              <w:rPr>
                <w:sz w:val="20"/>
                <w:szCs w:val="20"/>
                <w:color w:val="auto"/>
              </w:rPr>
            </w:pPr>
            <w:r>
              <w:rPr>
                <w:rFonts w:ascii="Arial" w:cs="Arial" w:eastAsia="Arial" w:hAnsi="Arial"/>
                <w:sz w:val="18"/>
                <w:szCs w:val="18"/>
                <w:color w:val="auto"/>
              </w:rPr>
              <w:t>Intercompany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12,352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252,371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210,342</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real estate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(2,940,490)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(2,940,490)</w:t>
            </w:r>
          </w:p>
        </w:tc>
        <w:tc>
          <w:tcPr>
            <w:tcW w:w="0" w:type="dxa"/>
            <w:vAlign w:val="bottom"/>
          </w:tcPr>
          <w:p>
            <w:pPr>
              <w:spacing w:after="0"/>
              <w:rPr>
                <w:sz w:val="1"/>
                <w:szCs w:val="1"/>
                <w:color w:val="auto"/>
              </w:rPr>
            </w:pPr>
          </w:p>
        </w:tc>
      </w:tr>
      <w:tr>
        <w:trPr>
          <w:trHeight w:val="229"/>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Collection of principal payments on investment in direct financing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lease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12,525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12,525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(2,926,954)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(2,927,122)</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(179,122)</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Proceeds from exercise of options</w:t>
            </w: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54,527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54,527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825,198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825,198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2,337,000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2,337,000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Financing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Payments of long-term debt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(307,051)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Intercompany financing</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(2,254,120)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2,831,824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(256,079)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2,831,824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122,899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2,698,644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33,159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41,875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23,739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Subsequent to June 30, 2017, the Company repaid the remaining $15 million outstanding on the revolving credit facility. Additionally, the Company paid down $45 million of outstanding indebtedness on the Term Loan A.</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July 25, 2017, the Company declared its third quarter dividend of $0.63 per common share, payable on September 22, 2017 to shareholders of record on September 8, 2017.</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30" w:right="3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Company elected on its U.S. federal income tax return for its taxable year beginning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As a result of the Spin-Off, GLPI owns substantially all of Penn's former real property assets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 In April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w:t>
      </w:r>
    </w:p>
    <w:p>
      <w:pPr>
        <w:spacing w:after="0" w:line="10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June 30, 2017,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June 30, 2017.</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expect to grow our portfolio by pursuing opportunities to acquire additional gaming facilities to lease to gaming operators under prudent terms. For example, on May 1, 2017 the Company purchased the real property assets of Bally's Casino Tunica and Resorts Casino Tunica (the "Tunica Properties") for $82.9 million. Penn purchased the operating assets of the Tunica Properties directly from the seller, operates both properties and leases the real property assets from the Company under the Penn Master Lease. The initial annual cash rent of $9.0 million for the Tunica Properties will be subject to rent escalators and adjustments consistent with the other properties under the Penn Master Lease.</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we believe we have the ability to leverage the expertise our management team has developed over the years to secure additional avenues for growth beyond the gaming industry. Accordingly, we anticipate we will be able to effect strategic acquisitions unrelated to the gaming industry as well as other acquisitions that may prove complementary to GLPI’s gaming facilities.</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June 30, 2017, the majority of our earnings are the result of the rental revenues we receive from our triple-net Master Leases with Penn and Pinnacle. Additionally, we have rental revenue from the Casino Queen property which is leased back to a third party operator on a triple-net basis and the Meadows property which is leased to Pinnacle under a triple-net lease separate from the Pinnacle Master Lease. In addition to rent, the tenants are required to pay the following executory costs: (1) all facility maintenance, (2) all insurance required in connection with the leased properties and the business conducted on the leased properties,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Additionally, in accordance with ASC 605, we record revenue for the real estate taxes paid by our tenants on the leased properties with an offsetting expense in general and administrative expense within the condensed consolidated statement of income, as we believe we are the primary obligor. Similarly, we record revenue for the ground lease rent paid by our tenants with an offsetting expense in general and administrative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30"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firstLine="693"/>
        <w:spacing w:after="0" w:line="264"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reported net revenues and income from operations of $243.4 million and $152.7 million, respectively, for the three months ended June 30, 2017, compared to $207.4 million and $120.8 million, respectively, for the corresponding period in the prior year. We reported net revenues and income from operations of $486.1 million and $302.7 million, respectively, for the six months ended June 30, 2017, compared to $356.2 million and $188.5 million, respectively, for the corresponding period in the prior year.</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major factors affecting our results for the three and six months ended June 30, 2017, as compared to the three and six months ended June 30, 2016, were:</w:t>
      </w:r>
    </w:p>
    <w:p>
      <w:pPr>
        <w:spacing w:after="0" w:line="170" w:lineRule="exact"/>
        <w:rPr>
          <w:sz w:val="20"/>
          <w:szCs w:val="20"/>
          <w:color w:val="auto"/>
        </w:rPr>
      </w:pPr>
    </w:p>
    <w:p>
      <w:pPr>
        <w:ind w:left="660" w:hanging="328"/>
        <w:spacing w:after="0" w:line="289"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April 2016, we acquired substantially all of Pinnacle's real estate assets. These assets are leased back to Pinnacle under a Master Lease which is bifurcated between an operating lease and a direct financing lease, resulting in the recognition of rental income for the land assets leased to Pinnacle and income from a direct financing lease for the building assets leased to Pinnacle. Additionally, during September 2016, we acquired the real estate assets of the Meadows and leased these assets to Pinnacle under a single property triple-net lease and during May 2017, we acquired the Tunica Properties and leased these assets to Penn under the Penn Master Lease. Rental revenue and income from the direct financing lease were $207.1 million and $411.8 million for the three and six months ended June 30, 2017 and $170.4 million and $282.4 million for the three and six months ended June 30, 2016. Rental revenue and income from the direct financing lease increased by $36.7 million and $129.4 million and for the three and six months ended June 30, 2017, as compared to the corresponding periods in the prior year, primarily due to the Pinnacle transaction which increased rental income, income from the direct financing lease and the revenue recorded for real estate taxes paid by our tenants.</w:t>
      </w:r>
    </w:p>
    <w:p>
      <w:pPr>
        <w:spacing w:after="0" w:line="166" w:lineRule="exact"/>
        <w:rPr>
          <w:rFonts w:ascii="Arial" w:cs="Arial" w:eastAsia="Arial" w:hAnsi="Arial"/>
          <w:sz w:val="16"/>
          <w:szCs w:val="16"/>
          <w:color w:val="auto"/>
        </w:rPr>
      </w:pPr>
    </w:p>
    <w:p>
      <w:pPr>
        <w:ind w:left="660" w:right="20" w:hanging="328"/>
        <w:spacing w:after="0" w:line="27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revenues for our TRS Properties decreased by $0.7 million for the three months ended June 30, 2017 as compared to the corresponding period in the prior year primarily due to decreased food and beverage revenues at Hollywood Casino Perryville due to outsourcing the operation of its food outlets during the first quarter of 2017 as well as decreased gaming revenues, partially offset by increased gaming revenues at Hollywood Casino Baton Rouge. Net revenues for our TRS Properties increased by $0.5 million for the six months ended June 30, 2017 as compared to the corresponding period in the prior year primarily due to increased gaming revenues at Hollywood Casino Baton Rouge, partially offset by lower food and beverage and gaming revenues at Hollywood Casino Perryville.</w:t>
      </w:r>
    </w:p>
    <w:p>
      <w:pPr>
        <w:spacing w:after="0" w:line="178" w:lineRule="exact"/>
        <w:rPr>
          <w:rFonts w:ascii="Arial" w:cs="Arial" w:eastAsia="Arial" w:hAnsi="Arial"/>
          <w:sz w:val="17"/>
          <w:szCs w:val="17"/>
          <w:color w:val="auto"/>
        </w:rPr>
      </w:pPr>
    </w:p>
    <w:p>
      <w:pPr>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Total operating expenses increased by $4.2 million and $15.7 million, respectively, for the three and six months ended June 30, 2017, as compared to the corresponding periods in the prior year, driven by an increase in real estate tax expense, primarily as a result of the addition of the Pinnacle and Meadows properties to our real estate portfolio. This real estate tax expense is offset in our revenues as described above.</w:t>
      </w:r>
    </w:p>
    <w:p>
      <w:pPr>
        <w:spacing w:after="0" w:line="165" w:lineRule="exact"/>
        <w:rPr>
          <w:rFonts w:ascii="Arial" w:cs="Arial" w:eastAsia="Arial" w:hAnsi="Arial"/>
          <w:sz w:val="17"/>
          <w:szCs w:val="17"/>
          <w:color w:val="auto"/>
        </w:rPr>
      </w:pPr>
    </w:p>
    <w:p>
      <w:pPr>
        <w:ind w:left="660" w:right="4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expenses, net increased by $8.9 million and $29.5 million, respectively, for the three and six months ended June 30, 2017, as compared to the corresponding periods in the prior year, driven by increases in interest expense related to the Company's April 2016 borrowings, which were utilized to finance the Pinnacle transaction.</w:t>
      </w:r>
    </w:p>
    <w:p>
      <w:pPr>
        <w:spacing w:after="0" w:line="181"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increased by $23.1 million and $84.3 million, respectively, for the three and six months ended June 30, 2017, as compared to the corresponding periods in the prior year, primarily due to the variances explained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30"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likely to have an impact on us by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 Capital</w:t>
      </w:r>
    </w:p>
    <w:p>
      <w:pPr>
        <w:spacing w:after="0" w:line="225" w:lineRule="exact"/>
        <w:rPr>
          <w:sz w:val="20"/>
          <w:szCs w:val="20"/>
          <w:color w:val="auto"/>
        </w:rPr>
      </w:pPr>
    </w:p>
    <w:p>
      <w:pPr>
        <w:ind w:left="660" w:right="100" w:hanging="328"/>
        <w:spacing w:after="0" w:line="259"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On May 1, 2017 the Company purchased the real property assets of Bally's Casino Tunica and Resorts Casino Tunica for $82.9 million. Penn purchased the operating assets of the Tunica Properties directly from the seller, operates both properties and leases the real property assets from the Company under the Penn Master Lease. The initial annual cash rent of $9.0 million for the Tunica Properties will be subject to rent escalators and adjustments consistent with the other properties under the Penn Master Lease.</w:t>
      </w:r>
    </w:p>
    <w:p>
      <w:pPr>
        <w:spacing w:after="0" w:line="186" w:lineRule="exact"/>
        <w:rPr>
          <w:rFonts w:ascii="Arial" w:cs="Arial" w:eastAsia="Arial" w:hAnsi="Arial"/>
          <w:sz w:val="18"/>
          <w:szCs w:val="18"/>
          <w:i w:val="1"/>
          <w:iCs w:val="1"/>
          <w:color w:val="auto"/>
        </w:rPr>
      </w:pPr>
    </w:p>
    <w:p>
      <w:pPr>
        <w:ind w:left="660" w:right="2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September 9, 2016, the Company purchased the real property assets of the Meadows from Cannery Casino Resorts, LLC. Concurrent with the Company's purchase of the Meadows' real estate assets, Pinnacle purchased the entities holding the Meadows gaming and racing licenses and operating assets directly from CCR. GLPI leases the Meadows real property assets to Pinnacle under a triple-net lease separate from the Pinnacle Master Lease with an initial term of 10 years with no purchase option and the option to renew for three successive five-year terms and one four-year term, at Pinnacle's option.</w:t>
      </w:r>
    </w:p>
    <w:p>
      <w:pPr>
        <w:spacing w:after="0" w:line="188" w:lineRule="exact"/>
        <w:rPr>
          <w:rFonts w:ascii="Arial" w:cs="Arial" w:eastAsia="Arial" w:hAnsi="Arial"/>
          <w:sz w:val="18"/>
          <w:szCs w:val="18"/>
          <w:color w:val="auto"/>
        </w:rPr>
      </w:pPr>
    </w:p>
    <w:p>
      <w:pPr>
        <w:jc w:val="both"/>
        <w:ind w:left="660" w:right="30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April 28,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 The Pinnacle Master Lease added 14 properties to our real estate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TRS Properties</w:t>
      </w:r>
    </w:p>
    <w:p>
      <w:pPr>
        <w:spacing w:after="0" w:line="225" w:lineRule="exact"/>
        <w:rPr>
          <w:sz w:val="20"/>
          <w:szCs w:val="20"/>
          <w:color w:val="auto"/>
        </w:rPr>
      </w:pPr>
    </w:p>
    <w:p>
      <w:pPr>
        <w:jc w:val="both"/>
        <w:ind w:left="660" w:right="300" w:hanging="328"/>
        <w:spacing w:after="0" w:line="31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color w:val="auto"/>
        </w:rPr>
        <w:t>During the first quarter of 2017, Hollywood Casino Perryville outsourced the operation of its food and beverage outlets to a third party provider. Employees of these outlets are now employees of the third party; therefore both Hollywood Casino Perryville's revenues and expenses related to food and beverage decreased during the three and six months ended June 30, 2017, as compared to the corresponding periods in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on Form 10-K. There has been no material change to these estimates for the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30" w:right="29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25"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fact that a wholly-owned subsidiary of Penn and a wholly-owned subsidiary of Pinnacle lease substantially all of our properties, pursuant to their respective Master Leases, and account for a significant portion of our revenue.</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181"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consolidated results of operations for the three and six months ended June 30, 2017 and 2016 are summarized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5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Rental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167,763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142,101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332,924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242,316</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12,631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Real estate taxes paid by tenants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15,673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42,560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27,500</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282,447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38,371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76,749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76,530</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208,776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358,977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Less promotional allowances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(2,796)</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243,391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207,361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486,104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356,181</w:t>
            </w: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42,176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16,075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43,055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28,282</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43,167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27,019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54,102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90,695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183,402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167,727</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152,696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120,817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302,702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188,454</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information regarding our results of operations by segment for the three and six months ended June 30, 2017 and 2016 is summarized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2"/>
              </w:rPr>
              <w:t>Three Months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Net Revenues</w:t>
            </w: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207,119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170,405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145,401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113,546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36,272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36,956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7,271</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243,391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207,361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152,696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120,817</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9"/>
        </w:trPr>
        <w:tc>
          <w:tcPr>
            <w:tcW w:w="5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2"/>
              </w:rPr>
              <w:t>Six Months Ended June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Net Revenues</w:t>
            </w: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411,824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282,447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287,435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174,316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74,280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73,734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15,267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14,138</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486,104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356,181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302,702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188,454</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0"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EBITDA, FFO and AFFO</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In addition, in order for the Company to qualify as a REIT, it must distribute 90% of its REIT taxable income annually. The Company adjusts AFFO accordingly to provide our investors an estimate of the taxable income available for this distribution requirement.</w:t>
      </w:r>
    </w:p>
    <w:p>
      <w:pPr>
        <w:spacing w:after="0" w:line="17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FFO is a non-GAAP financial measure that is considered a supplemental measure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debt issuance costs amortization, other depreciation, amortization of land rights, straight-line rent adjustments and direct financing lease adjustments, reduced by maintenance capital expenditures. Finally, we define Adjusted EBITDA as net income excluding interest, taxes on income, depreciation, (gains) or losses from sales of property, stock based compensation expense, straight-line rent adjustments, direct financing lease adjustments and the amortization of land rights.</w:t>
      </w:r>
    </w:p>
    <w:p>
      <w:pPr>
        <w:spacing w:after="0" w:line="165"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FFO, AFFO and Adjusted EBITDA are not recognized terms under GAAP. Because certain companies do not calculate FFO, AFFO and Adjusted EBITDA in the same way and certain other companies may not perform such calculation, those measures as used by other companies may not be consistent with the way the Company calculates such measures and should not be considered as alternative measures of operating profit or net income. The Company’s presentation of these measures does not replace the presentation of the Company’s financial results in accordance with GAAP.</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three and six months ended June 30, 2017 and 2016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5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58"/>
        </w:trPr>
        <w:tc>
          <w:tcPr>
            <w:tcW w:w="5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451"/>
              <w:spacing w:after="0"/>
              <w:rPr>
                <w:sz w:val="20"/>
                <w:szCs w:val="20"/>
                <w:color w:val="auto"/>
              </w:rPr>
            </w:pPr>
            <w:r>
              <w:rPr>
                <w:rFonts w:ascii="Arial" w:cs="Arial" w:eastAsia="Arial" w:hAnsi="Arial"/>
                <w:sz w:val="14"/>
                <w:szCs w:val="14"/>
                <w:b w:val="1"/>
                <w:bCs w:val="1"/>
                <w:color w:val="auto"/>
                <w:w w:val="89"/>
              </w:rPr>
              <w:t>2016</w:t>
            </w:r>
          </w:p>
        </w:tc>
      </w:tr>
      <w:tr>
        <w:trPr>
          <w:trHeight w:val="270"/>
        </w:trPr>
        <w:tc>
          <w:tcPr>
            <w:tcW w:w="5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5"/>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96,334</w:t>
            </w:r>
          </w:p>
        </w:tc>
        <w:tc>
          <w:tcPr>
            <w:tcW w:w="1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73,264</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190,325</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106,013</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or (gains) from dispositions of property</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Real estate depreciation</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25,108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23,671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50,011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47,362</w:t>
            </w:r>
          </w:p>
        </w:tc>
      </w:tr>
      <w:tr>
        <w:trPr>
          <w:trHeight w:val="27"/>
        </w:trPr>
        <w:tc>
          <w:tcPr>
            <w:tcW w:w="5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121,431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96,935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240,430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153,360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Straight-line rent adjustments</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16,493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13,956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32,738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27,912</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financing lease adjustments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depreciation</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6,669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6,740</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land rights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6,513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8,632</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Maintenance CAPEX</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7"/>
        </w:trPr>
        <w:tc>
          <w:tcPr>
            <w:tcW w:w="5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167,844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135,111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333,624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218,676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54,170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45,282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107,655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78,166</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Maintenance CAPEX</w:t>
            </w:r>
          </w:p>
        </w:tc>
        <w:tc>
          <w:tcPr>
            <w:tcW w:w="4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1,197</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222,195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180,449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441,215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293,682</w:t>
            </w:r>
          </w:p>
        </w:tc>
      </w:tr>
      <w:tr>
        <w:trPr>
          <w:trHeight w:val="20"/>
        </w:trPr>
        <w:tc>
          <w:tcPr>
            <w:tcW w:w="5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reconciliation of each segment’s net income per GAAP to FFO, AFFO, and Adjusted EBITDA for the three and six months ended June 30, 2017 and 2016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93,590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70,654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2,744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2,610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(Gains) or losses from dispositions of property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25,108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23,671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118,698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94,325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2,733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2,610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18,232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12,525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163,559</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130,514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4,285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4,597</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51,569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42,682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2,061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212,114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170,356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10,081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10,093</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24"/>
                <w:szCs w:val="24"/>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44"/>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96"/>
        </w:trPr>
        <w:tc>
          <w:tcPr>
            <w:tcW w:w="56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184,369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100,755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5,258</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Losses or (gains) from dispositions of property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234,380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148,117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6,050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5,243</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35,845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12,525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9,163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323,671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208,937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9,953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9,739</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102,454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72,965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3,679</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CAPEX</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420,224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273,866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20,991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19,816</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32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80" w:right="140" w:hanging="648"/>
        <w:spacing w:after="0" w:line="216" w:lineRule="auto"/>
        <w:tabs>
          <w:tab w:leader="none" w:pos="9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intercompany interest eliminations of $2.6 million for both the three and six months ended June 30, 2017 and 2016.</w:t>
      </w:r>
    </w:p>
    <w:p>
      <w:pPr>
        <w:spacing w:after="0" w:line="20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Net income for our GLP Capital segment was $93.6 million for the three months ended June 30, 2017 and $70.7 million for the three months ended June 30, 2016. FFO, AFFO, and Adjusted EBITDA for our GLP Capital segment were $118.7 million, $163.6 million and $212.1 million, respectively, for the three months ended June 30, 2017. FFO, AFFO, and Adjusted EBITDA for our GLP Capital segment were $94.3 million, $130.5 million and $170.4 million, respectively, for the</w:t>
      </w:r>
    </w:p>
    <w:p>
      <w:pPr>
        <w:sectPr>
          <w:pgSz w:w="11900" w:h="16838" w:orient="portrait"/>
          <w:cols w:equalWidth="0" w:num="1">
            <w:col w:w="11420"/>
          </w:cols>
          <w:pgMar w:left="240" w:top="130" w:right="239" w:bottom="1081"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081"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three months ended June 30, 2016. The significant increase in net income for our GLP Capital segment for the three months ended June 30, 2017, as compared to the three months ended June 30, 2016, was primarily driven by a $36.7 million increase in net revenues, partially offset by a $4.9 million increase in operating expenses and an $8.9 million increase in interest, net. The increase in net revenues in our GLP Capital segment was primarily due to the rent received under the Pinnacle Master Lease recognized as rental income and as income from the direct financing lease, rent received under the Meadows Lease and from the addition of the Tunica Properties to the Penn Master Lease, as well as the impact of the Penn rent escalator and an increase in real estate taxes paid by tenants. Operating expenses in our GLP Capital segment primarily increased due to the additional real estate taxes, which are offset in our net revenue as described above. The increase in interest, net was driven by higher interest expense related to the Company's additional borrowings incurred to finance the Pinnacle acquisition. The changes described above also led to higher FFO for the three months ended June 30, 2017, as compared to the three months ended June 30, 2016. The increase in AFFO for our GLP Capital segment was primarily driven by the changes described above, as well as, increases in adjustments for our direct financing lease, increased amortization of land rights related to the acquired ground leases, increased straight-line rent adjustments related to the Meadows Lease and the addition of the Tunica Properties to the Penn Master Lease, partially offset by lower stock based compensation, all of which are added back for purposes of calculating AFFO. Direct financing lease adjustments represent the portion of cash rent we receive from tenants that is applied against our lease receivable and thus not recorded as revenue and the amortization of land rights represents the non-cash amortization of the value assigned to the Company's acquired ground leases. These adjustments are added back to arrive at AFFO because they represent, in the case of the direct financing lease adjustments, cash we have received and recorded in taxable income and in the case of the amortization of land rights, non-cash charges which are non-deductible for tax purposes. Therefore, these adjustments help our investors better understand the components of our taxable income which must be distributed to our shareholders. The increase in Adjusted EBITDA for our GLP Capital segment was primarily driven by the increases in AFFO described above, as well as, a higher add back for interest.</w:t>
      </w:r>
    </w:p>
    <w:p>
      <w:pPr>
        <w:spacing w:after="0" w:line="173"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Net income for our GLP Capital segment was $184.4 million for the six months ended June 30, 2017 and $100.8 million for the six months ended June 30, 2016. FFO, AFFO, and Adjusted EBITDA for our GLP Capital segment were $234.4 million, $323.7 million and $420.2 million, respectively, for the six months ended June 30, 2017. FFO, AFFO, and Adjusted EBITDA for our GLP Capital segment were $148.1 million, $208.9 million and $273.9 million, respectively, for the six months ended June 30, 2016. The significant increase in net income for our GLP Capital segment for the six months ended June 30, 2017, as compared to the six months ended June 30, 2016, was primarily driven by a $129.4 million increase in net revenues, partially offset by a $16.3 million increase in operating expenses and a $29.5 million increase in interest, net. The increase in net revenues in our GLP Capital segment was primarily due to the rent received under the Pinnacle Master Lease recognized as rental income and as income from the direct financing lease, rent received under the Meadows Lease and from the addition of the Tunica Properties to the Penn Master Lease, as well as the impact of the Penn rent escalator and an increase in real estate taxes paid by tenants. Operating expenses in our GLP Capital segment primarily increased due to the additional real estate taxes. The increase in interest, net was driven by higher interest expense related to the Company's additional borrowings incurred to finance the Pinnacle acquisition. The changes described above also led to higher FFO for the six months ended June 30, 2017, as compared to the six months ended June 30, 2016. The increase in AFFO for our GLP Capital segment was primarily driven by the changes described above, as well as, increases in adjustments for our direct financing lease, increased amortization of land rights related to the acquired ground leases, increased straight-line rent adjustments related to our Meadows Lease and the addition of the Tunica Properties to the Penn Master Lease, partially offset by lower debt issuance costs amortization and stock based compensation, all of which are added back for purposes of calculating AFFO. The increase in Adjusted EBITDA for our GLP Capital segment was primarily driven by the increases in AFFO described above, as well as, a higher add back for interest.</w:t>
      </w:r>
    </w:p>
    <w:p>
      <w:pPr>
        <w:spacing w:after="0" w:line="17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Both net income and FFO increased by just $0.1 million for our TRS Properties segment for the three months ended June 30, 2017, as compared to the three months ended June 30, 2016. AFFO decreased by $0.3 million and Adjusted EBITDA remained relatively flat for the three months ended June 30, 2017, as compared to the three months ended June 30, 2016 for our TRS Properties segment.</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Net income and FFO increased by $0.7 million and $0.8 million, respectively, for our TRS Properties segment for the six months ended June 30, 2017, as compared to the six months ended June 30, 2016. AFFO increased by $0.2 million and Adjusted EBITDA increased by $1.2 million for the six months ended June 30, 2017, as compared to the six months ended June 30, 2016 for our TRS Properties segment. Net income, FFO and AFFO for our TRS Properties segment increased for the six months ended June 30, 2017, as compared to the six months ended June 30, 2016, primarily due to increased revenues at Hollywood Casino Baton Rouge. Adjusted EBITDA for our TRS Properties segment increased for the six months ended June 30, 2017, as compared to the six months ended June 30, 2016, primarily due to the reason described above, in addition to higher income taxes and capital expenditures during the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30" w:right="2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and six months ended June 30, 2017 and 2016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7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CCEEFF"/>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Variance</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207,119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170,405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36,714</w:t>
            </w:r>
          </w:p>
        </w:tc>
        <w:tc>
          <w:tcPr>
            <w:tcW w:w="1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Gaming, food, beverage and other</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37,489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38,371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244,608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208,776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35,832</w:t>
            </w:r>
          </w:p>
        </w:tc>
        <w:tc>
          <w:tcPr>
            <w:tcW w:w="1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Less promotional allowances</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243,391</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207,361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36,030</w:t>
            </w:r>
          </w:p>
        </w:tc>
        <w:tc>
          <w:tcPr>
            <w:tcW w:w="1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line="20" w:lineRule="exact"/>
              <w:rPr>
                <w:sz w:val="1"/>
                <w:szCs w:val="1"/>
                <w:color w:val="auto"/>
              </w:rPr>
            </w:pPr>
          </w:p>
        </w:tc>
      </w:tr>
      <w:tr>
        <w:trPr>
          <w:trHeight w:val="380"/>
        </w:trPr>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Variance</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411,824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282,447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129,377</w:t>
            </w:r>
          </w:p>
        </w:tc>
        <w:tc>
          <w:tcPr>
            <w:tcW w:w="1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Gaming, food, beverage and other</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76,749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488,573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129,596</w:t>
            </w:r>
          </w:p>
        </w:tc>
        <w:tc>
          <w:tcPr>
            <w:tcW w:w="1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Less promotional allowances</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(2,796)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486,104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356,181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129,923</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rental revenue and income from direct financing lease</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For the three months ended June 30, 2017 and 2016, rental revenue and income from the direct financing lease were $207.1 million and $170.4 million, respectively, for our GLP Capital segment, which included $20.8 million and $15.7 million, respectively, of revenue for the real estate taxes paid by our tenants on the leased properties. For the six months ended June 30, 2017 and 2016, rental revenue and income from the direct financing lease were $411.8 million and $282.4 million, respectively, for our GLP Capital segment, which included $42.6 million and $27.5 million, respectively, of revenue for the real estate taxes paid by our tenants on the leased properties. During April 2016, we acquired the real estate assets of Pinnacle and immediately leased these assets back to Pinnacle under a long-term triple-net master lease. Under ASC 840, the Pinnacle lease is bifurcated between an operating and direct financing lease, resulting in the recognition of rental revenue for the land portion of the lease and interest income from the direct financing lease, relating to the leased building assets. Additionally, during September 2016, we acquired the real estate assets of the Meadows and leased these assets to Pinnacle under a single property triple-net lease and during May 2017, we acquired the real estate assets of the Tunica Properties and leased these assets to Penn under the Penn Master Lease.</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accordance with ASC 605, the Company is required to present the real estate taxes paid by its tenants on the leased properties as revenue with an offsetting expense on its condensed consolidated statement of income, as the Company believes it is the primary obligor. Similarly, the Company records revenue for the ground lease rent paid by its tenants with an offsetting expense in general and administrative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73"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Rental revenue and income from the direct financing lease increased $36.7 million or 21.5% for the three months ended June 30, 2017, as compared to the three months ended June 30, 2016, primarily due to the rent received under the Pinnacle Master Lease recognized as rental income and as income from the direct financing lease, rent received under the Meadows Lease and from the addition of the Tunica Properties to the Penn Master Lease, as well as the impact of the Penn rent escalator and an increase in real estate taxes, primarily resulting from the addition of the Pinnacle properties to our real estate portfolio. Specifically, Pinnacle contributed $23.8 million of rental revenue and income from the direct financing lease to the increase in net revenues for the three months ended June 30, 2017, as compared to the prior year period. In addition, the Penn properties contributed $3.6 million to the increase in net revenues for three months ended June 30, 2017, as compared to the three months ended June 30, 2016, driven by the addition of the Tunica Properties, the impact of the rent escalator and performance at the Ohio properties. Lastly, the Meadows Lease and real estate taxes contributed $4.1 million and $5.2 million, respectively, to the increase in net revenues for the three months ended June 30, 2017, as compared to the prior year period.</w:t>
      </w:r>
    </w:p>
    <w:p>
      <w:pPr>
        <w:spacing w:after="0" w:line="16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Rental revenue and income from the direct financing lease increased $129.4 million or 45.8% for the six months ended June 30, 2017, as compared to the six months ended June 30, 2016, primarily due to the rent received under the Pinnacle Master Lease recognized as rental income and as income from the direct financing lease, rent received under the Meadows Lease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the addition of the Tunica Properties to the Penn Master Lease, as well as the impact of the Penn rent escalator and an increase in real estate taxes, primarily resulting from the addition of the Pinnacle properties to our real estate portfolio. Specifically, Pinnacle contributed $101.4 million of rental revenue and income from the direct financing lease to the increase in net revenues for the six months ended June 30, 2017, as compared to the prior year period. The Penn properties contributed $4.7 million to the increase in net revenues for the six months ended June 30, 2017, as compared to the six months ended June 30, 2016, resulting from the addition of the Tunica Properties, the impact of the rent escalator and performance at the Ohio properties. Lastly, the Meadows Lease and real estate taxes contributed $8.2 million and $15.1 million, respectively, to the increase in net revenues for the six months ended June 30, 2017, as compared to the prior year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Gaming, food, beverage and other revenue for our TRS Properties segment decreased by $0.9 million, or 2.3%, for the three months ended June 30, 2017, as compared to the three months ended June 30, 2016, primarily due to a decrease in revenues of $1.3 million at Hollywood Casino Perryville related to outsourcing the operation of its food and beverage outlets during the first quarter of 2017, partially offset by a $0.4 million increase in revenues at Hollywood Casino Baton Rouge resulting from increased patronage and customer spend. Gaming, food, beverage and other revenue for our TRS Properties segment increased by $0.2 million or 0.3%, for the six months ended June 30, 2017, as compared to the six months ended June 30, 2016, primarily due to an increase in revenues of $2.0 million at Hollywood Casino Baton Rouge, resulting from increased patronage and customer spend, partially offset by a $1.8 million decrease in food and beverage revenue at Hollywood Casino Perryville related to outsourcing the operation of its food and beverage outlets during the first quarter of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and six months ended June 30, 2017 and 2016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16,075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4,837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28,423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1,404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90,695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86,544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4,151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380"/>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28,282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14,773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56,680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54,102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2,578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183,402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167,727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15,675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taxes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Real estate tax expense increased by $4.8 million, or 30.1%, for the three months ended June 30, 2017, as compared to the three months ended June 30, 2016, primarily due to the inclusion of the real estate tax expense attributable to the acquired Pinnacle and Meadows properties. Real estate tax expense increased by $14.8 million, or 52.2%, for the six months ended June 30, 2017, as compared to the six months ended June 30, 2016, primarily for the reasons discussed above. Although this amount is paid by our tenants, we are required to present this amount in both revenues and expenses for financial reporting purposes under ASC 605.</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and six months ended June 30, 2017 and 2016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(54,657)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(45,936)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(54,170)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(45,282)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line="20" w:lineRule="exact"/>
              <w:rPr>
                <w:sz w:val="1"/>
                <w:szCs w:val="1"/>
                <w:color w:val="auto"/>
              </w:rPr>
            </w:pPr>
          </w:p>
        </w:tc>
      </w:tr>
      <w:tr>
        <w:trPr>
          <w:trHeight w:val="59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Interest expense increased by $8.7 million or 19.0% for the three months ended June 30, 2017, as compared to the three months ended June 30, 2016, primarily due to interest expense related to the issuance of $400 million of senior unsecured notes due 2021 and $975 million of senior unsecured notes due 2026 and borrowings of $825 million under the term loan A-1 facility during April 2016. The additional borrowings were utilized to finance the Pinnacle acquisition. Interest expense increased by $29.3 million or 36.9% for the six months ended June 30, 2017, as compared to the six months ended June 30, 2016 primarily due to the reasons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three months ended June 30, 2017 and 2016, income tax expense was approximately $2.2 million and $2.3 million, respectively. Our effective tax rate (income taxes as a percentage of income before income taxes) was 2.2% for the three months ended June 30, 2017, as compared to 3.0% for the three months ended June 30, 2016. During the six months ended June 30, 2017 and 2016, income tax expense was approximately $4.7 million and $4.3 million, respectively. Our effective tax rate was 2.4% for the six months ended June 30, 2017, as compared to 3.9% for the six months ended June 30, 2016. The decline in our effective tax rate for both the three and six months ended June 30, 2017 is primarily due to the additional REIT income earned during the three and six months ended June 30, 2017, which is not subject to income 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Net cash provided by operating activities was $292.2 million and $210.3 million, respectively, during the six months ended June 30, 2017 and 2016. The increase in net cash provided by operating activities of $81.9 million for the six months ended June 30, 2017 compared to the corresponding period in the prior year was primarily comprised of an increase in cash receipts from customers/tenants of $116.2 million (excluding $35.8 million of cash received from Pinnacle and classified as an investing activity), decreases in cash paid to employees of $2.5 million and cash paid for operating expenses of $11.1 million, partially offset by increases in cash paid for interest and taxes of $44.3 million and $3.4 million respectively. The increase in cash receipts collected from our customers and tenants for the six months ended June 30, 2017 as compared to the corresponding period in the prior year was primarily due to the rent received under the Pinnacle Master Lease and the Meadows Lease, as well as the additional rent received from the Penn properties related to the new Tunica Properties, the rent escalator and performance of the Ohio properties, while the decrease in cash paid for operating expenses was due to changes in working capital requirements. The increase in cash paid for interest was related to the Company's April 2016 borrowings.</w:t>
      </w:r>
    </w:p>
    <w:p>
      <w:pPr>
        <w:spacing w:after="0" w:line="16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Investing activities used cash of $35.6 million and $2.9 billion, respectively, during the six months ended June 30, 2017 and 2016. Net cash used by investing activities during the six months ended June 30, 2017 consisted of cash payments of $82.9 million related to the acquisition of the Tunica Properties and capital expenditures of $1.8 million, partially offset by net cash received of $13.2 million from Casino Queen to retire their five-year term loan and borrow an additional $13.0 million under a new 5.5 year unsecured term loan at 15%, as well as rental payments received from tenants and applied against the lease receivable on our balance sheet of $35.8 million. Net cash used in investing activities during the six months ended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June 30, 2016 consisted of a cash payment of $2.9 billion related to the acquisition of the Pinnacle real estate assets, partially offset by principal payments of $2.1 million made by Casino Queen on their five year term loan, as well rental payments received from tenants and applied against the lease receivable on our balance sheet of $12.5 million. In addition to the cash paid for the Pinnacle assets, we also issued approximately 56 million shares of our common stock as consideration for the Pinnacle real estate assets (non-cash investing activity).</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Financing activities used cash of $263.7 million during the six months ended June 30, 2017 and provided cash of $2.7 billion during the six months ended June 30, 2016. Net cash used by financing activities during the six months ended June 30, 2017 included dividend payments of $261.1 million and repayments of long-term debt of $250.1 million, partially offset by proceeds from the issuance of common stock, net of issuance costs of $139.4 million, proceeds from stock option exercises, net of taxes paid related to shares withheld for tax purposes on restricted stock award vestings of $8.1 million and proceeds from the issuance of long-term debt of $100.0 million. Net cash provided by financing activities during the six months ended June 30, 2016 included proceeds from the issuance of long-term debt of $2.337 billion, proceeds from the issuance of common stock, net of issuance costs of $825.2 million and proceeds from stock option exercises of $54.5 million, partially offset by dividend payments of $179.1 million and repayments of long-term debt and financing costs of $339.0 million. During the six months ended June 30, 2016, we issued approximately 29 million shares of our common stock in a primary equity offering, issued $1.375 billion in new senior unsecured notes and drew down on the $825 million term loan A-1 facility. All of these new debt and equity instruments were related to financing the acquisition of the Pinnacle real estate assets. In addition to the shares issued in the primary equity offering, we also issued approximately 56 million shares of our common stock as consideration for the Pinnacle real estate assets (non-cash financing activity).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the six months ended June 30, 2017 and 2016, the TRS Properties spent approximately $1.7 million and $1.2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has a $1,825 million Credit Facility, consisting of a $700 million revolving credit facility, a $300 million Term Loan A facility, and an $825 million Term Loan A-1 facility. At June 30, 2017, the Credit Facility had a gross outstanding balance of $1,140 million, consisting of the $1,125 million Term Loan A and A-1 facilities and $15 million of borrowings under the revolving credit facility. Additionally, at June 30, 2017, the Company was contingently obligated under letters of credit issued pursuant to the senior unsecured credit facility with face amounts aggregating approximately $0.4 million, resulting in $684.6 million of available borrowing capacity under the revolving credit facility as of June 30, 2017. The revolving credit facility and the Term Loan A facility mature on October 28, 2018 and the Term Loan A-1 facility matures on April 28, 2021.</w:t>
      </w:r>
    </w:p>
    <w:p>
      <w:pPr>
        <w:spacing w:after="0" w:line="17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on and after the effective date of its election to be treated as a REIT, which the Company elected on its 2014 U.S. federal income tax return.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June 30, 2017, the Company was in compliance with all required financial covenants under the Credit Facility.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2017,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GLPI’s primary market risk exposure is interest rate risk with respect to its indebtedness of $4,566.3 million at June 30, 2017. Furthermore, $3,425.0 million of our obligations at June 30, 2017, are the senior unsecured notes that have fixed interest rates with maturity dates ranging from one and one-half to nine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substantially limit GLPI’s ability to hedge its assets and liabilities. GLPI also expects to manage its exposure to interest rate risk by maintaining a mix of fixed and variable rates for its indebtedness.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June 30, 2017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June 30, 2017.</w:t>
      </w:r>
    </w:p>
    <w:p>
      <w:pPr>
        <w:spacing w:after="0" w:line="328"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w w:val="91"/>
              </w:rPr>
              <w:t>07/01/17-</w:t>
            </w: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01/01/18-</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01/01/19-</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01/01/20-</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01/01/21-</w:t>
            </w: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Thereafter</w:t>
            </w: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86"/>
        </w:trPr>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w w:val="91"/>
              </w:rPr>
              <w:t>12/31/17</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12/31/18</w:t>
            </w: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12/31/19</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12/31/20</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12/31/21</w:t>
            </w:r>
          </w:p>
        </w:tc>
        <w:tc>
          <w:tcPr>
            <w:tcW w:w="1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6/30/2017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7620</wp:posOffset>
            </wp:positionV>
            <wp:extent cx="5222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10"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102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tcPr>
          <w:p>
            <w:pPr>
              <w:ind w:left="2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550,000</w:t>
            </w:r>
          </w:p>
        </w:tc>
        <w:tc>
          <w:tcPr>
            <w:tcW w:w="44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tcPr>
          <w:p>
            <w:pPr>
              <w:ind w:left="2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1,000,000</w:t>
            </w:r>
          </w:p>
        </w:tc>
        <w:tc>
          <w:tcPr>
            <w:tcW w:w="2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400,000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1,475,000</w:t>
            </w:r>
          </w:p>
        </w:tc>
        <w:tc>
          <w:tcPr>
            <w:tcW w:w="3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3,425,000</w:t>
            </w:r>
          </w:p>
        </w:tc>
        <w:tc>
          <w:tcPr>
            <w:tcW w:w="34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3,646,375</w:t>
            </w:r>
          </w:p>
        </w:tc>
      </w:tr>
      <w:tr>
        <w:trPr>
          <w:trHeight w:val="276"/>
        </w:trPr>
        <w:tc>
          <w:tcPr>
            <w:tcW w:w="4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4.38%</w:t>
            </w: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4.88%</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4.38%</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5.38%</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315,000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825,000</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1,140,000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1,133,435</w:t>
            </w:r>
          </w:p>
        </w:tc>
      </w:tr>
      <w:tr>
        <w:trPr>
          <w:trHeight w:val="258"/>
        </w:trPr>
        <w:tc>
          <w:tcPr>
            <w:tcW w:w="40" w:type="dxa"/>
            <w:vAlign w:val="bottom"/>
          </w:tcPr>
          <w:p>
            <w:pPr>
              <w:spacing w:after="0"/>
              <w:rPr>
                <w:sz w:val="22"/>
                <w:szCs w:val="22"/>
                <w:color w:val="auto"/>
              </w:rPr>
            </w:pPr>
          </w:p>
        </w:tc>
        <w:tc>
          <w:tcPr>
            <w:tcW w:w="204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color w:val="auto"/>
              </w:rPr>
              <w:t>3.73%</w:t>
            </w: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color w:val="auto"/>
              </w:rPr>
              <w:t>4.31%</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60" w:hanging="552"/>
        <w:spacing w:after="0"/>
        <w:tabs>
          <w:tab w:leader="none" w:pos="5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Estimated rate, reflective of forward LIBOR plus the spread over LIBOR applicable to variable-rate borrowing.</w:t>
      </w:r>
    </w:p>
    <w:p>
      <w:pPr>
        <w:spacing w:after="0" w:line="200" w:lineRule="exact"/>
        <w:rPr>
          <w:rFonts w:ascii="Arial" w:cs="Arial" w:eastAsia="Arial" w:hAnsi="Arial"/>
          <w:sz w:val="22"/>
          <w:szCs w:val="22"/>
          <w:color w:val="auto"/>
          <w:vertAlign w:val="superscript"/>
        </w:rPr>
      </w:pPr>
    </w:p>
    <w:p>
      <w:pPr>
        <w:spacing w:after="0" w:line="210"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June 30, 2017,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June 30, 2017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changes that occurred during the fiscal quarter covered by this Quarterly Report on Form 10-Q that have materially affected, or are reasonably likely to materially affect, our internal controls over financial reporting.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130" w:right="31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11: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of our Annual Report on Form 10-K.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June 30, 2017. During August 2016, the Company commenced a continuous equity offering under which the Company may sell up to an aggregate of $400 million of its common stock from time to time through a sales agent in “at the market” offerings (the “ATM Program”). During the three months ended June 30, 2017, GLPI sold 3,864,872 shares of its common stock at an average price of $36.22 per share under the ATM Program, which generated net proceeds of approximately $139.4 million. The Company used the net proceeds from the ATM Program to fund the acquisition of the real estate assets of Bally's Casino Tunica and Resorts Casino Tunica and to pay down the revolving credit facility, which was used to fund the Meadows acquisition. The issued securities were registered under an automatic shelf registration statement (Commission File No. 333-210423), effective March 28,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Exhibit</w:t>
            </w:r>
          </w:p>
        </w:tc>
        <w:tc>
          <w:tcPr>
            <w:tcW w:w="9340" w:type="dxa"/>
            <w:vAlign w:val="bottom"/>
          </w:tcPr>
          <w:p>
            <w:pPr>
              <w:ind w:left="3980"/>
              <w:spacing w:after="0"/>
              <w:rPr>
                <w:sz w:val="20"/>
                <w:szCs w:val="20"/>
                <w:color w:val="auto"/>
              </w:rPr>
            </w:pPr>
            <w:r>
              <w:rPr>
                <w:rFonts w:ascii="Arial" w:cs="Arial" w:eastAsia="Arial" w:hAnsi="Arial"/>
                <w:sz w:val="14"/>
                <w:szCs w:val="14"/>
                <w:b w:val="1"/>
                <w:bCs w:val="1"/>
                <w:color w:val="auto"/>
              </w:rPr>
              <w:t>Description of Exhibit</w:t>
            </w:r>
          </w:p>
        </w:tc>
      </w:tr>
      <w:tr>
        <w:trPr>
          <w:trHeight w:val="498"/>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460" w:type="dxa"/>
            <w:vAlign w:val="bottom"/>
          </w:tcPr>
          <w:p>
            <w:pPr>
              <w:spacing w:after="0"/>
              <w:rPr>
                <w:sz w:val="24"/>
                <w:szCs w:val="24"/>
                <w:color w:val="auto"/>
              </w:rPr>
            </w:pPr>
          </w:p>
        </w:tc>
        <w:tc>
          <w:tcPr>
            <w:tcW w:w="9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Fourth Amendment to the Master Lease Agreement, dated as of May 1, 2017, by and among GLP Capital L.P. and Penn Tenant</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9"/>
              </w:rPr>
              <w:t>LLC (Incorporated by reference to Exhibit 10.2 to the Company's quarterly report on Form 10-Q filed on May 3, 2017).</w:t>
            </w:r>
          </w:p>
        </w:tc>
      </w:tr>
      <w:tr>
        <w:trPr>
          <w:trHeight w:val="39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CEO Certification pursuant to rule 13a-14(a) or 15d-14(a) of the Securities Exchange Act of 1934.</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CFO Certification pursuant to rule 13a-14(a) or 15d-14(a) of the Securities Exchange Act of 1934.</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CEO Certification pursuant to 18 U.S.C. Section 1350, as adopted pursuant to Section 906 of the Sarbanes-Oxley Act of 2002.</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CFO Certification pursuant to 18 U.S.C. Section 1350, as adopted pursuant to Section 906 of the Sarbanes-Oxley Act of 2002.</w:t>
            </w:r>
          </w:p>
        </w:tc>
      </w:tr>
      <w:tr>
        <w:trPr>
          <w:trHeight w:val="52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Interactive data files pursuant to Rule 405 of Regulation S-T: (i) the Condensed Consolidated Balance Sheets at June 30, 2017</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3"/>
              </w:rPr>
              <w:t>and December 31, 2016, (ii) the Condensed Consolidated Statements of Income for the three and six months ended June 30,</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2017 and 2016, (iii) the Condensed Consolidated Statement of Changes in Shareholders’ Equity for the six months ended June</w:t>
            </w:r>
          </w:p>
        </w:tc>
      </w:tr>
    </w:tbl>
    <w:p>
      <w:pPr>
        <w:ind w:left="2100" w:right="160"/>
        <w:spacing w:after="0" w:line="261" w:lineRule="auto"/>
        <w:rPr>
          <w:sz w:val="20"/>
          <w:szCs w:val="20"/>
          <w:color w:val="auto"/>
        </w:rPr>
      </w:pPr>
      <w:r>
        <w:rPr>
          <w:rFonts w:ascii="Arial" w:cs="Arial" w:eastAsia="Arial" w:hAnsi="Arial"/>
          <w:sz w:val="18"/>
          <w:szCs w:val="18"/>
          <w:color w:val="auto"/>
        </w:rPr>
        <w:t>30, 2017, (iv) the Condensed Consolidated Statements of Cash Flows for six months ended June 30, 2017 and 2016 and (v) the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732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8"/>
          <w:szCs w:val="18"/>
          <w:color w:val="auto"/>
        </w:rPr>
        <w:t>Filed or furnished, as applicable,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40"/>
        <w:spacing w:after="0"/>
        <w:tabs>
          <w:tab w:leader="none" w:pos="5620" w:val="left"/>
          <w:tab w:leader="none" w:pos="6300" w:val="left"/>
        </w:tabs>
        <w:rPr>
          <w:sz w:val="20"/>
          <w:szCs w:val="20"/>
          <w:color w:val="auto"/>
        </w:rPr>
      </w:pPr>
      <w:r>
        <w:rPr>
          <w:rFonts w:ascii="Arial" w:cs="Arial" w:eastAsia="Arial" w:hAnsi="Arial"/>
          <w:sz w:val="18"/>
          <w:szCs w:val="18"/>
          <w:color w:val="auto"/>
        </w:rPr>
        <w:t>July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William J. Clifford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Clifford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240" w:top="130" w:right="71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Exhibit</w:t>
            </w:r>
          </w:p>
        </w:tc>
        <w:tc>
          <w:tcPr>
            <w:tcW w:w="9340" w:type="dxa"/>
            <w:vAlign w:val="bottom"/>
          </w:tcPr>
          <w:p>
            <w:pPr>
              <w:ind w:left="3980"/>
              <w:spacing w:after="0"/>
              <w:rPr>
                <w:sz w:val="20"/>
                <w:szCs w:val="20"/>
                <w:color w:val="auto"/>
              </w:rPr>
            </w:pPr>
            <w:r>
              <w:rPr>
                <w:rFonts w:ascii="Arial" w:cs="Arial" w:eastAsia="Arial" w:hAnsi="Arial"/>
                <w:sz w:val="14"/>
                <w:szCs w:val="14"/>
                <w:b w:val="1"/>
                <w:bCs w:val="1"/>
                <w:color w:val="auto"/>
              </w:rPr>
              <w:t>Description of Exhibit</w:t>
            </w:r>
          </w:p>
        </w:tc>
      </w:tr>
      <w:tr>
        <w:trPr>
          <w:trHeight w:val="498"/>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460" w:type="dxa"/>
            <w:vAlign w:val="bottom"/>
          </w:tcPr>
          <w:p>
            <w:pPr>
              <w:spacing w:after="0"/>
              <w:rPr>
                <w:sz w:val="24"/>
                <w:szCs w:val="24"/>
                <w:color w:val="auto"/>
              </w:rPr>
            </w:pPr>
          </w:p>
        </w:tc>
        <w:tc>
          <w:tcPr>
            <w:tcW w:w="9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Fourth Amendment to the Master Lease Agreement, dated as of May 1, 2017, by and among GLP Capital L.P. and Penn Tenant</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9"/>
              </w:rPr>
              <w:t>LLC (Incorporated by reference to Exhibit 10.2 to the Company's quarterly report on Form 10-Q filed on May 3, 2017).</w:t>
            </w:r>
          </w:p>
        </w:tc>
      </w:tr>
      <w:tr>
        <w:trPr>
          <w:trHeight w:val="39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CEO Certification pursuant to rule 13a-14(a) or 15d-14(a) of the Securities Exchange Act of 1934.</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CFO Certification pursuant to rule 13a-14(a) or 15d-14(a) of the Securities Exchange Act of 1934.</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CEO Certification pursuant to 18 U.S.C. Section 1350, as adopted pursuant to Section 906 of the Sarbanes-Oxley Act of 2002.</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CFO Certification pursuant to 18 U.S.C. Section 1350, as adopted pursuant to Section 906 of the Sarbanes-Oxley Act of 2002.</w:t>
            </w:r>
          </w:p>
        </w:tc>
      </w:tr>
      <w:tr>
        <w:trPr>
          <w:trHeight w:val="52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Interactive data files pursuant to Rule 405 of Regulation S-T: (i) the Condensed Consolidated Balance Sheets at June 30, 2017</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3"/>
              </w:rPr>
              <w:t>and December 31, 2016, (ii) the Condensed Consolidated Statements of Income for the three and six months ended June 30,</w:t>
            </w:r>
          </w:p>
        </w:tc>
      </w:tr>
    </w:tbl>
    <w:p>
      <w:pPr>
        <w:jc w:val="both"/>
        <w:ind w:left="2100" w:right="160"/>
        <w:spacing w:after="0" w:line="255" w:lineRule="auto"/>
        <w:rPr>
          <w:sz w:val="20"/>
          <w:szCs w:val="20"/>
          <w:color w:val="auto"/>
        </w:rPr>
      </w:pPr>
      <w:r>
        <w:rPr>
          <w:rFonts w:ascii="Arial" w:cs="Arial" w:eastAsia="Arial" w:hAnsi="Arial"/>
          <w:sz w:val="18"/>
          <w:szCs w:val="18"/>
          <w:color w:val="auto"/>
        </w:rPr>
        <w:t>2017 and 2016, (iii) the Condensed Consolidated Statement of Changes in Shareholders’ Equity for the six months ended June 30, 2017, (iv) the Condensed Consolidated Statements of Cash Flows for six months ended June 30, 2017 and 2016 and (v) the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1732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8"/>
          <w:szCs w:val="18"/>
          <w:color w:val="auto"/>
        </w:rPr>
        <w:t>Filed or furnished, as applicable, herewith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60" w:firstLine="8"/>
        <w:spacing w:after="0" w:line="32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sz w:val="20"/>
          <w:szCs w:val="20"/>
          <w:color w:val="auto"/>
        </w:rPr>
      </w:pPr>
    </w:p>
    <w:p>
      <w:pPr>
        <w:ind w:left="1340" w:hanging="684"/>
        <w:spacing w:after="0"/>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380" w:firstLine="656"/>
        <w:spacing w:after="0" w:line="357" w:lineRule="auto"/>
        <w:tabs>
          <w:tab w:leader="none" w:pos="1335"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right="340" w:firstLine="656"/>
        <w:spacing w:after="0" w:line="395" w:lineRule="auto"/>
        <w:tabs>
          <w:tab w:leader="none" w:pos="1339"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3" w:lineRule="exact"/>
        <w:rPr>
          <w:rFonts w:ascii="Arial" w:cs="Arial" w:eastAsia="Arial" w:hAnsi="Arial"/>
          <w:sz w:val="16"/>
          <w:szCs w:val="16"/>
          <w:color w:val="auto"/>
        </w:rPr>
      </w:pPr>
    </w:p>
    <w:p>
      <w:pPr>
        <w:ind w:right="140" w:firstLine="8"/>
        <w:spacing w:after="0" w:line="357"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July 31, 2017</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7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70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Clifford, certify that:</w:t>
      </w:r>
    </w:p>
    <w:p>
      <w:pPr>
        <w:spacing w:after="0" w:line="225"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60" w:firstLine="8"/>
        <w:spacing w:after="0" w:line="324"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sz w:val="20"/>
          <w:szCs w:val="20"/>
          <w:color w:val="auto"/>
        </w:rPr>
      </w:pPr>
    </w:p>
    <w:p>
      <w:pPr>
        <w:ind w:left="1340" w:hanging="684"/>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380" w:firstLine="656"/>
        <w:spacing w:after="0" w:line="357" w:lineRule="auto"/>
        <w:tabs>
          <w:tab w:leader="none" w:pos="1335"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right="340" w:firstLine="656"/>
        <w:spacing w:after="0" w:line="395" w:lineRule="auto"/>
        <w:tabs>
          <w:tab w:leader="none" w:pos="1339"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3" w:lineRule="exact"/>
        <w:rPr>
          <w:rFonts w:ascii="Arial" w:cs="Arial" w:eastAsia="Arial" w:hAnsi="Arial"/>
          <w:sz w:val="16"/>
          <w:szCs w:val="16"/>
          <w:color w:val="auto"/>
        </w:rPr>
      </w:pPr>
    </w:p>
    <w:p>
      <w:pPr>
        <w:ind w:right="140" w:firstLine="8"/>
        <w:spacing w:after="0" w:line="357"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July 31, 2017</w:t>
            </w:r>
          </w:p>
        </w:tc>
        <w:tc>
          <w:tcPr>
            <w:tcW w:w="1900" w:type="dxa"/>
            <w:vAlign w:val="bottom"/>
            <w:gridSpan w:val="2"/>
          </w:tcPr>
          <w:p>
            <w:pPr>
              <w:spacing w:after="0"/>
              <w:rPr>
                <w:sz w:val="20"/>
                <w:szCs w:val="20"/>
                <w:color w:val="auto"/>
              </w:rPr>
            </w:pPr>
            <w:r>
              <w:rPr>
                <w:rFonts w:ascii="Arial" w:cs="Arial" w:eastAsia="Arial" w:hAnsi="Arial"/>
                <w:sz w:val="18"/>
                <w:szCs w:val="18"/>
                <w:color w:val="auto"/>
              </w:rPr>
              <w:t>/s/ William J. Clifford</w:t>
            </w:r>
          </w:p>
        </w:tc>
      </w:tr>
      <w:tr>
        <w:trPr>
          <w:trHeight w:val="20"/>
        </w:trPr>
        <w:tc>
          <w:tcPr>
            <w:tcW w:w="57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70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w w:val="95"/>
              </w:rPr>
              <w:t>Name: William J. Clifford</w:t>
            </w:r>
          </w:p>
        </w:tc>
      </w:tr>
      <w:tr>
        <w:trPr>
          <w:trHeight w:val="270"/>
        </w:trPr>
        <w:tc>
          <w:tcPr>
            <w:tcW w:w="5700" w:type="dxa"/>
            <w:vAlign w:val="bottom"/>
          </w:tcPr>
          <w:p>
            <w:pPr>
              <w:spacing w:after="0"/>
              <w:rPr>
                <w:sz w:val="23"/>
                <w:szCs w:val="23"/>
                <w:color w:val="auto"/>
              </w:rPr>
            </w:pPr>
          </w:p>
        </w:tc>
        <w:tc>
          <w:tcPr>
            <w:tcW w:w="190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connection with the quarterly report of Gaming and Leisure Properties, Inc. (the “Company”) on Form 10-Q for the quarter ended June 30, 2017,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81" w:lineRule="exact"/>
        <w:rPr>
          <w:sz w:val="20"/>
          <w:szCs w:val="20"/>
          <w:color w:val="auto"/>
        </w:rPr>
      </w:pPr>
    </w:p>
    <w:p>
      <w:pPr>
        <w:ind w:left="1340" w:hanging="684"/>
        <w:spacing w:after="0"/>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July 31, 2017</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connection with the quarterly report of Gaming and Leisure Properties, Inc. (the “Company”) on Form 10-Q for the quarter ended June 30, 2017, as filed with the Securities and Exchange Commission on the date hereof (the “Report”), I, William J. Clifford, Chief Financial Officer of the Company, certify, pursuant to Section 906 of the Sarbanes-Oxley Act of 2002, 18 U.S.C. Section 1350, that, to my knowledge:</w:t>
      </w:r>
    </w:p>
    <w:p>
      <w:pPr>
        <w:spacing w:after="0" w:line="181" w:lineRule="exact"/>
        <w:rPr>
          <w:sz w:val="20"/>
          <w:szCs w:val="20"/>
          <w:color w:val="auto"/>
        </w:rPr>
      </w:pPr>
    </w:p>
    <w:p>
      <w:pPr>
        <w:ind w:left="1340" w:hanging="684"/>
        <w:spacing w:after="0"/>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William J. Clifford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William J. Clifford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July 31,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8"/>
    </w:lvl>
  </w:abstractNum>
  <w:abstractNum w:abstractNumId="9">
    <w:nsid w:val="436C6125"/>
    <w:multiLevelType w:val="hybridMultilevel"/>
    <w:lvl w:ilvl="0">
      <w:lvlJc w:val="left"/>
      <w:lvlText w:val="%1."/>
      <w:numFmt w:val="decimal"/>
      <w:start w:val="1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decimal"/>
      <w:start w:val="13"/>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1"/>
    </w:lvl>
    <w:lvl w:ilvl="1">
      <w:lvlJc w:val="left"/>
      <w:lvlText w:val="(%2)"/>
      <w:numFmt w:val="lowerLetter"/>
      <w:start w:val="2"/>
    </w:lvl>
  </w:abstractNum>
  <w:abstractNum w:abstractNumId="24">
    <w:nsid w:val="2CA88611"/>
    <w:multiLevelType w:val="hybridMultilevel"/>
    <w:lvl w:ilvl="0">
      <w:lvlJc w:val="left"/>
      <w:lvlText w:val="%1."/>
      <w:numFmt w:val="decimal"/>
      <w:start w:val="5"/>
    </w:lvl>
    <w:lvl w:ilvl="1">
      <w:lvlJc w:val="left"/>
      <w:lvlText w:val="(%2)"/>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2"/>
    </w:lvl>
  </w:abstractNum>
  <w:abstractNum w:abstractNumId="28">
    <w:nsid w:val="8138641"/>
    <w:multiLevelType w:val="hybridMultilevel"/>
    <w:lvl w:ilvl="0">
      <w:lvlJc w:val="left"/>
      <w:lvlText w:val="%1."/>
      <w:numFmt w:val="decimal"/>
      <w:start w:val="5"/>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2019-12-29T05:38:20Z</dcterms:created>
  <dcterms:modified xsi:type="dcterms:W3CDTF">2019-12-29T05:38:20Z</dcterms:modified>
</cp:coreProperties>
</file>