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9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6"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5" w:lineRule="exact"/>
        <w:rPr>
          <w:sz w:val="24"/>
          <w:szCs w:val="24"/>
          <w:color w:val="auto"/>
        </w:rPr>
      </w:pPr>
    </w:p>
    <w:p>
      <w:pPr>
        <w:ind w:left="404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001-36124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Gaming &amp; Leisure Properties, Inc.</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820" w:type="dxa"/>
        <w:tblCellMar>
          <w:top w:w="0" w:type="dxa"/>
          <w:left w:w="0" w:type="dxa"/>
          <w:bottom w:w="0" w:type="dxa"/>
          <w:right w:w="0" w:type="dxa"/>
        </w:tblCellMar>
      </w:tblPr>
      <w:tr>
        <w:trPr>
          <w:trHeight w:val="238"/>
        </w:trPr>
        <w:tc>
          <w:tcPr>
            <w:tcW w:w="410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2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46-2116489</w:t>
            </w:r>
          </w:p>
        </w:tc>
      </w:tr>
      <w:tr>
        <w:trPr>
          <w:trHeight w:val="270"/>
        </w:trPr>
        <w:tc>
          <w:tcPr>
            <w:tcW w:w="41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70"/>
        </w:trPr>
        <w:tc>
          <w:tcPr>
            <w:tcW w:w="41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845 Berkshire Blvd., Suite 200</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610-401-2900</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97" w:lineRule="exact"/>
        <w:rPr>
          <w:sz w:val="24"/>
          <w:szCs w:val="24"/>
          <w:color w:val="auto"/>
        </w:rPr>
      </w:pPr>
    </w:p>
    <w:p>
      <w:pPr>
        <w:jc w:val="both"/>
        <w:ind w:right="180" w:firstLine="324"/>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71" w:lineRule="exact"/>
        <w:rPr>
          <w:sz w:val="24"/>
          <w:szCs w:val="24"/>
          <w:color w:val="auto"/>
        </w:rPr>
      </w:pPr>
    </w:p>
    <w:p>
      <w:pPr>
        <w:ind w:right="700" w:firstLine="367"/>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84" w:lineRule="exact"/>
        <w:rPr>
          <w:sz w:val="24"/>
          <w:szCs w:val="24"/>
          <w:color w:val="auto"/>
        </w:rPr>
      </w:pPr>
    </w:p>
    <w:p>
      <w:pPr>
        <w:ind w:firstLine="367"/>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4" w:right="259" w:bottom="1440" w:gutter="0" w:footer="0" w:header="0"/>
        </w:sectPr>
      </w:pPr>
    </w:p>
    <w:p>
      <w:pPr>
        <w:spacing w:after="0" w:line="22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40" w:lineRule="exact"/>
        <w:rPr>
          <w:sz w:val="24"/>
          <w:szCs w:val="24"/>
          <w:color w:val="auto"/>
        </w:rPr>
      </w:pPr>
    </w:p>
    <w:p>
      <w:pPr>
        <w:sectPr>
          <w:pgSz w:w="11900" w:h="16838" w:orient="portrait"/>
          <w:cols w:equalWidth="0" w:num="2">
            <w:col w:w="7100" w:space="720"/>
            <w:col w:w="3580"/>
          </w:cols>
          <w:pgMar w:left="240" w:top="234" w:right="259" w:bottom="1440" w:gutter="0" w:footer="0" w:header="0"/>
          <w:type w:val="continuous"/>
        </w:sectPr>
      </w:pPr>
    </w:p>
    <w:p>
      <w:pPr>
        <w:spacing w:after="0" w:line="105" w:lineRule="exact"/>
        <w:rPr>
          <w:sz w:val="24"/>
          <w:szCs w:val="24"/>
          <w:color w:val="auto"/>
        </w:rPr>
      </w:pPr>
    </w:p>
    <w:p>
      <w:pPr>
        <w:ind w:left="20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74" w:lineRule="exact"/>
        <w:rPr>
          <w:sz w:val="24"/>
          <w:szCs w:val="24"/>
          <w:color w:val="auto"/>
        </w:rPr>
      </w:pPr>
    </w:p>
    <w:p>
      <w:pPr>
        <w:sectPr>
          <w:pgSz w:w="11900" w:h="16838" w:orient="portrait"/>
          <w:cols w:equalWidth="0" w:num="2">
            <w:col w:w="6720" w:space="720"/>
            <w:col w:w="3960"/>
          </w:cols>
          <w:pgMar w:left="240" w:top="234" w:right="259" w:bottom="1440" w:gutter="0" w:footer="0" w:header="0"/>
          <w:type w:val="continuous"/>
        </w:sectPr>
      </w:pPr>
    </w:p>
    <w:p>
      <w:pPr>
        <w:ind w:right="360" w:firstLine="324"/>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3"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x</w:t>
      </w:r>
    </w:p>
    <w:p>
      <w:pPr>
        <w:spacing w:after="0" w:line="1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4" w:lineRule="exact"/>
        <w:rPr>
          <w:sz w:val="24"/>
          <w:szCs w:val="24"/>
          <w:color w:val="auto"/>
        </w:rPr>
      </w:pPr>
    </w:p>
    <w:tbl>
      <w:tblPr>
        <w:tblLayout w:type="fixed"/>
        <w:tblInd w:w="310" w:type="dxa"/>
        <w:tblCellMar>
          <w:top w:w="0" w:type="dxa"/>
          <w:left w:w="0" w:type="dxa"/>
          <w:bottom w:w="0" w:type="dxa"/>
          <w:right w:w="0" w:type="dxa"/>
        </w:tblCellMar>
      </w:tblPr>
      <w:tr>
        <w:trPr>
          <w:trHeight w:val="265"/>
        </w:trPr>
        <w:tc>
          <w:tcPr>
            <w:tcW w:w="3720" w:type="dxa"/>
            <w:vAlign w:val="bottom"/>
            <w:tcBorders>
              <w:top w:val="single" w:sz="8" w:color="auto"/>
              <w:left w:val="single" w:sz="8" w:color="auto"/>
              <w:bottom w:val="single" w:sz="8" w:color="auto"/>
              <w:right w:val="single" w:sz="8" w:color="auto"/>
            </w:tcBorders>
          </w:tcPr>
          <w:p>
            <w:pPr>
              <w:jc w:val="right"/>
              <w:ind w:right="12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Borders>
              <w:right w:val="single" w:sz="8" w:color="auto"/>
            </w:tcBorders>
          </w:tcPr>
          <w:p>
            <w:pPr>
              <w:spacing w:after="0"/>
              <w:rPr>
                <w:sz w:val="23"/>
                <w:szCs w:val="23"/>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 w:type="dxa"/>
            <w:vAlign w:val="bottom"/>
            <w:tcBorders>
              <w:right w:val="single" w:sz="8" w:color="auto"/>
            </w:tcBorders>
          </w:tcPr>
          <w:p>
            <w:pPr>
              <w:spacing w:after="0"/>
              <w:rPr>
                <w:sz w:val="23"/>
                <w:szCs w:val="23"/>
                <w:color w:val="auto"/>
              </w:rPr>
            </w:pP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0"/>
        </w:trPr>
        <w:tc>
          <w:tcPr>
            <w:tcW w:w="3720" w:type="dxa"/>
            <w:vAlign w:val="bottom"/>
            <w:tcBorders>
              <w:left w:val="single" w:sz="8" w:color="auto"/>
              <w:bottom w:val="single" w:sz="8" w:color="auto"/>
              <w:right w:val="single" w:sz="8" w:color="auto"/>
            </w:tcBorders>
          </w:tcPr>
          <w:p>
            <w:pPr>
              <w:jc w:val="right"/>
              <w:ind w:right="1268"/>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40" w:type="dxa"/>
            <w:vAlign w:val="bottom"/>
            <w:tcBorders>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GLPI</w:t>
            </w:r>
          </w:p>
        </w:tc>
        <w:tc>
          <w:tcPr>
            <w:tcW w:w="420" w:type="dxa"/>
            <w:vAlign w:val="bottom"/>
            <w:tcBorders>
              <w:right w:val="single" w:sz="8" w:color="auto"/>
            </w:tcBorders>
          </w:tcPr>
          <w:p>
            <w:pPr>
              <w:spacing w:after="0"/>
              <w:rPr>
                <w:sz w:val="21"/>
                <w:szCs w:val="21"/>
                <w:color w:val="auto"/>
              </w:rPr>
            </w:pP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ind w:left="2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40" w:type="dxa"/>
            <w:vAlign w:val="bottom"/>
          </w:tcPr>
          <w:p>
            <w:pPr>
              <w:spacing w:after="0"/>
              <w:rPr>
                <w:sz w:val="16"/>
                <w:szCs w:val="16"/>
                <w:color w:val="auto"/>
              </w:rPr>
            </w:pPr>
          </w:p>
        </w:tc>
        <w:tc>
          <w:tcPr>
            <w:tcW w:w="518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color w:val="auto"/>
              </w:rPr>
              <w:t>May 2, 2019</w:t>
            </w:r>
          </w:p>
        </w:tc>
      </w:tr>
      <w:tr>
        <w:trPr>
          <w:trHeight w:val="191"/>
        </w:trPr>
        <w:tc>
          <w:tcPr>
            <w:tcW w:w="5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518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214,659,312</w:t>
            </w:r>
          </w:p>
        </w:tc>
      </w:tr>
    </w:tbl>
    <w:p>
      <w:pPr>
        <w:sectPr>
          <w:pgSz w:w="11900" w:h="16838" w:orient="portrait"/>
          <w:cols w:equalWidth="0" w:num="1">
            <w:col w:w="11400"/>
          </w:cols>
          <w:pgMar w:left="240" w:top="234" w:right="259" w:bottom="1440" w:gutter="0" w:footer="0" w:header="0"/>
          <w:type w:val="continuous"/>
        </w:sectPr>
      </w:pPr>
    </w:p>
    <w:bookmarkStart w:id="1" w:name="page2"/>
    <w:bookmarkEnd w:id="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88" w:lineRule="exact"/>
        <w:rPr>
          <w:sz w:val="20"/>
          <w:szCs w:val="20"/>
          <w:color w:val="auto"/>
        </w:rPr>
      </w:pPr>
    </w:p>
    <w:p>
      <w:pPr>
        <w:ind w:left="660" w:right="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certain asset, income, organizational, distribution, shareholder ownership and other requirements on a continuing basis in order for the Company to maintain its REIT status;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76"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61" w:lineRule="exact"/>
        <w:rPr>
          <w:rFonts w:ascii="Times New Roman" w:cs="Times New Roman" w:eastAsia="Times New Roman" w:hAnsi="Times New Roman"/>
          <w:sz w:val="18"/>
          <w:szCs w:val="18"/>
          <w:color w:val="auto"/>
        </w:rPr>
      </w:pPr>
    </w:p>
    <w:p>
      <w:pPr>
        <w:jc w:val="both"/>
        <w:ind w:left="660" w:right="64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mortgage loan made to Eldorado Resorts, Inc. ("Eldorado") by way of substitution of one or more additional Eldorado properties acceptable to Eldorado and the Company, which will be transferred to the Company and added to the master lease agreement with Eldorado;</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sufficient cash flows to service our outstanding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access to debt and equity capital markets, including for acquisitions or refinancings due to maturities;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or regional 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and our ability to retain our key management personnel;</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GLPI's duty to indemnify Penn and its subsidiaries in certain circumstances if the spin-off transaction described in Note 1 to the condensed consolidated financial statements fails to be tax-free;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6" w:right="239"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events or conditions, natural disasters, acts of terrorism and other international hostilities, war or political instability;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real estate business, including potential liability relating to environmental matters and illiquidity of real estate investments; and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as discussed in the Company’s Annual Report on Form 10-K for the year ended December 31, 2018, in this Quarterly Report on Form 10-Q and Current Reports on Form 8-K as filed with the United States Securities and Exchange Commission (the "SEC").</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Certain of these factors and other factors, risks and uncertainties are discussed in the "Risk Factors" section in the Company’s Annual Report on Form 10-K for the year ended December 31, 2018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You should consider the areas of risk described above, as well as those set forth in the "Risk Factors" section in the Company’s Annual Report on Form 10-K for the year ended December 31, 2018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26" w:right="279" w:bottom="1440" w:gutter="0" w:footer="0" w:header="0"/>
        </w:sectPr>
      </w:pPr>
    </w:p>
    <w:bookmarkStart w:id="3" w:name="page4"/>
    <w:bookmarkEnd w:id="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PART I.</w:t>
              </w:r>
            </w:hyperlink>
          </w:p>
        </w:tc>
        <w:tc>
          <w:tcPr>
            <w:tcW w:w="1260" w:type="dxa"/>
            <w:vAlign w:val="bottom"/>
            <w:gridSpan w:val="4"/>
          </w:tcPr>
          <w:p>
            <w:pPr>
              <w:spacing w:after="0"/>
              <w:rPr>
                <w:sz w:val="17"/>
                <w:szCs w:val="17"/>
                <w:color w:val="auto"/>
              </w:rPr>
            </w:pPr>
          </w:p>
        </w:tc>
        <w:tc>
          <w:tcPr>
            <w:tcW w:w="2240" w:type="dxa"/>
            <w:vAlign w:val="bottom"/>
            <w:gridSpan w:val="5"/>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FINANCIAL INFORMATION</w:t>
              </w:r>
            </w:hyperlink>
          </w:p>
        </w:tc>
        <w:tc>
          <w:tcPr>
            <w:tcW w:w="6640" w:type="dxa"/>
            <w:vAlign w:val="bottom"/>
            <w:gridSpan w:val="13"/>
          </w:tcPr>
          <w:p>
            <w:pPr>
              <w:spacing w:after="0"/>
              <w:rPr>
                <w:sz w:val="17"/>
                <w:szCs w:val="17"/>
                <w:color w:val="auto"/>
              </w:rPr>
            </w:pPr>
          </w:p>
        </w:tc>
        <w:tc>
          <w:tcPr>
            <w:tcW w:w="360" w:type="dxa"/>
            <w:vAlign w:val="bottom"/>
            <w:gridSpan w:val="4"/>
          </w:tcPr>
          <w:p>
            <w:pPr>
              <w:jc w:val="center"/>
              <w:ind w:left="7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5">
              <w:r>
                <w:rPr>
                  <w:rFonts w:ascii="Times New Roman" w:cs="Times New Roman" w:eastAsia="Times New Roman" w:hAnsi="Times New Roman"/>
                  <w:sz w:val="18"/>
                  <w:szCs w:val="18"/>
                  <w:color w:val="0000EE"/>
                  <w:w w:val="87"/>
                </w:rPr>
                <w:t>ITEM 1.</w:t>
              </w:r>
            </w:hyperlink>
          </w:p>
        </w:tc>
        <w:tc>
          <w:tcPr>
            <w:tcW w:w="1260" w:type="dxa"/>
            <w:vAlign w:val="bottom"/>
            <w:gridSpan w:val="4"/>
          </w:tcPr>
          <w:p>
            <w:pPr>
              <w:spacing w:after="0"/>
              <w:rPr>
                <w:sz w:val="24"/>
                <w:szCs w:val="24"/>
                <w:color w:val="auto"/>
              </w:rPr>
            </w:pPr>
          </w:p>
        </w:tc>
        <w:tc>
          <w:tcPr>
            <w:tcW w:w="3060" w:type="dxa"/>
            <w:vAlign w:val="bottom"/>
            <w:gridSpan w:val="8"/>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FINANCIAL STATEMENTS (Unaudited)</w:t>
              </w:r>
            </w:hyperlink>
          </w:p>
        </w:tc>
        <w:tc>
          <w:tcPr>
            <w:tcW w:w="5820" w:type="dxa"/>
            <w:vAlign w:val="bottom"/>
            <w:gridSpan w:val="10"/>
          </w:tcPr>
          <w:p>
            <w:pPr>
              <w:spacing w:after="0"/>
              <w:rPr>
                <w:sz w:val="24"/>
                <w:szCs w:val="24"/>
                <w:color w:val="auto"/>
              </w:rPr>
            </w:pPr>
          </w:p>
        </w:tc>
        <w:tc>
          <w:tcPr>
            <w:tcW w:w="360" w:type="dxa"/>
            <w:vAlign w:val="bottom"/>
            <w:gridSpan w:val="4"/>
          </w:tcPr>
          <w:p>
            <w:pPr>
              <w:jc w:val="center"/>
              <w:ind w:left="7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8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 - March 31, 2019 and December 31, 2018</w:t>
              </w:r>
            </w:hyperlink>
          </w:p>
        </w:tc>
        <w:tc>
          <w:tcPr>
            <w:tcW w:w="360" w:type="dxa"/>
            <w:vAlign w:val="bottom"/>
            <w:gridSpan w:val="4"/>
          </w:tcPr>
          <w:p>
            <w:pPr>
              <w:jc w:val="center"/>
              <w:ind w:left="7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980" w:type="dxa"/>
            <w:vAlign w:val="bottom"/>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Income - Three Months Ended March 31, 2019 and 2018</w:t>
              </w:r>
            </w:hyperlink>
          </w:p>
        </w:tc>
        <w:tc>
          <w:tcPr>
            <w:tcW w:w="1900" w:type="dxa"/>
            <w:vAlign w:val="bottom"/>
            <w:gridSpan w:val="4"/>
          </w:tcPr>
          <w:p>
            <w:pPr>
              <w:spacing w:after="0"/>
              <w:rPr>
                <w:sz w:val="21"/>
                <w:szCs w:val="21"/>
                <w:color w:val="auto"/>
              </w:rPr>
            </w:pPr>
          </w:p>
        </w:tc>
        <w:tc>
          <w:tcPr>
            <w:tcW w:w="360" w:type="dxa"/>
            <w:vAlign w:val="bottom"/>
            <w:gridSpan w:val="4"/>
          </w:tcPr>
          <w:p>
            <w:pPr>
              <w:jc w:val="center"/>
              <w:ind w:left="70"/>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80" w:type="dxa"/>
            <w:vAlign w:val="bottom"/>
            <w:gridSpan w:val="1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Condensed Consolidated Statement of Changes in Shareholders' Equity - Three Months Ended March 31, 2019 and 2018</w:t>
              </w:r>
            </w:hyperlink>
          </w:p>
        </w:tc>
        <w:tc>
          <w:tcPr>
            <w:tcW w:w="360" w:type="dxa"/>
            <w:vAlign w:val="bottom"/>
            <w:gridSpan w:val="4"/>
          </w:tcPr>
          <w:p>
            <w:pPr>
              <w:jc w:val="center"/>
              <w:ind w:left="70"/>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80" w:type="dxa"/>
            <w:vAlign w:val="bottom"/>
            <w:gridSpan w:val="15"/>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Cash Flows - Three Months Ended March 31, 2019 and 2018</w:t>
              </w:r>
            </w:hyperlink>
          </w:p>
        </w:tc>
        <w:tc>
          <w:tcPr>
            <w:tcW w:w="14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gridSpan w:val="4"/>
          </w:tcPr>
          <w:p>
            <w:pPr>
              <w:jc w:val="center"/>
              <w:ind w:left="70"/>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60" w:type="dxa"/>
            <w:vAlign w:val="bottom"/>
            <w:gridSpan w:val="10"/>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the Condensed Consolidated Financial Statements</w:t>
              </w:r>
            </w:hyperlink>
          </w:p>
        </w:tc>
        <w:tc>
          <w:tcPr>
            <w:tcW w:w="3020" w:type="dxa"/>
            <w:vAlign w:val="bottom"/>
            <w:gridSpan w:val="5"/>
          </w:tcPr>
          <w:p>
            <w:pPr>
              <w:spacing w:after="0"/>
              <w:rPr>
                <w:sz w:val="21"/>
                <w:szCs w:val="21"/>
                <w:color w:val="auto"/>
              </w:rPr>
            </w:pPr>
          </w:p>
        </w:tc>
        <w:tc>
          <w:tcPr>
            <w:tcW w:w="1600" w:type="dxa"/>
            <w:vAlign w:val="bottom"/>
            <w:gridSpan w:val="3"/>
          </w:tcPr>
          <w:p>
            <w:pPr>
              <w:spacing w:after="0"/>
              <w:rPr>
                <w:sz w:val="21"/>
                <w:szCs w:val="21"/>
                <w:color w:val="auto"/>
              </w:rPr>
            </w:pPr>
          </w:p>
        </w:tc>
        <w:tc>
          <w:tcPr>
            <w:tcW w:w="360" w:type="dxa"/>
            <w:vAlign w:val="bottom"/>
            <w:gridSpan w:val="4"/>
          </w:tcPr>
          <w:p>
            <w:pPr>
              <w:jc w:val="center"/>
              <w:ind w:left="70"/>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32">
              <w:r>
                <w:rPr>
                  <w:rFonts w:ascii="Times New Roman" w:cs="Times New Roman" w:eastAsia="Times New Roman" w:hAnsi="Times New Roman"/>
                  <w:sz w:val="18"/>
                  <w:szCs w:val="18"/>
                  <w:color w:val="0000EE"/>
                  <w:w w:val="87"/>
                </w:rPr>
                <w:t>ITEM 2.</w:t>
              </w:r>
            </w:hyperlink>
          </w:p>
        </w:tc>
        <w:tc>
          <w:tcPr>
            <w:tcW w:w="1260" w:type="dxa"/>
            <w:vAlign w:val="bottom"/>
            <w:gridSpan w:val="4"/>
          </w:tcPr>
          <w:p>
            <w:pPr>
              <w:spacing w:after="0"/>
              <w:rPr>
                <w:sz w:val="24"/>
                <w:szCs w:val="24"/>
                <w:color w:val="auto"/>
              </w:rPr>
            </w:pPr>
          </w:p>
        </w:tc>
        <w:tc>
          <w:tcPr>
            <w:tcW w:w="8880" w:type="dxa"/>
            <w:vAlign w:val="bottom"/>
            <w:gridSpan w:val="1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MANAGEMENT’S DISCUSSION AND ANALYSIS OF FINANCIAL CONDITION AND RESULTS OF</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OPERATIONS</w:t>
              </w:r>
            </w:hyperlink>
          </w:p>
        </w:tc>
        <w:tc>
          <w:tcPr>
            <w:tcW w:w="6660" w:type="dxa"/>
            <w:vAlign w:val="bottom"/>
            <w:tcBorders>
              <w:top w:val="single" w:sz="8" w:color="0000EE"/>
            </w:tcBorders>
            <w:gridSpan w:val="14"/>
          </w:tcPr>
          <w:p>
            <w:pPr>
              <w:spacing w:after="0"/>
              <w:rPr>
                <w:sz w:val="17"/>
                <w:szCs w:val="17"/>
                <w:color w:val="auto"/>
              </w:rPr>
            </w:pPr>
          </w:p>
        </w:tc>
        <w:tc>
          <w:tcPr>
            <w:tcW w:w="1120" w:type="dxa"/>
            <w:vAlign w:val="bottom"/>
            <w:gridSpan w:val="2"/>
          </w:tcPr>
          <w:p>
            <w:pPr>
              <w:spacing w:after="0"/>
              <w:rPr>
                <w:sz w:val="17"/>
                <w:szCs w:val="17"/>
                <w:color w:val="auto"/>
              </w:rPr>
            </w:pPr>
          </w:p>
        </w:tc>
        <w:tc>
          <w:tcPr>
            <w:tcW w:w="360" w:type="dxa"/>
            <w:vAlign w:val="bottom"/>
            <w:gridSpan w:val="4"/>
          </w:tcPr>
          <w:p>
            <w:pPr>
              <w:jc w:val="center"/>
              <w:ind w:left="90"/>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31</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43">
              <w:r>
                <w:rPr>
                  <w:rFonts w:ascii="Times New Roman" w:cs="Times New Roman" w:eastAsia="Times New Roman" w:hAnsi="Times New Roman"/>
                  <w:sz w:val="18"/>
                  <w:szCs w:val="18"/>
                  <w:color w:val="0000EE"/>
                  <w:w w:val="87"/>
                </w:rPr>
                <w:t>ITEM 3.</w:t>
              </w:r>
            </w:hyperlink>
          </w:p>
        </w:tc>
        <w:tc>
          <w:tcPr>
            <w:tcW w:w="1260" w:type="dxa"/>
            <w:vAlign w:val="bottom"/>
            <w:gridSpan w:val="4"/>
          </w:tcPr>
          <w:p>
            <w:pPr>
              <w:spacing w:after="0"/>
              <w:rPr>
                <w:sz w:val="24"/>
                <w:szCs w:val="24"/>
                <w:color w:val="auto"/>
              </w:rPr>
            </w:pPr>
          </w:p>
        </w:tc>
        <w:tc>
          <w:tcPr>
            <w:tcW w:w="6140" w:type="dxa"/>
            <w:vAlign w:val="bottom"/>
            <w:gridSpan w:val="13"/>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QUANTITATIVE AND QUALITATIVE DISCLOSURES ABOUT MARKET RISK</w:t>
              </w:r>
            </w:hyperlink>
          </w:p>
        </w:tc>
        <w:tc>
          <w:tcPr>
            <w:tcW w:w="2740" w:type="dxa"/>
            <w:vAlign w:val="bottom"/>
            <w:gridSpan w:val="5"/>
          </w:tcPr>
          <w:p>
            <w:pPr>
              <w:spacing w:after="0"/>
              <w:rPr>
                <w:sz w:val="24"/>
                <w:szCs w:val="24"/>
                <w:color w:val="auto"/>
              </w:rPr>
            </w:pPr>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45">
              <w:r>
                <w:rPr>
                  <w:rFonts w:ascii="Times New Roman" w:cs="Times New Roman" w:eastAsia="Times New Roman" w:hAnsi="Times New Roman"/>
                  <w:sz w:val="18"/>
                  <w:szCs w:val="18"/>
                  <w:color w:val="0000EE"/>
                  <w:w w:val="87"/>
                </w:rPr>
                <w:t>ITEM 4.</w:t>
              </w:r>
            </w:hyperlink>
          </w:p>
        </w:tc>
        <w:tc>
          <w:tcPr>
            <w:tcW w:w="1260" w:type="dxa"/>
            <w:vAlign w:val="bottom"/>
            <w:gridSpan w:val="4"/>
          </w:tcPr>
          <w:p>
            <w:pPr>
              <w:spacing w:after="0"/>
              <w:rPr>
                <w:sz w:val="24"/>
                <w:szCs w:val="24"/>
                <w:color w:val="auto"/>
              </w:rPr>
            </w:pPr>
          </w:p>
        </w:tc>
        <w:tc>
          <w:tcPr>
            <w:tcW w:w="2600" w:type="dxa"/>
            <w:vAlign w:val="bottom"/>
            <w:gridSpan w:val="7"/>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CONTROLS AND PROCEDURES</w:t>
              </w:r>
            </w:hyperlink>
          </w:p>
        </w:tc>
        <w:tc>
          <w:tcPr>
            <w:tcW w:w="3540" w:type="dxa"/>
            <w:vAlign w:val="bottom"/>
            <w:gridSpan w:val="6"/>
          </w:tcPr>
          <w:p>
            <w:pPr>
              <w:spacing w:after="0"/>
              <w:rPr>
                <w:sz w:val="24"/>
                <w:szCs w:val="24"/>
                <w:color w:val="auto"/>
              </w:rPr>
            </w:pPr>
          </w:p>
        </w:tc>
        <w:tc>
          <w:tcPr>
            <w:tcW w:w="2740" w:type="dxa"/>
            <w:vAlign w:val="bottom"/>
            <w:gridSpan w:val="5"/>
          </w:tcPr>
          <w:p>
            <w:pPr>
              <w:spacing w:after="0"/>
              <w:rPr>
                <w:sz w:val="24"/>
                <w:szCs w:val="24"/>
                <w:color w:val="auto"/>
              </w:rPr>
            </w:pPr>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w w:val="92"/>
              </w:rPr>
            </w:pPr>
            <w:hyperlink w:anchor="page46">
              <w:r>
                <w:rPr>
                  <w:rFonts w:ascii="Times New Roman" w:cs="Times New Roman" w:eastAsia="Times New Roman" w:hAnsi="Times New Roman"/>
                  <w:sz w:val="18"/>
                  <w:szCs w:val="18"/>
                  <w:color w:val="0000EE"/>
                  <w:w w:val="92"/>
                </w:rPr>
                <w:t>PART II.</w:t>
              </w:r>
            </w:hyperlink>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Times New Roman" w:cs="Times New Roman" w:eastAsia="Times New Roman" w:hAnsi="Times New Roman"/>
                <w:sz w:val="18"/>
                <w:szCs w:val="18"/>
                <w:color w:val="0000EE"/>
                <w:w w:val="95"/>
              </w:rPr>
            </w:pPr>
            <w:hyperlink w:anchor="page46">
              <w:r>
                <w:rPr>
                  <w:rFonts w:ascii="Times New Roman" w:cs="Times New Roman" w:eastAsia="Times New Roman" w:hAnsi="Times New Roman"/>
                  <w:sz w:val="18"/>
                  <w:szCs w:val="18"/>
                  <w:color w:val="0000EE"/>
                  <w:w w:val="95"/>
                </w:rPr>
                <w:t>OTHER INFORMATION</w:t>
              </w:r>
            </w:hyperlink>
          </w:p>
        </w:tc>
        <w:tc>
          <w:tcPr>
            <w:tcW w:w="7020" w:type="dxa"/>
            <w:vAlign w:val="bottom"/>
            <w:gridSpan w:val="14"/>
          </w:tcPr>
          <w:p>
            <w:pPr>
              <w:spacing w:after="0"/>
              <w:rPr>
                <w:sz w:val="24"/>
                <w:szCs w:val="24"/>
                <w:color w:val="auto"/>
              </w:rPr>
            </w:pPr>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45</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46">
              <w:r>
                <w:rPr>
                  <w:rFonts w:ascii="Times New Roman" w:cs="Times New Roman" w:eastAsia="Times New Roman" w:hAnsi="Times New Roman"/>
                  <w:sz w:val="18"/>
                  <w:szCs w:val="18"/>
                  <w:color w:val="0000EE"/>
                  <w:w w:val="87"/>
                </w:rPr>
                <w:t>ITEM 1.</w:t>
              </w:r>
            </w:hyperlink>
          </w:p>
        </w:tc>
        <w:tc>
          <w:tcPr>
            <w:tcW w:w="60" w:type="dxa"/>
            <w:vAlign w:val="bottom"/>
          </w:tcPr>
          <w:p>
            <w:pPr>
              <w:spacing w:after="0"/>
              <w:rPr>
                <w:sz w:val="24"/>
                <w:szCs w:val="24"/>
                <w:color w:val="auto"/>
              </w:rPr>
            </w:pPr>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LEGAL PROCEEDINGS</w:t>
              </w:r>
            </w:hyperlink>
          </w:p>
        </w:tc>
        <w:tc>
          <w:tcPr>
            <w:tcW w:w="7020" w:type="dxa"/>
            <w:vAlign w:val="bottom"/>
            <w:gridSpan w:val="14"/>
          </w:tcPr>
          <w:p>
            <w:pPr>
              <w:spacing w:after="0"/>
              <w:rPr>
                <w:sz w:val="24"/>
                <w:szCs w:val="24"/>
                <w:color w:val="auto"/>
              </w:rPr>
            </w:pPr>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1A.</w:t>
              </w:r>
            </w:hyperlink>
          </w:p>
        </w:tc>
        <w:tc>
          <w:tcPr>
            <w:tcW w:w="8880" w:type="dxa"/>
            <w:vAlign w:val="bottom"/>
            <w:gridSpan w:val="18"/>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RISK FACTORS</w:t>
              </w:r>
            </w:hyperlink>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45</w:t>
              </w:r>
            </w:hyperlink>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46">
              <w:r>
                <w:rPr>
                  <w:rFonts w:ascii="Times New Roman" w:cs="Times New Roman" w:eastAsia="Times New Roman" w:hAnsi="Times New Roman"/>
                  <w:sz w:val="18"/>
                  <w:szCs w:val="18"/>
                  <w:color w:val="0000EE"/>
                  <w:w w:val="87"/>
                </w:rPr>
                <w:t>ITEM 2.</w:t>
              </w:r>
            </w:hyperlink>
          </w:p>
        </w:tc>
        <w:tc>
          <w:tcPr>
            <w:tcW w:w="16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8880" w:type="dxa"/>
            <w:vAlign w:val="bottom"/>
            <w:gridSpan w:val="18"/>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UNREGISTERED SALES OF EQUITY SECURITIES AND USE OF PROCEEDS</w:t>
              </w:r>
            </w:hyperlink>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46">
              <w:r>
                <w:rPr>
                  <w:rFonts w:ascii="Times New Roman" w:cs="Times New Roman" w:eastAsia="Times New Roman" w:hAnsi="Times New Roman"/>
                  <w:sz w:val="18"/>
                  <w:szCs w:val="18"/>
                  <w:color w:val="0000EE"/>
                  <w:w w:val="87"/>
                </w:rPr>
                <w:t>ITEM 3.</w:t>
              </w:r>
            </w:hyperlink>
          </w:p>
        </w:tc>
        <w:tc>
          <w:tcPr>
            <w:tcW w:w="1260" w:type="dxa"/>
            <w:vAlign w:val="bottom"/>
            <w:gridSpan w:val="4"/>
          </w:tcPr>
          <w:p>
            <w:pPr>
              <w:spacing w:after="0"/>
              <w:rPr>
                <w:sz w:val="24"/>
                <w:szCs w:val="24"/>
                <w:color w:val="auto"/>
              </w:rPr>
            </w:pPr>
          </w:p>
        </w:tc>
        <w:tc>
          <w:tcPr>
            <w:tcW w:w="3180" w:type="dxa"/>
            <w:vAlign w:val="bottom"/>
            <w:gridSpan w:val="9"/>
          </w:tcPr>
          <w:p>
            <w:pPr>
              <w:spacing w:after="0"/>
              <w:rPr>
                <w:rFonts w:ascii="Times New Roman" w:cs="Times New Roman" w:eastAsia="Times New Roman" w:hAnsi="Times New Roman"/>
                <w:sz w:val="18"/>
                <w:szCs w:val="18"/>
                <w:color w:val="0000EE"/>
                <w:w w:val="98"/>
              </w:rPr>
            </w:pPr>
            <w:hyperlink w:anchor="page46">
              <w:r>
                <w:rPr>
                  <w:rFonts w:ascii="Times New Roman" w:cs="Times New Roman" w:eastAsia="Times New Roman" w:hAnsi="Times New Roman"/>
                  <w:sz w:val="18"/>
                  <w:szCs w:val="18"/>
                  <w:color w:val="0000EE"/>
                  <w:w w:val="98"/>
                </w:rPr>
                <w:t>DEFAULTS UPON SENIOR SECURITIES</w:t>
              </w:r>
            </w:hyperlink>
          </w:p>
        </w:tc>
        <w:tc>
          <w:tcPr>
            <w:tcW w:w="2880" w:type="dxa"/>
            <w:vAlign w:val="bottom"/>
            <w:gridSpan w:val="3"/>
          </w:tcPr>
          <w:p>
            <w:pPr>
              <w:spacing w:after="0"/>
              <w:rPr>
                <w:sz w:val="24"/>
                <w:szCs w:val="24"/>
                <w:color w:val="auto"/>
              </w:rPr>
            </w:pPr>
          </w:p>
        </w:tc>
        <w:tc>
          <w:tcPr>
            <w:tcW w:w="2820" w:type="dxa"/>
            <w:vAlign w:val="bottom"/>
            <w:gridSpan w:val="6"/>
          </w:tcPr>
          <w:p>
            <w:pPr>
              <w:spacing w:after="0"/>
              <w:rPr>
                <w:sz w:val="24"/>
                <w:szCs w:val="24"/>
                <w:color w:val="auto"/>
              </w:rPr>
            </w:pPr>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46">
              <w:r>
                <w:rPr>
                  <w:rFonts w:ascii="Times New Roman" w:cs="Times New Roman" w:eastAsia="Times New Roman" w:hAnsi="Times New Roman"/>
                  <w:sz w:val="18"/>
                  <w:szCs w:val="18"/>
                  <w:color w:val="0000EE"/>
                  <w:w w:val="87"/>
                </w:rPr>
                <w:t>ITEM 4.</w:t>
              </w:r>
            </w:hyperlink>
          </w:p>
        </w:tc>
        <w:tc>
          <w:tcPr>
            <w:tcW w:w="1260" w:type="dxa"/>
            <w:vAlign w:val="bottom"/>
            <w:gridSpan w:val="4"/>
          </w:tcPr>
          <w:p>
            <w:pPr>
              <w:spacing w:after="0"/>
              <w:rPr>
                <w:sz w:val="24"/>
                <w:szCs w:val="24"/>
                <w:color w:val="auto"/>
              </w:rPr>
            </w:pPr>
          </w:p>
        </w:tc>
        <w:tc>
          <w:tcPr>
            <w:tcW w:w="2440" w:type="dxa"/>
            <w:vAlign w:val="bottom"/>
            <w:gridSpan w:val="6"/>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MINE SAFETY DISCLOSURES</w:t>
              </w:r>
            </w:hyperlink>
          </w:p>
        </w:tc>
        <w:tc>
          <w:tcPr>
            <w:tcW w:w="740" w:type="dxa"/>
            <w:vAlign w:val="bottom"/>
            <w:gridSpan w:val="3"/>
          </w:tcPr>
          <w:p>
            <w:pPr>
              <w:spacing w:after="0"/>
              <w:rPr>
                <w:sz w:val="24"/>
                <w:szCs w:val="24"/>
                <w:color w:val="auto"/>
              </w:rPr>
            </w:pPr>
          </w:p>
        </w:tc>
        <w:tc>
          <w:tcPr>
            <w:tcW w:w="5700" w:type="dxa"/>
            <w:vAlign w:val="bottom"/>
            <w:gridSpan w:val="9"/>
          </w:tcPr>
          <w:p>
            <w:pPr>
              <w:spacing w:after="0"/>
              <w:rPr>
                <w:sz w:val="24"/>
                <w:szCs w:val="24"/>
                <w:color w:val="auto"/>
              </w:rPr>
            </w:pPr>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46">
              <w:r>
                <w:rPr>
                  <w:rFonts w:ascii="Times New Roman" w:cs="Times New Roman" w:eastAsia="Times New Roman" w:hAnsi="Times New Roman"/>
                  <w:sz w:val="18"/>
                  <w:szCs w:val="18"/>
                  <w:color w:val="0000EE"/>
                  <w:w w:val="87"/>
                </w:rPr>
                <w:t>ITEM 5.</w:t>
              </w:r>
            </w:hyperlink>
          </w:p>
        </w:tc>
        <w:tc>
          <w:tcPr>
            <w:tcW w:w="1260" w:type="dxa"/>
            <w:vAlign w:val="bottom"/>
            <w:gridSpan w:val="4"/>
          </w:tcPr>
          <w:p>
            <w:pPr>
              <w:spacing w:after="0"/>
              <w:rPr>
                <w:sz w:val="24"/>
                <w:szCs w:val="24"/>
                <w:color w:val="auto"/>
              </w:rPr>
            </w:pPr>
          </w:p>
        </w:tc>
        <w:tc>
          <w:tcPr>
            <w:tcW w:w="1860" w:type="dxa"/>
            <w:vAlign w:val="bottom"/>
            <w:gridSpan w:val="4"/>
          </w:tcPr>
          <w:p>
            <w:pPr>
              <w:spacing w:after="0"/>
              <w:rPr>
                <w:rFonts w:ascii="Times New Roman" w:cs="Times New Roman" w:eastAsia="Times New Roman" w:hAnsi="Times New Roman"/>
                <w:sz w:val="18"/>
                <w:szCs w:val="18"/>
                <w:color w:val="0000EE"/>
                <w:w w:val="95"/>
              </w:rPr>
            </w:pPr>
            <w:hyperlink w:anchor="page46">
              <w:r>
                <w:rPr>
                  <w:rFonts w:ascii="Times New Roman" w:cs="Times New Roman" w:eastAsia="Times New Roman" w:hAnsi="Times New Roman"/>
                  <w:sz w:val="18"/>
                  <w:szCs w:val="18"/>
                  <w:color w:val="0000EE"/>
                  <w:w w:val="95"/>
                </w:rPr>
                <w:t>OTHER INFORMATION</w:t>
              </w:r>
            </w:hyperlink>
          </w:p>
        </w:tc>
        <w:tc>
          <w:tcPr>
            <w:tcW w:w="580" w:type="dxa"/>
            <w:vAlign w:val="bottom"/>
            <w:gridSpan w:val="2"/>
          </w:tcPr>
          <w:p>
            <w:pPr>
              <w:spacing w:after="0"/>
              <w:rPr>
                <w:sz w:val="24"/>
                <w:szCs w:val="24"/>
                <w:color w:val="auto"/>
              </w:rPr>
            </w:pPr>
          </w:p>
        </w:tc>
        <w:tc>
          <w:tcPr>
            <w:tcW w:w="6440" w:type="dxa"/>
            <w:vAlign w:val="bottom"/>
            <w:gridSpan w:val="12"/>
          </w:tcPr>
          <w:p>
            <w:pPr>
              <w:spacing w:after="0"/>
              <w:rPr>
                <w:sz w:val="24"/>
                <w:szCs w:val="24"/>
                <w:color w:val="auto"/>
              </w:rPr>
            </w:pPr>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020" w:type="dxa"/>
            <w:vAlign w:val="bottom"/>
            <w:tcBorders>
              <w:left w:val="single" w:sz="8" w:color="0000EE"/>
            </w:tcBorders>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Times New Roman" w:cs="Times New Roman" w:eastAsia="Times New Roman" w:hAnsi="Times New Roman"/>
                <w:sz w:val="18"/>
                <w:szCs w:val="18"/>
                <w:color w:val="0000EE"/>
                <w:w w:val="87"/>
              </w:rPr>
            </w:pPr>
            <w:hyperlink w:anchor="page47">
              <w:r>
                <w:rPr>
                  <w:rFonts w:ascii="Times New Roman" w:cs="Times New Roman" w:eastAsia="Times New Roman" w:hAnsi="Times New Roman"/>
                  <w:sz w:val="18"/>
                  <w:szCs w:val="18"/>
                  <w:color w:val="0000EE"/>
                  <w:w w:val="87"/>
                </w:rPr>
                <w:t>ITEM 6.</w:t>
              </w:r>
            </w:hyperlink>
          </w:p>
        </w:tc>
        <w:tc>
          <w:tcPr>
            <w:tcW w:w="1260" w:type="dxa"/>
            <w:vAlign w:val="bottom"/>
            <w:gridSpan w:val="4"/>
          </w:tcPr>
          <w:p>
            <w:pPr>
              <w:spacing w:after="0"/>
              <w:rPr>
                <w:sz w:val="24"/>
                <w:szCs w:val="24"/>
                <w:color w:val="auto"/>
              </w:rPr>
            </w:pPr>
          </w:p>
        </w:tc>
        <w:tc>
          <w:tcPr>
            <w:tcW w:w="820" w:type="dxa"/>
            <w:vAlign w:val="bottom"/>
          </w:tcPr>
          <w:p>
            <w:pPr>
              <w:spacing w:after="0"/>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EXHIBITS</w:t>
              </w:r>
            </w:hyperlink>
          </w:p>
        </w:tc>
        <w:tc>
          <w:tcPr>
            <w:tcW w:w="1040" w:type="dxa"/>
            <w:vAlign w:val="bottom"/>
            <w:gridSpan w:val="3"/>
          </w:tcPr>
          <w:p>
            <w:pPr>
              <w:spacing w:after="0"/>
              <w:rPr>
                <w:sz w:val="24"/>
                <w:szCs w:val="24"/>
                <w:color w:val="auto"/>
              </w:rPr>
            </w:pPr>
          </w:p>
        </w:tc>
        <w:tc>
          <w:tcPr>
            <w:tcW w:w="7020" w:type="dxa"/>
            <w:vAlign w:val="bottom"/>
            <w:gridSpan w:val="14"/>
          </w:tcPr>
          <w:p>
            <w:pPr>
              <w:spacing w:after="0"/>
              <w:rPr>
                <w:sz w:val="24"/>
                <w:szCs w:val="24"/>
                <w:color w:val="auto"/>
              </w:rPr>
            </w:pPr>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SIGNATURE</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gridSpan w:val="4"/>
          </w:tcPr>
          <w:p>
            <w:pPr>
              <w:jc w:val="center"/>
              <w:ind w:left="90"/>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47</w:t>
              </w:r>
            </w:hyperlink>
          </w:p>
        </w:tc>
      </w:tr>
      <w:tr>
        <w:trPr>
          <w:trHeight w:val="72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gridSpan w:val="10"/>
          </w:tcPr>
          <w:p>
            <w:pPr>
              <w:ind w:left="378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26" w:right="539"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7,275,596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7,331,460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used in operations,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100,884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 receivable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303,684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and land rights,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872,656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673,207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30,967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receivable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67,486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8,646,832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8,577,293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30,297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17,010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property, and other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42,879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unamortized debt issuance costs, bond premiums and original issuance discounts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5,795,122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5,853,497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rental revenue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302,555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293,911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6,439,148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6,311,686</w:t>
            </w:r>
          </w:p>
        </w:tc>
        <w:tc>
          <w:tcPr>
            <w:tcW w:w="0" w:type="dxa"/>
            <w:vAlign w:val="bottom"/>
          </w:tcPr>
          <w:p>
            <w:pPr>
              <w:spacing w:after="0"/>
              <w:rPr>
                <w:sz w:val="1"/>
                <w:szCs w:val="1"/>
                <w:color w:val="auto"/>
              </w:rPr>
            </w:pPr>
          </w:p>
        </w:tc>
      </w:tr>
      <w:tr>
        <w:trPr>
          <w:trHeight w:val="277"/>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50,000,000 shares authorized, no shares issued or outstanding at March 31, 2019</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and December 31, 2018)</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($.01 par value, 500,000,000 shares authorized, 214,645,500 and 214,211,932 shares issued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at March 31, 2019 and December 31, 2018, respectively)</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3,947,768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3,952,503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(1,689,038)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2,207,684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2,265,607</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8,646,832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8,577,293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6" w:right="239" w:bottom="1440" w:gutter="0" w:footer="0" w:header="0"/>
          <w:type w:val="continuous"/>
        </w:sectPr>
      </w:pPr>
    </w:p>
    <w:bookmarkStart w:id="5" w:name="page6"/>
    <w:bookmarkEnd w:id="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4920" w:type="dxa"/>
            <w:vAlign w:val="bottom"/>
            <w:gridSpan w:val="6"/>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Gaming and Leisure Properties, Inc. and Subsidiaries</w:t>
            </w:r>
          </w:p>
        </w:tc>
      </w:tr>
      <w:tr>
        <w:trPr>
          <w:trHeight w:val="216"/>
        </w:trPr>
        <w:tc>
          <w:tcPr>
            <w:tcW w:w="3460" w:type="dxa"/>
            <w:vAlign w:val="bottom"/>
          </w:tcPr>
          <w:p>
            <w:pPr>
              <w:spacing w:after="0"/>
              <w:rPr>
                <w:sz w:val="18"/>
                <w:szCs w:val="18"/>
                <w:color w:val="auto"/>
              </w:rPr>
            </w:pPr>
          </w:p>
        </w:tc>
        <w:tc>
          <w:tcPr>
            <w:tcW w:w="4920" w:type="dxa"/>
            <w:vAlign w:val="bottom"/>
            <w:gridSpan w:val="6"/>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r>
      <w:tr>
        <w:trPr>
          <w:trHeight w:val="216"/>
        </w:trPr>
        <w:tc>
          <w:tcPr>
            <w:tcW w:w="3460" w:type="dxa"/>
            <w:vAlign w:val="bottom"/>
          </w:tcPr>
          <w:p>
            <w:pPr>
              <w:spacing w:after="0"/>
              <w:rPr>
                <w:sz w:val="18"/>
                <w:szCs w:val="18"/>
                <w:color w:val="auto"/>
              </w:rPr>
            </w:pPr>
          </w:p>
        </w:tc>
        <w:tc>
          <w:tcPr>
            <w:tcW w:w="3860" w:type="dxa"/>
            <w:vAlign w:val="bottom"/>
            <w:gridSpan w:val="5"/>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060" w:type="dxa"/>
            <w:vAlign w:val="bottom"/>
          </w:tcPr>
          <w:p>
            <w:pPr>
              <w:spacing w:after="0"/>
              <w:rPr>
                <w:sz w:val="18"/>
                <w:szCs w:val="18"/>
                <w:color w:val="auto"/>
              </w:rPr>
            </w:pPr>
          </w:p>
        </w:tc>
      </w:tr>
      <w:tr>
        <w:trPr>
          <w:trHeight w:val="238"/>
        </w:trPr>
        <w:tc>
          <w:tcPr>
            <w:tcW w:w="3460" w:type="dxa"/>
            <w:vAlign w:val="bottom"/>
          </w:tcPr>
          <w:p>
            <w:pPr>
              <w:spacing w:after="0"/>
              <w:rPr>
                <w:sz w:val="20"/>
                <w:szCs w:val="20"/>
                <w:color w:val="auto"/>
              </w:rPr>
            </w:pPr>
          </w:p>
        </w:tc>
        <w:tc>
          <w:tcPr>
            <w:tcW w:w="346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765"/>
        </w:trPr>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346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82"/>
        </w:trPr>
        <w:tc>
          <w:tcPr>
            <w:tcW w:w="34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income</w:t>
            </w:r>
          </w:p>
        </w:tc>
        <w:tc>
          <w:tcPr>
            <w:tcW w:w="2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247,678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169,405</w:t>
            </w: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direct financing lease</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18,621</w:t>
            </w:r>
          </w:p>
        </w:tc>
      </w:tr>
      <w:tr>
        <w:trPr>
          <w:trHeight w:val="27"/>
        </w:trPr>
        <w:tc>
          <w:tcPr>
            <w:tcW w:w="3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from mortgaged real estate</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taxes paid by tenants</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21,278</w:t>
            </w:r>
          </w:p>
        </w:tc>
      </w:tr>
      <w:tr>
        <w:trPr>
          <w:trHeight w:val="27"/>
        </w:trPr>
        <w:tc>
          <w:tcPr>
            <w:tcW w:w="34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from real estate</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254,871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209,304</w:t>
            </w: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34,746</w:t>
            </w:r>
          </w:p>
        </w:tc>
      </w:tr>
      <w:tr>
        <w:trPr>
          <w:trHeight w:val="27"/>
        </w:trPr>
        <w:tc>
          <w:tcPr>
            <w:tcW w:w="34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287,864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244,050</w:t>
            </w:r>
          </w:p>
        </w:tc>
      </w:tr>
      <w:tr>
        <w:trPr>
          <w:trHeight w:val="284"/>
        </w:trPr>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19,658</w:t>
            </w:r>
          </w:p>
        </w:tc>
      </w:tr>
      <w:tr>
        <w:trPr>
          <w:trHeight w:val="27"/>
        </w:trPr>
        <w:tc>
          <w:tcPr>
            <w:tcW w:w="3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taxes</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21,595</w:t>
            </w: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rights and ground lease expense</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6,532</w:t>
            </w:r>
          </w:p>
        </w:tc>
      </w:tr>
      <w:tr>
        <w:trPr>
          <w:trHeight w:val="27"/>
        </w:trPr>
        <w:tc>
          <w:tcPr>
            <w:tcW w:w="3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16,460</w:t>
            </w: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58,578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27,954</w:t>
            </w:r>
          </w:p>
        </w:tc>
      </w:tr>
      <w:tr>
        <w:trPr>
          <w:trHeight w:val="27"/>
        </w:trPr>
        <w:tc>
          <w:tcPr>
            <w:tcW w:w="3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impairment charges</w:t>
            </w:r>
          </w:p>
        </w:tc>
        <w:tc>
          <w:tcPr>
            <w:tcW w:w="1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117,089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92,199</w:t>
            </w:r>
          </w:p>
        </w:tc>
      </w:tr>
      <w:tr>
        <w:trPr>
          <w:trHeight w:val="27"/>
        </w:trPr>
        <w:tc>
          <w:tcPr>
            <w:tcW w:w="34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170,775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151,851</w:t>
            </w:r>
          </w:p>
        </w:tc>
      </w:tr>
      <w:tr>
        <w:trPr>
          <w:trHeight w:val="277"/>
        </w:trPr>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(54,068)</w:t>
            </w:r>
          </w:p>
        </w:tc>
      </w:tr>
      <w:tr>
        <w:trPr>
          <w:trHeight w:val="27"/>
        </w:trPr>
        <w:tc>
          <w:tcPr>
            <w:tcW w:w="3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w:t>
            </w: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expenses</w:t>
            </w:r>
          </w:p>
        </w:tc>
        <w:tc>
          <w:tcPr>
            <w:tcW w:w="19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(53,587)</w:t>
            </w:r>
          </w:p>
        </w:tc>
      </w:tr>
      <w:tr>
        <w:trPr>
          <w:trHeight w:val="27"/>
        </w:trPr>
        <w:tc>
          <w:tcPr>
            <w:tcW w:w="34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34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94,136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98,264</w:t>
            </w:r>
          </w:p>
        </w:tc>
      </w:tr>
      <w:tr>
        <w:trPr>
          <w:trHeight w:val="27"/>
        </w:trPr>
        <w:tc>
          <w:tcPr>
            <w:tcW w:w="3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1,492</w:t>
            </w:r>
          </w:p>
        </w:tc>
      </w:tr>
      <w:tr>
        <w:trPr>
          <w:trHeight w:val="297"/>
        </w:trPr>
        <w:tc>
          <w:tcPr>
            <w:tcW w:w="3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9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93,010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96,772</w:t>
            </w:r>
          </w:p>
        </w:tc>
      </w:tr>
      <w:tr>
        <w:trPr>
          <w:trHeight w:val="284"/>
        </w:trPr>
        <w:tc>
          <w:tcPr>
            <w:tcW w:w="34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r>
    </w:tbl>
    <w:p>
      <w:pPr>
        <w:spacing w:after="0" w:line="225"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19"/>
          </w:cols>
          <w:pgMar w:left="240" w:top="126" w:right="1440"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6"/>
              <w:spacing w:after="0" w:line="13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214,211,932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3,952,503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2,265,607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activity</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26,799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activity</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406,769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 ($0.68 per common share)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93,010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93,010</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March 31, 2019</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214,645,500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3,947,768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(1,742,230)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2,207,684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2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6"/>
              <w:spacing w:after="0" w:line="13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212,717,549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3,933,829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2,458,247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activity</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297,605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activity</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483,095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 ($0.63 per common share)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Adoption of new revenue standard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96,772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2018</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213,498,249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3,930,777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2,416,848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82"/>
        </w:trPr>
        <w:tc>
          <w:tcPr>
            <w:tcW w:w="8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96,772</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30,681</w:t>
            </w:r>
          </w:p>
        </w:tc>
      </w:tr>
      <w:tr>
        <w:trPr>
          <w:trHeight w:val="243"/>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 bond premiums and original issuance discounts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Losses on dispositions of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3,987</w:t>
            </w:r>
          </w:p>
        </w:tc>
      </w:tr>
      <w:tr>
        <w:trPr>
          <w:trHeight w:val="243"/>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16,617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Loan 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r>
      <w:tr>
        <w:trPr>
          <w:trHeight w:val="243"/>
        </w:trPr>
        <w:tc>
          <w:tcPr>
            <w:tcW w:w="8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r>
      <w:tr>
        <w:trPr>
          <w:trHeight w:val="243"/>
        </w:trPr>
        <w:tc>
          <w:tcPr>
            <w:tcW w:w="8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Gaming, property and other taxes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8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221,423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185,756</w:t>
            </w:r>
          </w:p>
        </w:tc>
      </w:tr>
      <w:tr>
        <w:trPr>
          <w:trHeight w:val="22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Collections of principal payments on investment in direct financing lease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18,209</w:t>
            </w: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17,387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shares withheld for tax purposes on restricted stock award vestings, net of proceeds from</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options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(186,777)</w:t>
            </w: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16,366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29,054</w:t>
            </w:r>
          </w:p>
        </w:tc>
      </w:tr>
      <w:tr>
        <w:trPr>
          <w:trHeight w:val="25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45,420</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Note 16 to the condensed consolidated financial statements for supplemental cash flow information and noncash investing and financing activities.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Gaming and Leisure Properties,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Operations</w:t>
      </w:r>
    </w:p>
    <w:p>
      <w:pPr>
        <w:spacing w:after="0" w:line="27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As a result of the Spin-Off, GLPI owns substantially all of Penn’s former real property assets (as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Gaming Corporation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the operating partnership of GLPI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("Eldorado") acquired the operating assets of these properties from Tropicana pursuant to an Agreement and Plan of Merger dated April 15, 2018 by and among Tropicana, GLP Capital, Eldorado and a wholly-owned subsidiary of Eldorado (the "Tropicana Merger Agreement") and leased the GLP Assets from the Company pursuant to the terms of a new unitary triple-net master lease with an initial term of 15 years, with no purchase option followed by four successive 5-year renewal periods (exercisable by Eldorado) on the same terms and conditions (the “Eldorado Master Lease”). Additionally, on October 1, 2018 the Company made a mortgage loan to Eldorado in the amount of $246.0 million in connection with Eldorado’s acquisition of Lumière Place Casino and Hotel ("Lumière Place") (and together with the Tropicana Acquisition the "Tropicana Transactions").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GLPI’s primary business consists of acquiring, financing, and owning real estate property to be leased to gaming operators in triple-net lease arrangements. As of March 31, 2019, GLPI’s portfolio consisted of interests in 46 gaming and related facilities, including the TRS Properties, the real property associated with 33 gaming and related facilities operated by Penn, the real property associated with 6 gaming and related facilities operated by Eldorado (including one mortgaged facility), the real property associated with 4 gaming and related facilities operated by Boyd (including one mortgaged facility) and the real property associated with the Casino Queen in East St. Louis, Illinois. These facilities are geographically diversified across 16 states and were 100% occupied at March 31, 2019. GLPI expects to continue growing its portfolio by pursuing opportunities to acquire additional gaming facilities to lease to gaming operators under prudent terms.</w:t>
      </w:r>
    </w:p>
    <w:p>
      <w:pPr>
        <w:spacing w:after="0" w:line="18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7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7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conjunction with the adoption of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on January 1, 2019, the Company recorded right-of-use assets on the condensed consolidated balance sheet to represent the Company's rights to use the underlying leased assets for the term of the lease. As this asset related, in part, to the same leases which resulted in the below market lease asset the Company described as land rights, net on the December 31, 2018 condensed consolidated balance sheet, this line item has been re-named to right-of-use assets and land rights, net as the assets are required to be reported in the aggregate subsequent to the adoption of ASU 2016-02. Furthermore, under ASU 2016-02, the Company is no longer required to gross-up its financial statements for the real estate taxes paid directly by its tenants to third-parties.</w:t>
      </w:r>
    </w:p>
    <w:p>
      <w:pPr>
        <w:spacing w:after="0" w:line="18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GLPI and its subsidiaries. All intercompany accounts and transactions have been eliminated in consolidation.</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Operating results for the three months ended March 31, 2019 are not necessarily indicative of the results that may be expected for the year ending December 31, 2019. The notes to the consolidated financial statements contained in our Annual Report on Form 10-K for the year ended December 31, 2018 (our "Annual Report") should be read in conjunction with these condensed consolidated financial statements. The December 31, 2018 financial information has been derived from the Company’s audited consolidated financial statements.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New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ASU No.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Generally speaking, ASU 2016-02 more significantly impacted the accounting for leases in which GLPI is the lessee by requiring the Company to record a right-of-use asset and lease liability on its condensed consolidated balance sheet for these leases. The Company's accounting treatment of its triple-net tenant leases, which are the primary source of revenues to the Company, were not significantly impacted by the adoption of ASU 2016-02, other than to eliminate the real estate tax gross-up discussed below.</w:t>
      </w:r>
    </w:p>
    <w:p>
      <w:pPr>
        <w:spacing w:after="0" w:line="18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July 2018,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("ASU 2018-11") which permits companies to apply the transition provisions of ASU 2016-02 at its effective date (i.e. comparative financial statements are not required). Furthermore, in December 2018, the FASB issued ASU No. 2018-20, </w:t>
      </w:r>
      <w:r>
        <w:rPr>
          <w:rFonts w:ascii="Times New Roman" w:cs="Times New Roman" w:eastAsia="Times New Roman" w:hAnsi="Times New Roman"/>
          <w:sz w:val="18"/>
          <w:szCs w:val="18"/>
          <w:i w:val="1"/>
          <w:iCs w:val="1"/>
          <w:color w:val="auto"/>
        </w:rPr>
        <w:t>Leases (Topic 842): Narrow Scope Improvements for Lessors</w:t>
      </w:r>
      <w:r>
        <w:rPr>
          <w:rFonts w:ascii="Times New Roman" w:cs="Times New Roman" w:eastAsia="Times New Roman" w:hAnsi="Times New Roman"/>
          <w:sz w:val="18"/>
          <w:szCs w:val="18"/>
          <w:color w:val="auto"/>
        </w:rPr>
        <w:t xml:space="preserve"> ("ASU 2018-20"). ASU 2018-20 clarifies that lessor costs paid directly to a third-party by a lessee on behalf of the lessor, are no longer required to be recognized in the lessor's financial statements. Therefore, upon the adoption of ASU 2016-02, the Company no longer grosses-up its financial statements for real estate taxes paid directly to third-parties by its tenants. The Company notes, however, that ground leases for which the tenant pays the landlord directly on the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Company's behalf are still required to be grossed-up within its condensed consolidated financial statements upon the adoption of ASU 2016-02 as these are not considered lessor costs. On January 1, 2019, the Company adopted ASU 2016-02 using the new transition option available under ASU 2018-11 and recorded right-of-use assets and related lease liabilities of $203 million on its condensed consolidated balance sheet to represent its rights to underlying assets and its future lease obligations. Also in connection with the adoption of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land rights recorded on balance sheet in conjunction with the Company's assumption of below market leases at the time it acquired the related land and building assets are now required to be reported in aggregate with the Company's operating lease right-of-use assets, reflected as right-of-use assets and land rights, net on the condensed consolidated balance sheet. Furthermore, the Company elected the package of practical expedients, which among other things, did not require the Company to reassess the lease classification of its existing leases and the practical expedient related to land easements, which allowed the Company to bypass the reassessment of existing or expired land easements for the existence of a lease under ASC 842. See Note 7 for further disclosures related to the adoption of ASU 2016-02.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5"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7"/>
          <w:szCs w:val="17"/>
          <w:color w:val="auto"/>
        </w:rPr>
        <w:t xml:space="preserve">In August 2018, the FASB issued ASU No. 2018-15, </w:t>
      </w:r>
      <w:r>
        <w:rPr>
          <w:rFonts w:ascii="Times New Roman" w:cs="Times New Roman" w:eastAsia="Times New Roman" w:hAnsi="Times New Roman"/>
          <w:sz w:val="17"/>
          <w:szCs w:val="17"/>
          <w:i w:val="1"/>
          <w:iCs w:val="1"/>
          <w:color w:val="auto"/>
        </w:rPr>
        <w:t>Intangibles - Goodwill and Other - Internal Use Software (Subtopic 350-40: Customer's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Accounting for Implementation Costs Incurred in a Cloud Computing Arrangement that is a Service Contract (a consensus of the FASB Emerging Issues Task Force</w:t>
      </w:r>
      <w:r>
        <w:rPr>
          <w:rFonts w:ascii="Times New Roman" w:cs="Times New Roman" w:eastAsia="Times New Roman" w:hAnsi="Times New Roman"/>
          <w:sz w:val="17"/>
          <w:szCs w:val="17"/>
          <w:color w:val="auto"/>
        </w:rPr>
        <w:t>) ("ASU 2018-15"). This ASU clarifies that entities should follow the guidance for capitalizing implementation costs incurred to develop or obtain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internal-use software to account for implementation costs of cloud computing arrangements that are service contracts. ASU 2018-15 does not change the accounting for the service component of a cloud computing arrangement. ASU 2018-15 is effective for fiscal years beginning after December 15, 2019, with early adoption permitted. The Company does not expect the adoption of ASU 2018-15 to have a significant impact on its consolidated financial statements.</w:t>
      </w:r>
    </w:p>
    <w:p>
      <w:pPr>
        <w:spacing w:after="0" w:line="16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("ASU 2017-04").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expects the adoption of ASU 2017-04 to simplify the analysis required under the goodwill impairment test.</w:t>
      </w:r>
    </w:p>
    <w:p>
      <w:pPr>
        <w:spacing w:after="0" w:line="18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 </w:t>
      </w:r>
      <w:r>
        <w:rPr>
          <w:rFonts w:ascii="Times New Roman" w:cs="Times New Roman" w:eastAsia="Times New Roman" w:hAnsi="Times New Roman"/>
          <w:sz w:val="18"/>
          <w:szCs w:val="18"/>
          <w:color w:val="auto"/>
        </w:rPr>
        <w:t>("ASU 2016-13"). This ASU introduces a new model for estimating credit losses for certain types of financial instruments, including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loans receivable,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1"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Investments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 estate investments, net, represents investments in 42 rental properties and the corporate headquarters building and is summarized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2,552,286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2,552,475</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0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5,762,071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5,762,071</w:t>
            </w: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real estate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8,314,357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8,314,546</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(983,086)</w:t>
            </w: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7,275,596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7,331,460</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6" w:right="259"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Used in Operations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Property and equipment used in operations, net, consists of the following and primarily represents the assets utilized in the TRS Properties:</w:t>
      </w:r>
    </w:p>
    <w:p>
      <w:pPr>
        <w:spacing w:after="0" w:line="15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30,431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30,431</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116,776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116,776</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117,593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117,247</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265,239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264,738</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(163,854)</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98,513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100,884</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Receivables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Receivable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At March 31, 2019, the Company has financial interests in two casino properties through secured mortgage loans to the respective casino owner-operators. On October 1, 2018, Eldorado purchased the real estate assets of Lumière Place from Tropicana for a cash purchase price of $246.0 million, exclusive of transaction fees. Financing for the transaction was provided by the Company in the form of $246.0 million secured mortgage loan on Lumière Place (the "Lumière Loan"). The Lumière Loan bears interest at a rate equal to (i) 9.09% until the one-year anniversary of the closing, and (ii) 9.27% until its maturity. Until the one-year anniversary of the closing, the Lumière Loan will be secured by a first mortgage lien on Lumière Place. On the one-</w:t>
      </w:r>
    </w:p>
    <w:p>
      <w:pPr>
        <w:spacing w:after="0" w:line="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year anniversary of the Lumière Loan, the mortgage and the related deed of trust on the Lumière Place property will terminate and the loan will continue unsecured until its final maturity on the two-year anniversary of the closing. The parties anticipate that the Lumière Loan will be fully repaid on or prior to maturity by way of substitution of one or more additional Eldorado properties acceptable to Eldorado and the Company, which will be transferred to the Company and added to the Eldorado Master Lease.</w:t>
      </w:r>
    </w:p>
    <w:p>
      <w:pPr>
        <w:spacing w:after="0" w:line="18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October 15, 2018, Boyd purchased the real estate assets of Belterra Park from Pinnacle for a cash purchase price of $57.7 million, exclusive of transaction fees. Financing for the transaction was provided by the Company in the form of $57.7 million secured mortgage loan on Belterra Park (the "Belterra Park Loan"). The Belterra Park Loan bears interest at an initial rate equal to 11.11% and matures in connection with the expiration of the Boyd Master Lease (as may be extended at the tenant's option to April 30, 2051).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Receivable</w:t>
      </w:r>
    </w:p>
    <w:p>
      <w:pPr>
        <w:spacing w:after="0" w:line="229"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In January 2014, the Company completed the asset acquisition of the real property associated with the Casino Queen in East St. Louis, Illinois. GLPI leases the property back to Casino Queen on a triple-net basis on terms similar to those in the Company's existing master leases. The lease has an initial term of 15 years and the tenant has an option to renew it at the same terms and conditions for four successive five-year periods (the "Casino Queen Lease").</w:t>
      </w:r>
    </w:p>
    <w:p>
      <w:pPr>
        <w:spacing w:after="0" w:line="15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5.5-year term loan to CQ Holding Company, Inc., an affiliate of Casino Queen ("CQ Holding Company"), to partially finance their acquisition of Lady Luck Casino in Marquette, Iowa. The new loan bears an interest rate of 15% and is pre-payable at any time.</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loans for impairment when it is probable that it will not be able to collect all amounts due according to contractual terms. All amounts due under the contractual terms means that both contractual interest payments and contractual principal payments of a loan will be collected as scheduled in the loan agreement. Indicators of impairment may include delinquent payments, a decline in the credit worthiness of a debtor, or a decline in the underlying property/tenant’s performance. The Company measures loan impairment based upon the present value of expected future cash flows discounted at the loan’s original effective interest rate. The determination of whether loans are impaired involves judgments and</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126" w:right="29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assumptions based on objective and subjective factors. If an impairment occurs, the Company will reduce the carrying value of the loan and record a corresponding charge to net income.</w:t>
      </w:r>
    </w:p>
    <w:p>
      <w:pPr>
        <w:spacing w:after="0" w:line="8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June 12, 2018, the Company received a Notice of Event of Default under the senior credit agreement of CQ Holding Company from Citizens Bank, N.A. ("Citizens"), which reported a covenant default under their senior secured agreement. Under the terms of that agreement, when an event of default occurs, CQ Holding Company is prohibited from making cash payments to unsecured lenders such as GLPI. Therefore, beginning in June 2018 and through March 31, 2019, the interest due from CQ Holding Company under the Company's unsecured loan was paid in kind in the aggregate amount of $2.0 million. In addition to the covenant violation noted above under the senior credit agreement with Citizens, CQ Holding Company also had a payment default under their senior credit agreement with Citizens. Furthermore, the Company notified Casino Queen of Events of Default under the Company's unsecured loan with CQ Holding Company, related to financial covenant violations during the year ended December 31, 2018.</w:t>
      </w:r>
    </w:p>
    <w:p>
      <w:pPr>
        <w:spacing w:after="0" w:line="10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2018, active negotiations for the sale of Casino Queen's operations were taking place. Despite the payment and covenant defaults noted above, at that time, full payment of the principal was still expected, due to the anticipation that the operations were to be sold in the near term for an amount allowing for repayment of the full $13.0 million of loan principal due to GLPI.</w:t>
      </w:r>
    </w:p>
    <w:p>
      <w:pPr>
        <w:spacing w:after="0" w:line="9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2019, the operating results of Casino Queen continued to decline, resulting in the anticipated acquirer withdrawing from the sales process. Subsequent offers for the operating assets of Casino Queen have declined substantially and proceeds from the sale are not expected to generate enough cash to repay all of Casino Queen’s creditors. Thus, because the Company does not expect Casino Queen to be able to repay the $13.0 million of principal due to it under the unsecured loan agreement, the full $13.0 million of principal was written off at March 31, 2019. The Company has recorded an impairment charge of $13.0 million through the condensed consolidated statement of income for the three months ended March 31, 2019 to reflect the write-off of the Casino Queen loan.</w:t>
      </w:r>
    </w:p>
    <w:p>
      <w:pPr>
        <w:spacing w:after="0" w:line="10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At March 31, 2019, all lease payments due from Casino Queen remain current, however, Casino Queen was in violation of the rent coverage ratio required under its lease with the Company and the Company has provided notice to Casino Queen and its secured lenders of such default.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 Assets and Lease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Assets</w:t>
      </w:r>
    </w:p>
    <w:p>
      <w:pPr>
        <w:spacing w:after="0" w:line="14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condensed consolidated balance sheet at the lease commencement date for operating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cannot readily be determined, the Company utilizes its estimated incremental borrowing rate to determine the present value of its lease payments. Consideration is also given to the Company's recent debt issuances, as well as publicly available data for instruments with similar characteristics when determining the incremental borrowing rates of the Company's leases.</w:t>
      </w:r>
    </w:p>
    <w:p>
      <w:pPr>
        <w:spacing w:after="0" w:line="2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includes options to extend the lease in its lease term, when it is reasonably certain that the Company will exercise those renewal options. In the instance of the Company's ground leases associated with leased properties, the Company has included all available renewal options in the lease term, as it intends to renew these leases indefinitely. The Company accounts for the lease and nonlease components of these triple-net tenant leases as a single lease component. Leases with a term of 12 months or less are not recorded on the Company's condensed consolidated balance sheet.</w:t>
      </w:r>
    </w:p>
    <w:p>
      <w:pPr>
        <w:spacing w:after="0" w:line="23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Right-of-use assets and land rights are monitored for potential impairment in much the same way as the Company's real estate assets, using the impairment model in ASC 360 -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spacing w:after="0" w:line="9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operating leases as lessee for both real estate and equipment, the majority of which are ground leases related to properties the Company leases to its tenants under triple-net operating leases. Details of the Company's significant ground leases can be found in the Form 10-K for the year ended December 31, 2018. For certain of these ground leases, the Company subleases the underlying assets to its tenants who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1, 2019, the Company recorded right-of-use assets and related lease liabilities on its condensed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 in conjunction with the Company's assumption of below market leases at the time it acquired the related land and building assets, the Company is required to report the right-of-use assets and land rights in the aggregate on the condensed consolidated balance sheet.</w:t>
      </w:r>
    </w:p>
    <w:p>
      <w:pPr>
        <w:spacing w:after="0" w:line="18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Company's right-of use assets and land rights, net are detailed below:</w:t>
      </w:r>
    </w:p>
    <w:p>
      <w:pPr>
        <w:spacing w:after="0" w:line="232" w:lineRule="exact"/>
        <w:rPr>
          <w:sz w:val="20"/>
          <w:szCs w:val="20"/>
          <w:color w:val="auto"/>
        </w:rPr>
      </w:pPr>
    </w:p>
    <w:tbl>
      <w:tblPr>
        <w:tblLayout w:type="fixed"/>
        <w:tblInd w:w="1800"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2"/>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 use assets - operating leases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202,538</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rights, net</w:t>
            </w: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670,118</w:t>
            </w:r>
          </w:p>
        </w:tc>
      </w:tr>
      <w:tr>
        <w:trPr>
          <w:trHeight w:val="257"/>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and land rights,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872,656</w:t>
            </w: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 Rights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30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8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rights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700,997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700,997</w:t>
            </w: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(27,790)</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rights,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670,118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673,207</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2019, estimated future amortization expense related to the Company’s land rights by fiscal year is as follows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(remainder of year)</w:t>
            </w:r>
          </w:p>
        </w:tc>
        <w:tc>
          <w:tcPr>
            <w:tcW w:w="6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88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12,359</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8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12,359</w:t>
            </w:r>
          </w:p>
        </w:tc>
        <w:tc>
          <w:tcPr>
            <w:tcW w:w="0" w:type="dxa"/>
            <w:vAlign w:val="bottom"/>
          </w:tcPr>
          <w:p>
            <w:pPr>
              <w:spacing w:after="0"/>
              <w:rPr>
                <w:sz w:val="1"/>
                <w:szCs w:val="1"/>
                <w:color w:val="auto"/>
              </w:rPr>
            </w:pPr>
          </w:p>
        </w:tc>
      </w:tr>
      <w:tr>
        <w:trPr>
          <w:trHeight w:val="243"/>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611,412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670,118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jc w:val="right"/>
              <w:ind w:right="375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6" w:right="25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2019, maturities of the Company's operating lease liabilities were as follows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2019 (remainder of year) $</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11,613</w:t>
            </w:r>
          </w:p>
        </w:tc>
      </w:tr>
      <w:tr>
        <w:trPr>
          <w:trHeight w:val="24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15,159</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15,042</w:t>
            </w:r>
          </w:p>
        </w:tc>
      </w:tr>
      <w:tr>
        <w:trPr>
          <w:trHeight w:val="24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15,026</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15,005</w:t>
            </w:r>
          </w:p>
        </w:tc>
      </w:tr>
      <w:tr>
        <w:trPr>
          <w:trHeight w:val="243"/>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685,975</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757,820</w:t>
            </w:r>
          </w:p>
        </w:tc>
      </w:tr>
      <w:tr>
        <w:trPr>
          <w:trHeight w:val="243"/>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0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(555,415)</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202,405</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transitioning from the guidance in ASC 840 to ASC 842, the Company's annual minimum lease payments did not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Expense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Operating lease costs represent the entire amount of expense recognized for operating leases that are recorded on the condensed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52" w:lineRule="exact"/>
        <w:rPr>
          <w:sz w:val="20"/>
          <w:szCs w:val="20"/>
          <w:color w:val="auto"/>
        </w:rPr>
      </w:pPr>
    </w:p>
    <w:tbl>
      <w:tblPr>
        <w:tblLayout w:type="fixed"/>
        <w:tblInd w:w="322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95"/>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31, 2019</w:t>
            </w:r>
          </w:p>
        </w:tc>
      </w:tr>
      <w:tr>
        <w:trPr>
          <w:trHeight w:val="250"/>
        </w:trPr>
        <w:tc>
          <w:tcPr>
            <w:tcW w:w="3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land right assets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Amortization expense related to the land right intangibles, as well as variable lease costs and the majority of the Company's operating lease costs are recorded within land rights and ground lease expense in the condensed consolidated statements of income. The Company's short-term lease costs are recorded in both gaming, food, beverage and other expense and general and administrative expense in the condensed consolidated statements of income, while a small portion of operating lease costs is also recorded in both gaming, food, beverage and other expense and general and administrative expense in the condensed consolidated statements of income. Amortization expense related to the land right intangibles and other lease costs totaled $2.7 million and $4.3 million, respectively, for the three months ended March 31,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Related to 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p>
      <w:pPr>
        <w:spacing w:after="0" w:line="232" w:lineRule="exact"/>
        <w:rPr>
          <w:sz w:val="20"/>
          <w:szCs w:val="20"/>
          <w:color w:val="auto"/>
        </w:rPr>
      </w:pPr>
    </w:p>
    <w:tbl>
      <w:tblPr>
        <w:tblLayout w:type="fixed"/>
        <w:tblInd w:w="1800" w:type="dxa"/>
        <w:tblCellMar>
          <w:top w:w="0" w:type="dxa"/>
          <w:left w:w="0" w:type="dxa"/>
          <w:bottom w:w="0" w:type="dxa"/>
          <w:right w:w="0" w:type="dxa"/>
        </w:tblCellMar>
      </w:tblPr>
      <w:tr>
        <w:trPr>
          <w:trHeight w:val="195"/>
        </w:trPr>
        <w:tc>
          <w:tcPr>
            <w:tcW w:w="5880" w:type="dxa"/>
            <w:vAlign w:val="bottom"/>
          </w:tcPr>
          <w:p>
            <w:pPr>
              <w:spacing w:after="0"/>
              <w:rPr>
                <w:sz w:val="16"/>
                <w:szCs w:val="16"/>
                <w:color w:val="auto"/>
              </w:rPr>
            </w:pPr>
          </w:p>
        </w:tc>
        <w:tc>
          <w:tcPr>
            <w:tcW w:w="19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2"/>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194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51.61 years</w:t>
            </w:r>
          </w:p>
        </w:tc>
      </w:tr>
      <w:tr>
        <w:trPr>
          <w:trHeight w:val="27"/>
        </w:trPr>
        <w:tc>
          <w:tcPr>
            <w:tcW w:w="58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9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58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6" w:right="259" w:bottom="1440" w:gutter="0" w:footer="0" w:header="0"/>
          <w:type w:val="continuous"/>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w:t>
      </w:r>
    </w:p>
    <w:p>
      <w:pPr>
        <w:spacing w:after="0" w:line="16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13335</wp:posOffset>
            </wp:positionV>
            <wp:extent cx="10636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7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24765</wp:posOffset>
            </wp:positionV>
            <wp:extent cx="470789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07890" cy="171450"/>
                    </a:xfrm>
                    <a:prstGeom prst="rect">
                      <a:avLst/>
                    </a:prstGeom>
                    <a:noFill/>
                  </pic:spPr>
                </pic:pic>
              </a:graphicData>
            </a:graphic>
          </wp:anchor>
        </w:drawing>
      </w:r>
    </w:p>
    <w:p>
      <w:pPr>
        <w:spacing w:after="0" w:line="2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leases liabilities:</w:t>
      </w:r>
    </w:p>
    <w:p>
      <w:pPr>
        <w:spacing w:after="0" w:line="63" w:lineRule="exact"/>
        <w:rPr>
          <w:sz w:val="20"/>
          <w:szCs w:val="20"/>
          <w:color w:val="auto"/>
        </w:rPr>
      </w:pPr>
    </w:p>
    <w:p>
      <w:pPr>
        <w:ind w:left="2120"/>
        <w:spacing w:after="0"/>
        <w:tabs>
          <w:tab w:leader="none" w:pos="7760" w:val="left"/>
          <w:tab w:leader="none" w:pos="9080" w:val="left"/>
        </w:tabs>
        <w:rPr>
          <w:sz w:val="20"/>
          <w:szCs w:val="20"/>
          <w:color w:val="auto"/>
        </w:rPr>
      </w:pPr>
      <w:r>
        <w:rPr>
          <w:rFonts w:ascii="Times New Roman" w:cs="Times New Roman" w:eastAsia="Times New Roman" w:hAnsi="Times New Roman"/>
          <w:sz w:val="18"/>
          <w:szCs w:val="18"/>
          <w:color w:val="auto"/>
        </w:rPr>
        <w:t xml:space="preserve">Operating cash flows from operating leases </w:t>
      </w:r>
      <w:r>
        <w:rPr>
          <w:rFonts w:ascii="Times New Roman" w:cs="Times New Roman" w:eastAsia="Times New Roman" w:hAnsi="Times New Roman"/>
          <w:sz w:val="25"/>
          <w:szCs w:val="25"/>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-15875</wp:posOffset>
            </wp:positionV>
            <wp:extent cx="470789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07890" cy="188595"/>
                    </a:xfrm>
                    <a:prstGeom prst="rect">
                      <a:avLst/>
                    </a:prstGeom>
                    <a:noFill/>
                  </pic:spPr>
                </pic:pic>
              </a:graphicData>
            </a:graphic>
          </wp:anchor>
        </w:drawing>
      </w:r>
    </w:p>
    <w:p>
      <w:pPr>
        <w:spacing w:after="0" w:line="26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34290</wp:posOffset>
            </wp:positionV>
            <wp:extent cx="470789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07890" cy="171450"/>
                    </a:xfrm>
                    <a:prstGeom prst="rect">
                      <a:avLst/>
                    </a:prstGeom>
                    <a:noFill/>
                  </pic:spPr>
                </pic:pic>
              </a:graphicData>
            </a:graphic>
          </wp:anchor>
        </w:drawing>
      </w:r>
    </w:p>
    <w:p>
      <w:pPr>
        <w:spacing w:after="0" w:line="43" w:lineRule="exact"/>
        <w:rPr>
          <w:sz w:val="20"/>
          <w:szCs w:val="20"/>
          <w:color w:val="auto"/>
        </w:rPr>
      </w:pPr>
    </w:p>
    <w:p>
      <w:pPr>
        <w:ind w:left="2160"/>
        <w:spacing w:after="0"/>
        <w:tabs>
          <w:tab w:leader="none" w:pos="7760" w:val="left"/>
          <w:tab w:leader="none" w:pos="9160" w:val="left"/>
        </w:tabs>
        <w:rPr>
          <w:sz w:val="20"/>
          <w:szCs w:val="20"/>
          <w:color w:val="auto"/>
        </w:rPr>
      </w:pPr>
      <w:r>
        <w:rPr>
          <w:rFonts w:ascii="Times New Roman" w:cs="Times New Roman" w:eastAsia="Times New Roman" w:hAnsi="Times New Roman"/>
          <w:sz w:val="18"/>
          <w:szCs w:val="18"/>
          <w:color w:val="auto"/>
        </w:rPr>
        <w:t>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80" w:firstLine="656"/>
        <w:spacing w:after="0" w:line="286" w:lineRule="auto"/>
        <w:tabs>
          <w:tab w:leader="none" w:pos="827" w:val="left"/>
        </w:tabs>
        <w:numPr>
          <w:ilvl w:val="1"/>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61" w:lineRule="exact"/>
        <w:rPr>
          <w:rFonts w:ascii="Times New Roman" w:cs="Times New Roman" w:eastAsia="Times New Roman" w:hAnsi="Times New Roman"/>
          <w:sz w:val="21"/>
          <w:szCs w:val="21"/>
          <w:color w:val="auto"/>
          <w:vertAlign w:val="superscript"/>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is as follows:</w:t>
      </w:r>
    </w:p>
    <w:p>
      <w:pPr>
        <w:spacing w:after="0" w:line="15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$1,175 million revolver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 A-1</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 million 4.875% senior unsecured notes due November 2020</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 million 4.375% senior unsecured notes due April 2021</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million 5.375% senior unsecured notes due November 2023</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$850 million 5.25% senior unsecured notes due June 2025</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$975 million 5.375% senior unsecured notes due April 2026</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975,000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million 5.75% senior unsecured notes due June 2028</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 million 5.30% senior unsecured notes due January 2029</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liability</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5,842,082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5,903,112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bond premiums and original issuance discounts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7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long-term debt, net of unamortized debt issuance costs, bond premiums and original</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5,795,122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5,853,497</w:t>
            </w:r>
          </w:p>
        </w:tc>
        <w:tc>
          <w:tcPr>
            <w:tcW w:w="0" w:type="dxa"/>
            <w:vAlign w:val="bottom"/>
          </w:tcPr>
          <w:p>
            <w:pPr>
              <w:spacing w:after="0"/>
              <w:rPr>
                <w:sz w:val="1"/>
                <w:szCs w:val="1"/>
                <w:color w:val="auto"/>
              </w:rPr>
            </w:pPr>
          </w:p>
        </w:tc>
      </w:tr>
      <w:tr>
        <w:trPr>
          <w:trHeight w:val="241"/>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discounts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schedule of future minimum repayments of long-term debt as of March 31, 2019 (in thousands):</w:t>
      </w:r>
    </w:p>
    <w:p>
      <w:pPr>
        <w:spacing w:after="0" w:line="162"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Within one year</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1,925,268</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 years</w:t>
            </w:r>
          </w:p>
        </w:tc>
        <w:tc>
          <w:tcPr>
            <w:tcW w:w="1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841,294</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Over 5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3,075,395</w:t>
            </w: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5,842,082</w:t>
            </w: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Credit Facility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senior unsecured credit facility (the "Credit Facility"), consists of a $1,175 million revolving credit facility and a $525 million Term Loan A-1 facility. The revolving credit facility matures on May 21, 2023 and the Term Loan A-1 facility matures on April 28, 2021.</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At March 31, 2019, the Credit Facility had a gross outstanding balance of $866 million, consisting of the $525 million Term Loan A-1 facility and $341 million of borrowings under the revolving credit facility. Additionally, at March 31, 2019, the Company was contingently obligated under letters of credit issued pursuant to the Credit Facility with face amounts</w:t>
      </w:r>
    </w:p>
    <w:p>
      <w:pPr>
        <w:sectPr>
          <w:pgSz w:w="11900" w:h="16838" w:orient="portrait"/>
          <w:cols w:equalWidth="0" w:num="1">
            <w:col w:w="11320"/>
          </w:cols>
          <w:pgMar w:left="240" w:top="126" w:right="33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20"/>
          </w:cols>
          <w:pgMar w:left="240" w:top="126" w:right="339" w:bottom="1440" w:gutter="0" w:footer="0" w:header="0"/>
          <w:type w:val="continuous"/>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aggregating approximately $0.4 million, resulting in $833.6 million of available borrowing capacity under the revolving credit facility as of March 31, 2019.</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March 31, 2019, the Company was in compliance with all required financial covenants under the Credit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229" w:lineRule="exact"/>
        <w:rPr>
          <w:sz w:val="20"/>
          <w:szCs w:val="20"/>
          <w:color w:val="auto"/>
        </w:rPr>
      </w:pPr>
    </w:p>
    <w:p>
      <w:pPr>
        <w:ind w:right="20" w:firstLine="683"/>
        <w:spacing w:after="0" w:line="261" w:lineRule="auto"/>
        <w:rPr>
          <w:sz w:val="20"/>
          <w:szCs w:val="20"/>
          <w:color w:val="auto"/>
        </w:rPr>
      </w:pPr>
      <w:r>
        <w:rPr>
          <w:rFonts w:ascii="Times New Roman" w:cs="Times New Roman" w:eastAsia="Times New Roman" w:hAnsi="Times New Roman"/>
          <w:sz w:val="18"/>
          <w:szCs w:val="18"/>
          <w:color w:val="auto"/>
        </w:rPr>
        <w:t>At March 31, 2019, the Company had $4,975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2019, the Company was in compliance with all required financial covenants under its Senior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 Liability</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assumed the finance lease obligations related to certain assets at its Aurora, Illinois property. GLPI recorded the asset and liability associated with the finance lease on its condensed consolidated balance sheet. The original term of the finance lease was 30 years and it will terminate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of Financial Assets and Liabilities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18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 as there is little, if any, related market activity.</w:t>
      </w:r>
    </w:p>
    <w:p>
      <w:pPr>
        <w:spacing w:after="0" w:line="27" w:lineRule="exact"/>
        <w:rPr>
          <w:sz w:val="20"/>
          <w:szCs w:val="20"/>
          <w:color w:val="auto"/>
        </w:rPr>
      </w:pPr>
    </w:p>
    <w:p>
      <w:pPr>
        <w:ind w:right="420" w:firstLine="357"/>
        <w:spacing w:after="0" w:line="261"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methods and assumptions are used to estimate the fair value of each class of financial instruments for which it is practicable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cash and cash equivalents approximates the carrying value of the Company’s cash and cash equivalents, due to the short maturity of the cash equivalents.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Compensation Plan Assets</w:t>
      </w:r>
    </w:p>
    <w:p>
      <w:pPr>
        <w:spacing w:after="0" w:line="227"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Mortgage Loans Receivable</w:t>
      </w:r>
    </w:p>
    <w:p>
      <w:pPr>
        <w:spacing w:after="0" w:line="22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mortgage loans receivable approximates the carrying value of the Company's mortgage loans receivable, as collection on the outstanding loan balances is reasonably assured. The fair value measurement of the mortgage loans receivable is considered a Level 3 measurement as defined under ASC 820.</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Senior Notes and senior unsecured credit facility is estimated based on quoted prices in active markets and as such is a Level 1 measurement as defined under ASC 820.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1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20" w:type="dxa"/>
            <w:vAlign w:val="bottom"/>
            <w:tcBorders>
              <w:bottom w:val="single" w:sz="8" w:color="auto"/>
            </w:tcBorders>
          </w:tcPr>
          <w:p>
            <w:pPr>
              <w:spacing w:after="0"/>
              <w:rPr>
                <w:sz w:val="16"/>
                <w:szCs w:val="16"/>
                <w:color w:val="auto"/>
              </w:rPr>
            </w:pPr>
          </w:p>
        </w:tc>
      </w:tr>
      <w:tr>
        <w:trPr>
          <w:trHeight w:val="149"/>
        </w:trPr>
        <w:tc>
          <w:tcPr>
            <w:tcW w:w="5160" w:type="dxa"/>
            <w:vAlign w:val="bottom"/>
          </w:tcPr>
          <w:p>
            <w:pPr>
              <w:spacing w:after="0"/>
              <w:rPr>
                <w:sz w:val="12"/>
                <w:szCs w:val="12"/>
                <w:color w:val="auto"/>
              </w:rPr>
            </w:pPr>
          </w:p>
        </w:tc>
        <w:tc>
          <w:tcPr>
            <w:tcW w:w="212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214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20" w:type="dxa"/>
            <w:vAlign w:val="bottom"/>
          </w:tcPr>
          <w:p>
            <w:pPr>
              <w:jc w:val="right"/>
              <w:ind w:right="515"/>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160" w:type="dxa"/>
            <w:vAlign w:val="bottom"/>
          </w:tcPr>
          <w:p>
            <w:pPr>
              <w:spacing w:after="0"/>
              <w:rPr>
                <w:sz w:val="16"/>
                <w:szCs w:val="16"/>
                <w:color w:val="auto"/>
              </w:rPr>
            </w:pPr>
          </w:p>
        </w:tc>
        <w:tc>
          <w:tcPr>
            <w:tcW w:w="21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1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30,334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25,783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25,783</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26,119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26,119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22,709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22,709</w:t>
            </w: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loans receivable</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303,684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303,684</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303,684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303,684</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Senior unsecured credit facility</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866,000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857,495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927,000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909,308</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Senior unsecured notes</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4,975,000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5,191,775</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4,975,000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4,958,455</w:t>
            </w:r>
          </w:p>
        </w:tc>
      </w:tr>
    </w:tbl>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4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periods subsequent to initial recognition. Assets measured at fair value on a nonrecurring basis during the three months ended March 31, 2019 are categorized in the table below based upon the lowest level of significant input to the valuation. There were no assets measured at fair value on a nonrecurring basis during the three months ended March 31, 2018 or liabilities measured at fair value on a nonrecurring basis during the three months ended March 31, 2019 and 2018.</w:t>
      </w:r>
    </w:p>
    <w:p>
      <w:pPr>
        <w:spacing w:after="0" w:line="37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Total Impairment Charges</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19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Recorded during the Three</w:t>
            </w:r>
          </w:p>
        </w:tc>
        <w:tc>
          <w:tcPr>
            <w:tcW w:w="0" w:type="dxa"/>
            <w:vAlign w:val="bottom"/>
          </w:tcPr>
          <w:p>
            <w:pPr>
              <w:spacing w:after="0"/>
              <w:rPr>
                <w:sz w:val="1"/>
                <w:szCs w:val="1"/>
                <w:color w:val="auto"/>
              </w:rPr>
            </w:pPr>
          </w:p>
        </w:tc>
      </w:tr>
      <w:tr>
        <w:trPr>
          <w:trHeight w:val="195"/>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 March 31, 2019</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receivable</w:t>
            </w:r>
          </w:p>
        </w:tc>
        <w:tc>
          <w:tcPr>
            <w:tcW w:w="200" w:type="dxa"/>
            <w:vAlign w:val="bottom"/>
          </w:tcPr>
          <w:p>
            <w:pPr>
              <w:spacing w:after="0"/>
              <w:rPr>
                <w:sz w:val="21"/>
                <w:szCs w:val="21"/>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 on a nonrecurring basis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 Receivable</w:t>
      </w:r>
    </w:p>
    <w:p>
      <w:pPr>
        <w:spacing w:after="0" w:line="22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2019, the Company recorded an impairment charge of $13.0 million related to the write-off of the principal due to the Company under its unsecured loan to CQ Holding Company. The Company no longer expects the proceeds from the sale of the operating assets of Casino Queen to generate enough cash to repay all of Casino Queen's</w:t>
      </w:r>
    </w:p>
    <w:p>
      <w:pPr>
        <w:sectPr>
          <w:pgSz w:w="11900" w:h="16838" w:orient="portrait"/>
          <w:cols w:equalWidth="0" w:num="1">
            <w:col w:w="11420"/>
          </w:cols>
          <w:pgMar w:left="240" w:top="12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6" w:right="239" w:bottom="1440" w:gutter="0" w:footer="0" w:header="0"/>
          <w:type w:val="continuous"/>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creditors, including the Company. Thus, because the Company does not expect Casino Queen to repay the $13.0 million of principal due to it under the unsecured loan agreement, the full $13.0 million of principal was written off at March 31, 2019. The Company has recorded an impairment charge of $13.0 million through the condensed consolidated statement of income for the three months ended March 31, 2019 to reflect the write-off of the Casino Queen loan. See Note 6 for further details surrounding the Casino Queen loan.</w:t>
      </w:r>
    </w:p>
    <w:p>
      <w:pPr>
        <w:spacing w:after="0" w:line="176"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 Recognition</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As of March 31, 2019, 20 of the Company’s real estate investment properties were leased to a subsidiary of Penn under the Penn Master Lease, an additional 12 of the Company's real estate investment properties were leased to a subsidiary of Penn under the Amended Pinnacle Master Lease, 5 of the Company's real estate investment properties were leased to a subsidiary of Eldorado under the Eldorado Master Lease and 3 of the Company's real estate investment properties were leased to a subsidiary of Boyd under the Boyd Master Lease. Additionally, the Meadows real estate assets are leased to Penn under a single property triple-net lease and the Casino Queen real estate assets are leased back to the operator under an additional single property triple-net lease.</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obligations under the Penn and Amended Pinnacle Master Leases are guaranteed by Penn and by most of Penn's subsidiaries that occupy and operate the facilities leased under these master leases. A default by Penn or its subsidiaries with regard to any facility under the Penn Master Lease will cause a default with regard to the Penn Master Lease and a default by Penn or its subsidiaries with regard to any facility under the Amended Pinnacle Master Lease will cause a default with regard to the Amended Pinnacle Master Lease. The obligations under the Eldorado Master Lease are guaranteed by Eldorado and by most of Eldorado's subsidiaries that occupy and operate the facilities leased under the Eldorado Master Lease. A default by Eldorado or its subsidiaries with regard to any facility under the Eldorado Master Lease will cause a default with regard to the Eldorado Master Lease. The obligations under the Boyd Master Leases are guaranteed by most of Boyd's subsidiaries that occupy and operate the facilities leased under the Boyd Master Lease. A default by Boyd or its subsidiaries with regard to any facility under the Boyd Master Lease will cause a default with regard to the Boyd Master Lease.</w:t>
      </w:r>
    </w:p>
    <w:p>
      <w:pPr>
        <w:spacing w:after="0" w:line="18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condensed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Company’s triple-net tenant leases all contain a fixed component, a portion of which is subject to an annual escalator (typically 2%) if certain rent coverage ratio thresholds are met and a component that is based on the performance of the facilities subject to such lease, which is adjusted, subject to certain floors, every 2 to 5 years to an amount equal to 4% of the average annual net revenues of all facilities under the related tenant lease during the preceding 2 to 5 years. The Penn Master Lease also provides for a component that is based on the performance of two Ohio facilities, which is adjusted, subject to certain floors monthly by an amount equal to 20% of the net revenues of Hollywood Casino Columbus and Hollywood Casino Toledo (together, the "Ohio Properties") during the preceding month.</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rent, as triple-net lessees, all of the Company's tenants are required to pay the following executory costs: (1) all facility maintenance,</w:t>
      </w:r>
    </w:p>
    <w:p>
      <w:pPr>
        <w:spacing w:after="0" w:line="27" w:lineRule="exact"/>
        <w:rPr>
          <w:sz w:val="20"/>
          <w:szCs w:val="20"/>
          <w:color w:val="auto"/>
        </w:rPr>
      </w:pPr>
    </w:p>
    <w:p>
      <w:pPr>
        <w:ind w:left="5620" w:right="4440" w:hanging="5612"/>
        <w:spacing w:after="0" w:line="542"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required in connection with the leased properties and the business conducted on 18</w:t>
      </w:r>
    </w:p>
    <w:p>
      <w:pPr>
        <w:sectPr>
          <w:pgSz w:w="11900" w:h="16838" w:orient="portrait"/>
          <w:cols w:equalWidth="0" w:num="1">
            <w:col w:w="11400"/>
          </w:cols>
          <w:pgMar w:left="240" w:top="126" w:right="25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62"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Additionally,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5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determined, based on facts and circumstances prevailing at the time of each lease's inception, that neither Penn nor Casino Queen could continue as a going concern without the property(ies) that are leased to them under the respective master lease agreement (in the instance of Penn) and single property lease (in the instance of Casino Queen) with the Company.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lease would impose a significant penalty on such tenant such that renewal of all lease renewal options appeared at lease inception to be reasonably assured. Therefore, the Company concluded that the term of Penn Master Lease and the Casino Queen Lease is 35 years, equal to the initial 15-year term plus all four of the 5-year renewal options.</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October 15, 2018, in conjunction with the Penn-Pinnacle Merger, the Pinnacle Master Lease was amended by a fourth amendment to such lease to allow for the sale of the operating assets of Ameristar Casino Hotel Kansas City, Ameristar Casino Resort Spa St. Charles and Belterra Casino Resort from Pinnacle to Boyd. As a result of this amendment, the Company reassessed the lease's classification and determined the new lease agreement qualified for operating lease treatment under ASC 840. Therefore, subsequent to the Penn-Pinnacle Merger, the Amended Pinnacle Master Lease is treated as an operating lease in its entirety. Because the properties under the Amended Pinnacle Master Lease, do not represent a meaningful portion of Penn's business at the time Penn assumed the lease, the Company has concluded that the lease term of the Amended Pinnacle Master Lease is 10 years (from the original April 2016 commencement date of the Pinnacle Master Lease), equal to the initial 10-year term only.</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Subsequent to purchasing the majority of Pinnacle's real estate assets and leasing them back to Pinnacle, the Company entered into a separate triple-net lease with Pinnacle to lease the Meadows real estate assets to Pinnacle. Because this lease involved only a single property within Pinnacle's portfolio, GLPI concluded it was not reasonably assured at lease inception that Pinnacle would elect to exercise all lease renewal options. Therefore, the Company concluded that the lease term of the Meadows Lease is 10 years, equal to the initial 10-year term only. In conjunction with the Penn-Pinnacle Merger, Penn assumed the Meadows Lease. The accounting for the Meadows Lease, including the lease term was not impacted by the change in tenant. Based upon similar fact patterns, the Company concluded it was not reasonably assured at lease inception that Eldorado or Boyd would elect to exercise all lease renewal options under their respective master leases. The properties under each master lease do not represent a meaningful portion of either tenant's business at lease inception; therefore the Company has concluded that the lease term of the Eldorado Master Lease is 15 years and the lease term of the Boyd Master Lease is 10 years (from the original April 2016 commencement date of the Pinnacle Master Lease), equal to the initial terms of such master leases only.</w:t>
      </w:r>
    </w:p>
    <w:p>
      <w:pPr>
        <w:spacing w:after="0" w:line="10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may periodically loan funds to casino owner-operators pursuant to secured mortgage loans for the purchase of gaming related properties. Interest income related to mortgage loans receivable is recorded as revenue from mortgaged real estate within the Company's condensed consolidated statements of income in the period earned. At March 31, 2019, the Company had financial interests in two casino properties, Belterra Park and Lumière Place, pursuant to the secured mortgage loans made by the Company to the respective casino owner-operators, Boyd and Eldorado.</w:t>
      </w:r>
    </w:p>
    <w:p>
      <w:pPr>
        <w:spacing w:after="0" w:line="9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6" w:right="259"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tokens, outstanding counter checks (markers), and front money that are removed from the live gaming tables. Additionally, food and beverage revenue is recognized as services are performed.</w:t>
      </w:r>
    </w:p>
    <w:p>
      <w:pPr>
        <w:spacing w:after="0" w:line="16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Gaming revenue is recognized net of certain sales incentives, including promotional allowances in accordance with ASC 606 -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also defers a portion of the revenue received from customers (who participate in the points-based loyalty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play and attributed to the awarded points until a later period when the points are redeemed or forfeited.</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the TRS Properties, the Company is subject to gaming taxes based on gross gaming revenues in the jurisdictions in which it operates. The Company recognizes gaming tax expense based on the statutorily required percentage of revenue that is required to be paid to state and local jurisdictions in the states where wagering occurs. The Company records gaming taxes at the Company’s estimated effective gaming tax rate for the year, considering estimated taxable gaming revenue and the applicable rates. Such estimates are adjusted each interim period. If gaming tax rates change during the year, such changes are applied prospectively in the determination of gaming tax expense in future interim periods. For the three months ended March 31, 2019 and 2018, these expenses, which are recorded within gaming, food, beverage and other expense in the condensed consolidated statements of income, totaled $14.0 million and $14.2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calculates earnings per share ("EPS") in accordance with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8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weighted-average common shares outstanding used in the calculation of basic EPS to the weighted-average common shares outstanding used in the calculation of diluted EPS for the three months ended March 31, 2019 and 2018:</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5200" w:type="dxa"/>
            <w:vAlign w:val="bottom"/>
          </w:tcPr>
          <w:p>
            <w:pPr>
              <w:spacing w:after="0"/>
              <w:rPr>
                <w:sz w:val="22"/>
                <w:szCs w:val="22"/>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200" w:type="dxa"/>
            <w:vAlign w:val="bottom"/>
          </w:tcPr>
          <w:p>
            <w:pPr>
              <w:spacing w:after="0"/>
              <w:rPr>
                <w:sz w:val="17"/>
                <w:szCs w:val="17"/>
                <w:color w:val="auto"/>
              </w:rPr>
            </w:pPr>
          </w:p>
        </w:tc>
        <w:tc>
          <w:tcPr>
            <w:tcW w:w="2100" w:type="dxa"/>
            <w:vAlign w:val="bottom"/>
            <w:gridSpan w:val="3"/>
          </w:tcPr>
          <w:p>
            <w:pPr>
              <w:jc w:val="center"/>
              <w:ind w:left="9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7"/>
                <w:szCs w:val="17"/>
                <w:color w:val="auto"/>
              </w:rPr>
            </w:pPr>
          </w:p>
        </w:tc>
      </w:tr>
      <w:tr>
        <w:trPr>
          <w:trHeight w:val="255"/>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Determination of shares:</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213,304</w:t>
            </w:r>
          </w:p>
        </w:tc>
      </w:tr>
      <w:tr>
        <w:trPr>
          <w:trHeight w:val="27"/>
        </w:trPr>
        <w:tc>
          <w:tcPr>
            <w:tcW w:w="5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Assumed conversion of dilutive employee stock-based awards</w:t>
            </w:r>
          </w:p>
        </w:tc>
        <w:tc>
          <w:tcPr>
            <w:tcW w:w="210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Assumed conversion of restricted stock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5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Assumed conversion of performance-based restricted stock awards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5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215,288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214,682</w:t>
            </w:r>
          </w:p>
        </w:tc>
      </w:tr>
      <w:tr>
        <w:trPr>
          <w:trHeight w:val="20"/>
        </w:trPr>
        <w:tc>
          <w:tcPr>
            <w:tcW w:w="5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78"/>
        </w:trPr>
        <w:tc>
          <w:tcPr>
            <w:tcW w:w="5200" w:type="dxa"/>
            <w:vAlign w:val="bottom"/>
          </w:tcPr>
          <w:p>
            <w:pPr>
              <w:spacing w:after="0"/>
              <w:rPr>
                <w:sz w:val="24"/>
                <w:szCs w:val="24"/>
                <w:color w:val="auto"/>
              </w:rPr>
            </w:pPr>
          </w:p>
        </w:tc>
        <w:tc>
          <w:tcPr>
            <w:tcW w:w="15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00"/>
          </w:cols>
          <w:pgMar w:left="240" w:top="126" w:right="259"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20"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EPS for the Company’s common stock for the three months ended March 31, 2019 and 2018:</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5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55"/>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Calculation of basic EPS: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96,772</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allocated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7"/>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96,610</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213,304</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0.45</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5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Calculation of diluted EPS: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96,772</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214,682</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0.45</w:t>
            </w:r>
          </w:p>
        </w:tc>
      </w:tr>
      <w:tr>
        <w:trPr>
          <w:trHeight w:val="27"/>
        </w:trPr>
        <w:tc>
          <w:tcPr>
            <w:tcW w:w="5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There were 78,483 and 176,641 outstanding equity based awards during the three months ended March 31, 2019 and 2018, respectively, that were not included in the computation of diluted EPS because they were antidilutive.</w:t>
      </w:r>
    </w:p>
    <w:p>
      <w:pPr>
        <w:spacing w:after="0" w:line="158"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lists the dividends declared and paid by the Company during the three months ended March 31, 2019 and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Shareholder Record</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Dividend Per</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2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Period Covered</w:t>
            </w: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Distribution Date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 Amount</w:t>
            </w:r>
          </w:p>
        </w:tc>
      </w:tr>
      <w:tr>
        <w:trPr>
          <w:trHeight w:val="33"/>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6"/>
        </w:trPr>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w:t>
            </w: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r>
      <w:tr>
        <w:trPr>
          <w:trHeight w:val="210"/>
        </w:trPr>
        <w:tc>
          <w:tcPr>
            <w:tcW w:w="22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February 20, 2019</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8, 2019</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Stock</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8"/>
                <w:szCs w:val="18"/>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First Quarter 2019</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22,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145,954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03"/>
        </w:trPr>
        <w:tc>
          <w:tcPr>
            <w:tcW w:w="2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6"/>
        </w:trPr>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Common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22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February 1, 2018</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9, 2018</w:t>
            </w: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Stock</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First Quarter 2018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23,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134,490</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for both the three months ended March 31, 2019 and 2018, dividend payments were made to GLPI restricted stock award holders in the amount of $0.2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227"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stock compensation under ASC 718 -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there was $10.6 million of total unrecognized compensation cost for restricted stock awards that will be recognized over the grants' remaining weighted average vesting period of 1.90 years. For the three months ended March 31, 2019 and 2018, the Company recognized $2.0 million and $1.4 million, respectively, of compensation expense associated with these awards.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6" w:right="239" w:bottom="1440" w:gutter="0" w:footer="0" w:header="0"/>
          <w:type w:val="continuous"/>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contains information on restricted stock award activity for the three months ended March 31, 2019:</w:t>
      </w:r>
    </w:p>
    <w:p>
      <w:pPr>
        <w:spacing w:after="0" w:line="15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0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Number of Award</w:t>
            </w:r>
          </w:p>
        </w:tc>
      </w:tr>
      <w:tr>
        <w:trPr>
          <w:trHeight w:val="195"/>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42"/>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2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299,642</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317,290</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(252,704)</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364,228</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March 31, 2019, there was $15.3 million of total unrecognized compensation cost, which will be recognized over the performance-based restricted stock awards' remaining weighted average vesting period of 2.17 years. For the three months ended March 31, 2019 and 2018, the Company recognized $2.3 million and $2.6 million, respectively, of compensation expense associated with these awards,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contains information on performance-based restricted stock award activity for the three months ended March 31, 2019:</w:t>
      </w:r>
    </w:p>
    <w:p>
      <w:pPr>
        <w:spacing w:after="0" w:line="15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Performance-Based</w:t>
            </w:r>
          </w:p>
        </w:tc>
      </w:tr>
      <w:tr>
        <w:trPr>
          <w:trHeight w:val="195"/>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Award Shares</w:t>
            </w:r>
          </w:p>
        </w:tc>
      </w:tr>
      <w:tr>
        <w:trPr>
          <w:trHeight w:val="242"/>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2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1,342,000</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512,000</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(447,334)</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(23,332)</w:t>
            </w:r>
          </w:p>
        </w:tc>
      </w:tr>
      <w:tr>
        <w:trPr>
          <w:trHeight w:val="25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1,383,334</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68"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Consistent with how the Company’s Chief Operating Decision Maker (as such term is defined in ASC 280 -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reviews and assesses the Company’s financial performance, the Company has two reportable segments, GLP Capital, L.P. (a wholly-owned subsidiary of GLPI through which GLPI owns substantially all of its assets) ("GLP Capital")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with respect to the Company’s segments.</w:t>
      </w:r>
    </w:p>
    <w:p>
      <w:pPr>
        <w:spacing w:after="0" w:line="200" w:lineRule="exact"/>
        <w:rPr>
          <w:sz w:val="20"/>
          <w:szCs w:val="20"/>
          <w:color w:val="auto"/>
        </w:rPr>
      </w:pPr>
    </w:p>
    <w:p>
      <w:pPr>
        <w:spacing w:after="0" w:line="343"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780" w:type="dxa"/>
            <w:vAlign w:val="bottom"/>
            <w:tcBorders>
              <w:bottom w:val="single" w:sz="8" w:color="auto"/>
            </w:tcBorders>
          </w:tcPr>
          <w:p>
            <w:pPr>
              <w:spacing w:after="0"/>
              <w:rPr>
                <w:sz w:val="16"/>
                <w:szCs w:val="16"/>
                <w:color w:val="auto"/>
              </w:rPr>
            </w:pPr>
          </w:p>
        </w:tc>
      </w:tr>
      <w:tr>
        <w:trPr>
          <w:trHeight w:val="264"/>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xml:space="preserve">GLP Capital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TRS Properties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xml:space="preserve">GLP Capital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TRS Properties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254,871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287,864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209,304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34,746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244,050</w:t>
            </w:r>
          </w:p>
        </w:tc>
      </w:tr>
      <w:tr>
        <w:trPr>
          <w:trHeight w:val="26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164,869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170,775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144,874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151,851</w:t>
            </w:r>
          </w:p>
        </w:tc>
      </w:tr>
      <w:tr>
        <w:trPr>
          <w:trHeight w:val="27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74,127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2,601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76,728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51,467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2,601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54,068</w:t>
            </w:r>
          </w:p>
        </w:tc>
      </w:tr>
      <w:tr>
        <w:trPr>
          <w:trHeight w:val="26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2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90,831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94,136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93,887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98,264</w:t>
            </w:r>
          </w:p>
        </w:tc>
      </w:tr>
      <w:tr>
        <w:trPr>
          <w:trHeight w:val="27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1,492</w:t>
            </w:r>
          </w:p>
        </w:tc>
      </w:tr>
      <w:tr>
        <w:trPr>
          <w:trHeight w:val="26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90,763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93,010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93,716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96,772</w:t>
            </w:r>
          </w:p>
        </w:tc>
      </w:tr>
      <w:tr>
        <w:trPr>
          <w:trHeight w:val="27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56,175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58,578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25,615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27,954</w:t>
            </w:r>
          </w:p>
        </w:tc>
      </w:tr>
      <w:tr>
        <w:trPr>
          <w:trHeight w:val="26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Capital project expenditures</w:t>
            </w:r>
          </w:p>
        </w:tc>
        <w:tc>
          <w:tcPr>
            <w:tcW w:w="1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maintenance expenditures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822</w:t>
            </w:r>
          </w:p>
        </w:tc>
      </w:tr>
    </w:tbl>
    <w:p>
      <w:pPr>
        <w:spacing w:after="0" w:line="200" w:lineRule="exact"/>
        <w:rPr>
          <w:sz w:val="20"/>
          <w:szCs w:val="20"/>
          <w:color w:val="auto"/>
        </w:rPr>
      </w:pPr>
    </w:p>
    <w:p>
      <w:pPr>
        <w:sectPr>
          <w:pgSz w:w="11900" w:h="16838" w:orient="portrait"/>
          <w:cols w:equalWidth="0" w:num="1">
            <w:col w:w="11380"/>
          </w:cols>
          <w:pgMar w:left="240" w:top="126" w:right="27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126" w:right="279" w:bottom="1440" w:gutter="0" w:footer="0" w:header="0"/>
          <w:type w:val="continuous"/>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62" w:lineRule="exact"/>
        <w:rPr>
          <w:sz w:val="20"/>
          <w:szCs w:val="20"/>
          <w:color w:val="auto"/>
        </w:rPr>
      </w:pPr>
    </w:p>
    <w:p>
      <w:pPr>
        <w:ind w:left="680" w:hanging="348"/>
        <w:spacing w:after="0"/>
        <w:tabs>
          <w:tab w:leader="none" w:pos="680" w:val="left"/>
        </w:tabs>
        <w:numPr>
          <w:ilvl w:val="1"/>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Interest expense is net of intercompany interest eliminations of $2.6 million for both the three months ended March 31, 2019 and 2018.</w:t>
      </w:r>
    </w:p>
    <w:p>
      <w:pPr>
        <w:spacing w:after="0" w:line="239" w:lineRule="exact"/>
        <w:rPr>
          <w:rFonts w:ascii="Times New Roman" w:cs="Times New Roman" w:eastAsia="Times New Roman" w:hAnsi="Times New Roman"/>
          <w:sz w:val="11"/>
          <w:szCs w:val="11"/>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of Cash Flow Information and Noncash Activities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disclosures of cash flow information are as follows:</w:t>
      </w:r>
    </w:p>
    <w:p>
      <w:pPr>
        <w:spacing w:after="0" w:line="165" w:lineRule="exact"/>
        <w:rPr>
          <w:sz w:val="20"/>
          <w:szCs w:val="20"/>
          <w:color w:val="auto"/>
        </w:rPr>
      </w:pPr>
    </w:p>
    <w:tbl>
      <w:tblPr>
        <w:tblLayout w:type="fixed"/>
        <w:tblInd w:w="154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2520" w:type="dxa"/>
            <w:vAlign w:val="bottom"/>
            <w:tcBorders>
              <w:bottom w:val="single" w:sz="8" w:color="auto"/>
            </w:tcBorders>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264"/>
        </w:trPr>
        <w:tc>
          <w:tcPr>
            <w:tcW w:w="53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50"/>
        </w:trPr>
        <w:tc>
          <w:tcPr>
            <w:tcW w:w="5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21"/>
                <w:szCs w:val="21"/>
                <w:color w:val="auto"/>
              </w:rPr>
            </w:pPr>
          </w:p>
        </w:tc>
      </w:tr>
      <w:tr>
        <w:trPr>
          <w:trHeight w:val="255"/>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88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96"/>
              </w:rPr>
              <w:t>20,850</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8,549</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January 1, 2019, in conjunction with its adoption of ASU 2016-02, the Company recorded right-of-use assets and related lease liabilities of $203 million on its condensed consolidated balance sheet to represent its rights to underlying assets and future lease obligations. The Company did not engage in any other noncash investing and financing activities during the three months ended March 31, 2019 and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Supplementary Condensed Consolidating Financial Information of Parent Guarantor and Subsidiary Issuers</w:t>
      </w:r>
    </w:p>
    <w:p>
      <w:pPr>
        <w:spacing w:after="0" w:line="27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GLPI guarantees the Senior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other subsidiaries guarantee the Senior Notes.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Summarized balance sheets as of March 31, 2019 and December 31, 2018 and statements of income and cash flows for the three months ended March 31, 2019 and 2018 for GLPI as the parent guarantor, for GLP Capital, L.P. and GLP Financing II, Inc. as the subsidiary issuers and the other subsidiary non-issuers is presented below.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6" w:right="25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20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20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2,608,928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4,666,668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7,275,596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used in operations,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80,433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98,513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 loans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303,684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and 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664,351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872,656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Intercompany loan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193,595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transactions and investment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2,207,684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5,198,680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2,641,226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31,415</w:t>
            </w:r>
          </w:p>
        </w:tc>
        <w:tc>
          <w:tcPr>
            <w:tcW w:w="0" w:type="dxa"/>
            <w:vAlign w:val="bottom"/>
          </w:tcPr>
          <w:p>
            <w:pPr>
              <w:spacing w:after="0"/>
              <w:rPr>
                <w:sz w:val="1"/>
                <w:szCs w:val="1"/>
                <w:color w:val="auto"/>
              </w:rPr>
            </w:pPr>
          </w:p>
        </w:tc>
      </w:tr>
      <w:tr>
        <w:trPr>
          <w:trHeight w:val="297"/>
        </w:trPr>
        <w:tc>
          <w:tcPr>
            <w:tcW w:w="48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2,207,684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8,510,389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8,169,944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(10,241,185)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8,646,832</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98,223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property, and other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108,013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94,392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202,405</w:t>
            </w:r>
          </w:p>
        </w:tc>
        <w:tc>
          <w:tcPr>
            <w:tcW w:w="0" w:type="dxa"/>
            <w:vAlign w:val="bottom"/>
          </w:tcPr>
          <w:p>
            <w:pPr>
              <w:spacing w:after="0"/>
              <w:rPr>
                <w:sz w:val="1"/>
                <w:szCs w:val="1"/>
                <w:color w:val="auto"/>
              </w:rPr>
            </w:pPr>
          </w:p>
        </w:tc>
      </w:tr>
      <w:tr>
        <w:trPr>
          <w:trHeight w:val="225"/>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 net of unamortized debt issuance costs, bond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premiums and original issuance discounts</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5,795,122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5,795,122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loan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rental revenue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269,848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32,707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302,555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6,302,705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330,038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6,439,148</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50,000,000 shares authorized,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 shares issued or outstanding at March 31, 2019)</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($.01 par value, 500,000,000 shares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214,645,500 shares issued and outstanding at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March 31, 2019)</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3,947,768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3,947,770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9,828,095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(13,775,865)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3,947,768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accumulated (deficit)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3,732,567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(1,742,230)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2,207,684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2,207,684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7,839,906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(10,047,590)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2,207,684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2,207,684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8,510,389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8,169,944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(10,241,185)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8,646,832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2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Rental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138,253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109,425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247,678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from mortgage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income from real estate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143,843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111,028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254,871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32,993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32,993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143,843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144,021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287,864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58,578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 impairment charges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45,023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72,066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117,089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98,820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71,955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170,775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119,394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42,755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141,575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94,136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141,506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69,327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93,010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141,506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69,327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93,010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61,668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 bond premiums and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original issuance discounts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Losses on dispositions of property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Loan impairment charges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(Increase) decrease,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Intercompany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52,962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Gaming, property and other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216,352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122,894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221,423</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(146,202)</w:t>
            </w:r>
          </w:p>
        </w:tc>
        <w:tc>
          <w:tcPr>
            <w:tcW w:w="0" w:type="dxa"/>
            <w:vAlign w:val="bottom"/>
          </w:tcPr>
          <w:p>
            <w:pPr>
              <w:spacing w:after="0"/>
              <w:rPr>
                <w:sz w:val="1"/>
                <w:szCs w:val="1"/>
                <w:color w:val="auto"/>
              </w:rPr>
            </w:pPr>
          </w:p>
        </w:tc>
      </w:tr>
      <w:tr>
        <w:trPr>
          <w:trHeight w:val="225"/>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Taxes paid related to shares withheld for tax purposes on restricted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stock award vestings, net of proceeds from exercise of options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costs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Intercompany financing</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155,258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117,823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(216,524)</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25,783</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25,694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30,334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2,637,404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4,694,056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7,331,460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100,938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572,269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673,207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100,884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303,684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25,783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30,967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2,265,607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5,247,229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2,697,241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67,486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2,265,607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8,522,824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8,191,523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(10,402,661)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8,577,293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30,297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45,261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17,010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42,879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 net of unamortized debt issuance costs, bond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premiums and original issuance discounts</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5,853,497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5,853,497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293,911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6,257,216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247,054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6,311,686</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 shares issued or outstanding at December 31, 2018)</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214,211,932 shares issued and outstanding at December 31,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3,952,503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3,952,506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9,832,830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3,952,503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(1,890,503)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3,579,543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(1,689,038)</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2,265,607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2,265,608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7,944,469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(10,210,077)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2,265,607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2,265,607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8,522,824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8,191,523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(10,402,661)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8,577,293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6" w:right="239" w:bottom="1440" w:gutter="0" w:footer="0" w:header="0"/>
          <w:type w:val="continuous"/>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Income</w:t>
            </w: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Rental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101,820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67,585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169,405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direct financing lease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18,621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 taxes paid by tenants</w:t>
            </w:r>
          </w:p>
        </w:tc>
        <w:tc>
          <w:tcPr>
            <w:tcW w:w="16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21,278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from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209,304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16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34,746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34,746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112,720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131,330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244,050</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19,658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 taxes</w:t>
            </w:r>
          </w:p>
        </w:tc>
        <w:tc>
          <w:tcPr>
            <w:tcW w:w="16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21,595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 rights and ground lease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16,460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27,954</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47,460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44,739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92,199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65,260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86,591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151,851</w:t>
            </w: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Intercompany dividends and interest</w:t>
            </w:r>
          </w:p>
        </w:tc>
        <w:tc>
          <w:tcPr>
            <w:tcW w:w="16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53,035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(53,587)</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98,264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118,124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85,436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96,772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6" w:right="239" w:bottom="1440" w:gutter="0" w:footer="0" w:header="0"/>
          <w:type w:val="continuous"/>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6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118,124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85,436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96,772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30,681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(Increase) decrease,</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Intercompany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 increase,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Gaming, property and other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197,785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94,759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185,756</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25"/>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Collection of principal payments on investment in direct financing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lease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18,209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17,387</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(134,717)</w:t>
            </w:r>
          </w:p>
        </w:tc>
        <w:tc>
          <w:tcPr>
            <w:tcW w:w="0" w:type="dxa"/>
            <w:vAlign w:val="bottom"/>
          </w:tcPr>
          <w:p>
            <w:pPr>
              <w:spacing w:after="0"/>
              <w:rPr>
                <w:sz w:val="1"/>
                <w:szCs w:val="1"/>
                <w:color w:val="auto"/>
              </w:rPr>
            </w:pPr>
          </w:p>
        </w:tc>
      </w:tr>
      <w:tr>
        <w:trPr>
          <w:trHeight w:val="225"/>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Taxes paid related to shares withheld for tax purposes on restricted</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award vestings, net of proceeds from exercise of options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Intercompany financing</w:t>
            </w: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141,748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(186,777)</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10,959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16,366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29,054</w:t>
            </w:r>
          </w:p>
        </w:tc>
        <w:tc>
          <w:tcPr>
            <w:tcW w:w="0" w:type="dxa"/>
            <w:vAlign w:val="bottom"/>
          </w:tcPr>
          <w:p>
            <w:pPr>
              <w:spacing w:after="0"/>
              <w:rPr>
                <w:sz w:val="1"/>
                <w:szCs w:val="1"/>
                <w:color w:val="auto"/>
              </w:rPr>
            </w:pPr>
          </w:p>
        </w:tc>
      </w:tr>
      <w:tr>
        <w:trPr>
          <w:trHeight w:val="25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17,693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27,727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45,420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27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April 16, 2019, Penn announced its intended June 30, 2019 closure of Resorts Casino, located in Tunica, Mississippi, pending regulatory approvals. The Company's rent collected from Penn under the Penn Master Lease will not be impacted by the closure as the Company's lease with Penn is cross-collateralized and does not allow for rent reductions for individual property closures. The Company is currently evaluating the impact of the closure on its real estate assets at this property, however, it expects no impact to future rental revenues it will collect under the Penn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20"/>
          </w:cols>
          <w:pgMar w:left="240" w:top="126" w:right="339"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14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beginning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As a result of the Spin-Off, GLPI owns substantially all of Penn's former real property assets (as of the Spin-Off)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w:t>
      </w:r>
    </w:p>
    <w:p>
      <w:pPr>
        <w:spacing w:after="0" w:line="2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April 2016, the Company acquired substantially all of the real estate assets of Pinnacle for approximately $4.8 billion. GLPI originally leased these assets back to Pinnacle, under a triple-net lease with an initial term of 10 years with no purchase option, followed by five 5-year renewal options (exercisable by Pinnacle) on the same terms and conditions.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 Hotel Kansas City, Ameristar Casino Resort Spa St. Charles and Belterra Casino Resort from Pinnacle to Boyd and entered into a new unitary triple-net master lease agreement with Boyd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whereby the Company loaned Boyd $57.7 million.</w:t>
      </w:r>
    </w:p>
    <w:p>
      <w:pPr>
        <w:spacing w:after="0" w:line="10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acquisition of Plainridge Park described above, on October 1, 2018, the Company closed its previously announced transaction to acquire certain real property assets from Tropicana and certain of its affiliates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Eldorado acquired the operating assets of these properties from Tropicana pursuant to an Agreement and Plan of Merger dated April 15, 2018 by and among Tropicana, GLP Capital, Eldorado and a wholly-owned subsidiary of Eldorado and leased the GLP Assets from the Company pursuant to the terms of a new unitary triple-net master lease with an initial term of 15 years, with no purchase option followed by four successive 5-year renewal periods (exercisable by Eldorado) on the same terms and conditions. Additionally, on October 1, 2018 the Company made a mortgage loan to Eldorado in the amount of $246.0 million in connection with Eldorado’s acquisition of Lumière Place.</w:t>
      </w:r>
    </w:p>
    <w:p>
      <w:pPr>
        <w:spacing w:after="0" w:line="18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GLPI’s primary business consists of acquiring, financing, and owning real estate property to be leased to gaming operators in triple-net lease arrangements. As of March 31, 2019, GLPI’s portfolio consisted of interests in 46 gaming and related facilities, including the TRS Properties, the real property associated with 33 gaming and related facilities operated by Penn, the real property associated with 6 gaming and related facilities operated by Eldorado (including one mortgaged facility), the real property associated with 4 gaming and related facilities operated by Boyd (including one mortgaged facility) and the real property associated with the Casino Queen in East St. Louis, Illinois. These facilities are geographically diversified across 16 states and were 100% occupied at March 31, 2019. We expect to continue growing our portfolio by pursuing opportunities to acquire additional gaming facilities to lease to gaming operators under prudent terms.</w:t>
      </w:r>
    </w:p>
    <w:p>
      <w:pPr>
        <w:spacing w:after="0" w:line="18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Additionally, we believe we have the ability to leverage the expertise our management team has developed over the years to secure additional avenues for growth beyond the gaming industry. Accordingly, we anticipate we will be able to effect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acquisitions unrelated to the gaming industry as well as other acquisitions that may prove complementary to GLPI’s gaming facilities.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2019, the majority of our earnings are the result of the rental revenues we receive from our triple-net master leases with Penn, Boyd and Eldorado. Additionally, we have rental revenue from the Casino Queen property which is leased back to a third-party operator on a triple-net basis and the Meadows property which is leased to Penn under a single property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Additionally, in accordance with ASC 842,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176" w:lineRule="exact"/>
        <w:rPr>
          <w:sz w:val="20"/>
          <w:szCs w:val="20"/>
          <w:color w:val="auto"/>
        </w:rPr>
      </w:pPr>
    </w:p>
    <w:p>
      <w:pPr>
        <w:ind w:right="180" w:firstLine="693"/>
        <w:spacing w:after="0" w:line="266" w:lineRule="auto"/>
        <w:rPr>
          <w:sz w:val="20"/>
          <w:szCs w:val="20"/>
          <w:color w:val="auto"/>
        </w:rPr>
      </w:pPr>
      <w:r>
        <w:rPr>
          <w:rFonts w:ascii="Times New Roman" w:cs="Times New Roman" w:eastAsia="Times New Roman" w:hAnsi="Times New Roman"/>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reported total revenues and income from operations of $287.9 million and $170.8 million, respectively, for the three months ended March 31, 2019, compared to $244.1 million and $151.9 million, respectively, for the corresponding period in the prior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factors affecting our results for the three months ended March 31, 2019, as compared to the three months ended March 31, 2018,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right="8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income from real estate was $254.9 million for the three months ended March 31, 2019 and $209.3 million for the three months ended March 31, 2018. Total income from real estate increased by $45.6 million for the three months ended March 31, 2019, as compared to the corresponding period in the prior year primarily due to the Tropicana Transactions (including rent from the Eldorado Master Lease and interest income from the Lumière Loan) and the Penn-Pinnacle Merger (including the Plainridge Park acquisition, the increased rent under the Amended Pinnacle Master Lease and the Belterra Park Loan) both of which occurred in the fourth quarter of 2018, as well as the performance of the Ohio Properties, the impact of the rent escalators under the Penn Master Lease, the rent escalators triggered under the former Pinnacle Master Lease prior to the Penn-Pinnacle Merger, the partial recognition of income previously deferred under the Penn Master Lease and Meadows Lease and the recognition of cash rent that was previously applied against the lease receivable on our balance sheet as rental income. As a result of the Penn-Pinnacle Merger, the Amended Pinnacle Master Lease is treated as an operating lease in its entirety and all cash rent received from our tenants is recognized as revenue when earned. These increases were partially offset by the first percentage rent reset on the Penn Master Lease, which resulted in a rent decrease and the elimination of the revenue gross-up for real estate taxes paid directly by our tenants under ASC 842.</w:t>
      </w:r>
    </w:p>
    <w:p>
      <w:pPr>
        <w:spacing w:after="0" w:line="192"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our TRS Properties decreased by $1.8 million for the three months ended March 31, 2019, as compared to the corresponding period in the prior year, primarily due to decreased revenues at Hollywood Casino Baton Rouge, partially resulting from the June 2018 smoking ban at all Baton Rouge casinos.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660" w:hanging="328"/>
        <w:spacing w:after="0" w:line="25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increased by $24.9 million for the three months ended March 31, 2019, as compared to the corresponding period in the prior year. The increase in operating expenses for the three months ended March 31, 2019, as compared to the corresponding period in the prior year was primarily driven by a loan impairment charge of $13.0 million related to the company's unsecured loan to Casino Queen and an increase in depreciation expense resulting from the addition of the Tropicana and Plainridge Park real estate assets to our real estate portfolio, as well as the reclassification of the Pinnacle building assets to real estate investments on our balance sheet. As a result of the Penn-Pinnacle Merger, the Amended Pinnacle Master Lease is treated as an operating lease in its entirety and our investment in the direct financing lease was unwound. These increases were offset by a significant decrease in real estate tax expense, as we are no longer required to gross-up our financial statements for the real estate taxes paid directly by our tenants under ASC 842.</w:t>
      </w:r>
    </w:p>
    <w:p>
      <w:pPr>
        <w:spacing w:after="0" w:line="185"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expenses increased by $23.1 million for the three months ended March 31, 2019, as compared to the corresponding period in the prior year. The increase in other income and expenses for the three months ended March 31, 2019, as compared to the corresponding period in the prior year was primarily due to an increase in interest expense related to the debt refinancing in the second quarter of 2018 and debt issuances in the third quarter of 2018, the proceeds of which were utilized for the October closings of both the Tropicana Transactions and the acquisition of Plainridge Park Casino and the funding of the Belterra Park Loan in connection with the Penn-Pinnacle Merger.</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decreased by $0.4 million for the three months ended March 31, 2019, primarily due to lower income at our TRS Properties.</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$3.8 million for the three months ended March 31, 2019, as compared to the corresponding periods in the prior year, primarily due to the variances explained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Developments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recent developments that have had or are likely to have an impact on us by segment: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GLP Capital</w:t>
      </w:r>
    </w:p>
    <w:p>
      <w:pPr>
        <w:spacing w:after="0" w:line="227" w:lineRule="exact"/>
        <w:rPr>
          <w:sz w:val="20"/>
          <w:szCs w:val="20"/>
          <w:color w:val="auto"/>
        </w:rPr>
      </w:pPr>
    </w:p>
    <w:p>
      <w:pPr>
        <w:ind w:left="1300" w:hanging="320"/>
        <w:spacing w:after="0" w:line="272"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15, 2018, Penn's acquisition of Pinnacle closed, and the Company completed its previously announced transactions with Penn, Pinnacle and Boyd. Concurrent with Penn's acquisition, the Company amended the Pinnacle Master Lease to allow for the sale of the operating assets of Ameristar Casino Hotel Kansas City, Ameristar Casino Resort Spa St. Charles and Belterra Casino Resort from Pinnacle to Boyd and entered into a new triple-net master lease agreement with Boyd for these properties on terms similar to the Company’s existing master leases. The Company also purchased the real estate assets of Plainridge Park Casino from Penn for $250.0 million, exclusive of transaction fees and taxes, and added this property to the Amended Pinnacle Master Lease. We also entered into a loan agreement with Boyd in connection with Boyd's acquisition of Belterra Park, whereby we loaned Boyd $57.7 million, act as mortgagee and collect interest income from Boyd. Our initial annual real estate income will increase by $45.3 million as a result of these transactions.</w:t>
      </w:r>
    </w:p>
    <w:p>
      <w:pPr>
        <w:spacing w:after="0" w:line="172" w:lineRule="exact"/>
        <w:rPr>
          <w:rFonts w:ascii="Times New Roman" w:cs="Times New Roman" w:eastAsia="Times New Roman" w:hAnsi="Times New Roman"/>
          <w:sz w:val="17"/>
          <w:szCs w:val="17"/>
          <w:color w:val="auto"/>
        </w:rPr>
      </w:pPr>
    </w:p>
    <w:p>
      <w:pPr>
        <w:ind w:left="1300" w:right="40" w:hanging="320"/>
        <w:spacing w:after="0" w:line="255"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2018, the Company purchased the real property assets of five properties from Tropicana for $964.0 million, exclusive of taxes and transaction fees. Concurrent with the acquisition of these properties, Eldorado purchased the operating assets of these Tropicana properties and Lumière Place and entered into a new triple-net master lease with the Company for the lease of the five Tropicana properties purchased by us for a 15-year initial term with no purchase option followed by four successive 5-year renewal periods (exercisable by Eldorado). Initial annual rent under the Eldorado Master Lease is $87.6 million. The Company also made a loan to Eldorado in the amount of $246.0 million in connection with Eldorado’s acquisition of Lumière Place, which will generate initial annual interest income of $22.4 million.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TRS Properties</w:t>
      </w:r>
    </w:p>
    <w:p>
      <w:pPr>
        <w:spacing w:after="0" w:line="227" w:lineRule="exact"/>
        <w:rPr>
          <w:sz w:val="20"/>
          <w:szCs w:val="20"/>
          <w:color w:val="auto"/>
        </w:rPr>
      </w:pPr>
    </w:p>
    <w:p>
      <w:pPr>
        <w:jc w:val="both"/>
        <w:ind w:left="1300" w:right="240" w:hanging="320"/>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2018, a smoking ban went into effect at all Baton Rouge, Louisiana casinos, which in combination with the general market deterioration in the Baton Rouge region has contributed to the poor performance of our Hollywood Casino Baton Rouge property.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126" w:right="279"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on Form 10-K. There has been no material change to these estimates for the three months ended March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material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the most important factors and trends that contribute or will contribute to our operating performance:</w:t>
      </w:r>
    </w:p>
    <w:p>
      <w:pPr>
        <w:spacing w:after="0" w:line="225" w:lineRule="exact"/>
        <w:rPr>
          <w:sz w:val="20"/>
          <w:szCs w:val="20"/>
          <w:color w:val="auto"/>
        </w:rPr>
      </w:pPr>
    </w:p>
    <w:p>
      <w:pPr>
        <w:ind w:left="660" w:right="3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several wholly-owned subsidiaries of Penn lease a substantial number of our properties, pursuant to two master leases and a single property lease and account for a significant portion of our revenue.</w:t>
      </w:r>
    </w:p>
    <w:p>
      <w:pPr>
        <w:spacing w:after="0" w:line="16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economic conditions and the effect of such conditions on consumer spending for leisure and gaming activities, which may negatively impact our gaming tenants and operators and the variable rent and annual rent escalators we receive from our tenants as outlined in the long-term triple-net leases with these tenants.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26" w:right="279"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results of operations for the three months ended March 31, 2019 and 2018 are summarized below:</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5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5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Rental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247,678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169,405</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direct financing lease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w:t>
            </w: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from mortgaged real estate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taxes paid by tenants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w:t>
            </w: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income from real estate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254,871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209,304</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w:t>
            </w: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287,864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244,050</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19,658</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taxes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w:t>
            </w: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rights and ground lease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impairment charges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92,199</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170,775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151,851</w:t>
            </w: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information regarding our results of operations by segment for the three months ended March 31, 2019 and 2018 is summarized below:</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254,871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209,304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164,869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144,874</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32,993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34,746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6,977</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287,864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244,050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170,775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151,851</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FFO, AFFO and Adjusted EBITDA</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In addition, in order for the Company to qualify as a REIT, it must distribute 90% of its REIT taxable income annually. The Company adjusts AFFO accordingly to provide our investors an estimate of the taxable income available for this distribution requirement.</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the amortization of land rights, straight-line rent adjustments, direct financing lease adjustments, losses on debt extinguishment, retirement costs and goodwill and loan impairment charges, reduced by maintenance capital expenditures. Finally, we define Adjusted EBITDA as net income excluding interest, taxes on income, depreciation, (gains) or losses from sales of property, stock based compensation expense, straight-line rent adjustments, direct financing lease adjustments, the amortization of land rights, losses on debt extinguishment, retirement costs and goodwill and loan impairment charges.</w:t>
      </w:r>
    </w:p>
    <w:p>
      <w:pPr>
        <w:sectPr>
          <w:pgSz w:w="11900" w:h="16838" w:orient="portrait"/>
          <w:cols w:equalWidth="0" w:num="1">
            <w:col w:w="11420"/>
          </w:cols>
          <w:pgMar w:left="240" w:top="126"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6" w:right="239" w:bottom="1440" w:gutter="0" w:footer="0" w:header="0"/>
          <w:type w:val="continuous"/>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FFO, AFFO and Adjusted EBITDA are not recognized terms under GAAP. 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an indication of our ability to fund all of our cash needs, including to make cash distributions to our shareholders,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89" w:lineRule="exact"/>
        <w:rPr>
          <w:sz w:val="20"/>
          <w:szCs w:val="20"/>
          <w:color w:val="auto"/>
        </w:rPr>
      </w:pPr>
    </w:p>
    <w:p>
      <w:pPr>
        <w:ind w:right="80" w:firstLine="690"/>
        <w:spacing w:after="0" w:line="282" w:lineRule="auto"/>
        <w:rPr>
          <w:sz w:val="20"/>
          <w:szCs w:val="20"/>
          <w:color w:val="auto"/>
        </w:rPr>
      </w:pPr>
      <w:r>
        <w:rPr>
          <w:rFonts w:ascii="Times New Roman" w:cs="Times New Roman" w:eastAsia="Times New Roman" w:hAnsi="Times New Roman"/>
          <w:sz w:val="18"/>
          <w:szCs w:val="18"/>
          <w:color w:val="auto"/>
        </w:rPr>
        <w:t>The reconciliation of the Company’s net income per GAAP to FFO, AFFO, and Adjusted EBITDA for the three months ended March 31, 2019 and 2018 is as follows:</w:t>
      </w:r>
    </w:p>
    <w:p>
      <w:pPr>
        <w:spacing w:after="0" w:line="31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r>
      <w:tr>
        <w:trPr>
          <w:trHeight w:val="259"/>
        </w:trPr>
        <w:tc>
          <w:tcPr>
            <w:tcW w:w="5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5"/>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21"/>
                <w:szCs w:val="21"/>
                <w:color w:val="auto"/>
              </w:rPr>
            </w:pPr>
          </w:p>
        </w:tc>
      </w:tr>
      <w:tr>
        <w:trPr>
          <w:trHeight w:val="25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93,010</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96,772</w:t>
            </w:r>
          </w:p>
        </w:tc>
      </w:tr>
      <w:tr>
        <w:trPr>
          <w:trHeight w:val="27"/>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from dispositions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depreciation</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55,675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25,098</w:t>
            </w:r>
          </w:p>
        </w:tc>
      </w:tr>
      <w:tr>
        <w:trPr>
          <w:trHeight w:val="27"/>
        </w:trPr>
        <w:tc>
          <w:tcPr>
            <w:tcW w:w="5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148,692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121,870</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16,617</w:t>
            </w:r>
          </w:p>
        </w:tc>
      </w:tr>
      <w:tr>
        <w:trPr>
          <w:trHeight w:val="27"/>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financing lease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18,209</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depreciation</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2,856</w:t>
            </w:r>
          </w:p>
        </w:tc>
      </w:tr>
      <w:tr>
        <w:trPr>
          <w:trHeight w:val="27"/>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land rights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2,727</w:t>
            </w:r>
          </w:p>
        </w:tc>
      </w:tr>
      <w:tr>
        <w:trPr>
          <w:trHeight w:val="225"/>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 bond premiums and original issuance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discounts</w:t>
            </w:r>
          </w:p>
        </w:tc>
        <w:tc>
          <w:tcPr>
            <w:tcW w:w="34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3,257</w:t>
            </w:r>
          </w:p>
        </w:tc>
      </w:tr>
      <w:tr>
        <w:trPr>
          <w:trHeight w:val="27"/>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3,987</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impairment charges</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funds from operations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183,015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168,701</w:t>
            </w:r>
          </w:p>
        </w:tc>
      </w:tr>
      <w:tr>
        <w:trPr>
          <w:trHeight w:val="27"/>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76,639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53,587</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1,492</w:t>
            </w:r>
          </w:p>
        </w:tc>
      </w:tr>
      <w:tr>
        <w:trPr>
          <w:trHeight w:val="27"/>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822</w:t>
            </w:r>
          </w:p>
        </w:tc>
      </w:tr>
      <w:tr>
        <w:trPr>
          <w:trHeight w:val="225"/>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 bond premiums and original issuance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discounts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r>
      <w:tr>
        <w:trPr>
          <w:trHeight w:val="27"/>
        </w:trPr>
        <w:tc>
          <w:tcPr>
            <w:tcW w:w="5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258,419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221,345</w:t>
            </w: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6" w:right="259" w:bottom="1440" w:gutter="0" w:footer="0" w:header="0"/>
          <w:type w:val="continuous"/>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of each segment’s net income per GAAP to FFO, AFFO, and Adjusted EBITDA for the three months ended March 31, 2019 and 2018 is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GLP Capital</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TRS Properties</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5"/>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9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90,763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93,716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3,056</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Losses from dispositions of property</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55,675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25,098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146,445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118,814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2,247</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3,056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 financing lease adjustments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2,339</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3,090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 bond premiums and original issuance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discounts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 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funds from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178,893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164,080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4,122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4,621</w:t>
            </w:r>
          </w:p>
        </w:tc>
      </w:tr>
      <w:tr>
        <w:trPr>
          <w:trHeight w:val="270"/>
        </w:trPr>
        <w:tc>
          <w:tcPr>
            <w:tcW w:w="56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Interest, net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74,038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50,987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2,600</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1,321</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 bond premiums and original issuance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discounts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250,110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212,029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8,309</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9,316</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32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80" w:right="220" w:hanging="648"/>
        <w:spacing w:after="0" w:line="218" w:lineRule="auto"/>
        <w:tabs>
          <w:tab w:leader="none" w:pos="98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expense, net for the GLP Capital segment is net of intercompany interest eliminations of $2.6 million for both the three months ended March 31, 2019 and 2018.</w:t>
      </w:r>
    </w:p>
    <w:p>
      <w:pPr>
        <w:spacing w:after="0" w:line="19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Net income for our GLP Capital segment was $90.8 million for the three months ended March 31, 2019 and $93.7 million for the three months ended March 31, 2018. FFO, AFFO, and Adjusted EBITDA for our GLP Capital segment were $146.4 million, $178.9 million and $250.1 million, respectively, for the three months ended March 31, 2019. FFO, AFFO, and Adjusted EBITDA for our GLP Capital segment were $118.8 million, $164.1 million and $212.0 million, respectively, for the three months ended March 31, 2018. The decrease in net income for our GLP Capital segment for the three months ended March 31, 2019, as compared to the three months ended March 31, 2018, was primarily driven by a $45.6 million increase in income from real estate, offset by a $25.6 million increase in operating expenses and a $23.1 million increase in other expenses, net. The increase in income from real estate in our GLP Capital segment was primarily due to the Tropicana Transactions and the Penn-Pinnacle Merger (including the Plainridge Park acquisition, the increased rent under the Amended Pinnacle Master Lease and the Belterra Park Loan) both of which occurred in the fourth quarter of 2018, as well as the performance of the Ohio Properties, the impact of the rent escalators under the Penn Master Lease, the rent escalators triggered under the former Pinnacle Master Lease prior to the Penn-Pinnacle Merger, the partial recognition of income previously deferred under the Penn Master Lease and Meadows Lease and the recognition of cash rent that was previously applied against the lease receivable on our balance sheet as rental income. As a result of the Penn-Pinnacle Merger, the Amended Pinnacle Master Lease is treated as an operating lease in its entirety and all cash rent received from our tenants is recognized as revenue when earned. These increases were partially offset by the first percentage rent reset on the Penn Master Lease, which resulted in a rent decreases and the elimination of the revenue gross-up for real estate taxes paid directly by our tenants under ASC 842.</w:t>
      </w:r>
    </w:p>
    <w:p>
      <w:pPr>
        <w:spacing w:after="0" w:line="19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increase in operating expenses in our GLP Capital segment was primarily driven by a loan impairment charge of $13.0 million related to the company's unsecured loan to Casino Queen and an increase in depreciation expense, resulting from the addition of the Tropicana and Plainridge Park real estate assets to our real estate portfolio, as well as the reclassification of the Pinnacle building assets to real estate investments on our balance sheet. As a result of the Penn-Pinnacle Merger, the Amended Pinnacle Master Lease is treated as an operating lease in its entirety and our investment in the direct financing lease was unwound. These increases were offset by a significant decrease in real estate tax expense, as we are no longer required to gross-up our financial statements for the real estate taxes paid directly by our tenants under ASC 842. The increase in other</w:t>
      </w:r>
    </w:p>
    <w:p>
      <w:pPr>
        <w:sectPr>
          <w:pgSz w:w="11900" w:h="16838" w:orient="portrait"/>
          <w:cols w:equalWidth="0" w:num="1">
            <w:col w:w="11420"/>
          </w:cols>
          <w:pgMar w:left="240" w:top="126"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6" w:right="239" w:bottom="1440" w:gutter="0" w:footer="0" w:header="0"/>
          <w:type w:val="continuous"/>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expenses, net was driven by an increase in interest expense related to the debt refinancing in the second quarter of 2018 and debt issuances in the third quarter of 2018, the proceeds of which, together with funds available under the revolving credit facility, were utilized for the October closings of both the Tropicana Transactions and the acquisition of Plainridge Park Casino, as well as the funding of the Belterra Park Loan in connection with the Penn-Pinnacle Merger.</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increase in FFO for the three months ended March 31, 2019, as compared to the three months ended March 31, 2018 was driven by the explanations above, including an add-back for the depreciation expense. The increase in AFFO for our GLP Capital segment for the three months ended March 31, 2019, as compared to the three months ended March 31, 2018 was primarily driven by the changes described above, as well as the add back of the loan impairment charges for AFFO purposes, partially offset by lower direct financing lease adjustments and straight-line rent adjustments, both of which are added back for purposes of calculating AFFO. Direct financing lease adjustments represent the portion of cash rent we received from tenants that was applied against our lease receivable and thus not recorded as revenue. These adjustments were eliminated due to the unwinding of the direct financing lease in October 2018, as the cash received is now recorded as rental income and no add-back to AFFO is necessary. Adjusted EBITDA for our GLP Capital segment for the three months ended March 31, 2019, as compared to the three months ended March 31, 2018 also increased, driven by the explanations above, as well as, a higher add-back for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for the three months ended March 31, 2019 and 2018 were as follows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75"/>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49"/>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from real estate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254,871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45,567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43"/>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32,993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34,746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287,864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244,050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43,814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income from real estate</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For the three months ended March 31, 2019 and 2018, total income from real estate was $254.9 million and $209.3 million, respectively, for our GLP Capital segment.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6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Rental revenue increased $45.6 million, or 21.8%, for the three months ended March 31, 2019, as compared to the three months ended March 31, 2018, primarily due to the Tropicana Transactions and the Penn-Pinnacle Merger (including the Plainridge Park acquisition, the increased rent under the Amended Pinnacle Master Lease and the Belterra Park Loan) both of which occurred in the fourth quarter of 2018, as well as the performance of the Ohio Properties, the impact of the rent escalators under the Penn Master Lease, the rent escalators triggered under the former Pinnacle Master Lease prior to the Penn-Pinnacle Merger, the partial recognition of income previously deferred under the Penn Master Lease and Meadows Lease and the recognition of cash rent that was previously applied against the lease receivable on our balance sheet as rental income. As a result of the Penn-Pinnacle Merger, the Amended Pinnacle Master Lease is treated as an operating lease in its entirety and all cash rent received from our tenants is recognized as revenue when earned. These increases were partially offset by the first percentage rent reset on the Penn Master Lease, which resulted in a rent decrease and the elimination of the revenue gross-up for real estate taxes paid directly by our tenants under ASC 842. Specifically, the properties under the Penn Master Lease contributed $15.0 to the increase in income from real estate for three months ended March 31, 2019, as compared to the three months ended March 31, 2018, resulting from the impact of the rent escalators, the performance of the Ohio Properties and the partial recognition of income previously deferred, partially offset by the first percentage rent reset under the Penn Master Lease, which resulted in a rent decrease, while the Meadows Lease contributed $2.7 million to the increase in income from real estate for the three months ended March 31, 2019, as compared to the three months ended March 31, 2018, primarily due the partial recognition of income previously deferred. The properties under the Amended Pinnacle Master Lease and the Boyd Master Lease contributed an aggregate $20.6 million to the increase in income from real estate for the three months ended March 31, 2019, as compared to the three months ended March 31, 2018, primarily resulting from the additional rent under the Amended Pinnacle Master Lease (including both rent from the Plainridge Park property and additional fixed rent), the impact of the rent escalators and the unwinding of the direct financing lease in connection with the Penn-Pinnacle Merger, resulting in all rent received under the Amended Pinnacle Master Lease recorded as rental income on the Company's consolidated statement of income. The Eldorado Master Lease contributed $21.4 million to the increase in income from real estate for the three months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6" w:right="25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ended March 31, 2019, while the interest income from our mortgaged real estate contributed $7.2 million to the increase. These changes were offset by a decrease in income from real estate taxes of $21.3 million, as we are no longer required to gross-up our financial statements for the real estate taxes paid directly by our tenants.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the Company's income from real estate for the three months ended March 31, 2019 was as follows (in thousands):</w:t>
      </w:r>
    </w:p>
    <w:p>
      <w:pPr>
        <w:spacing w:after="0" w:line="152"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Penn</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Amended</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Eldorado</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Boyd Master</w:t>
            </w:r>
          </w:p>
        </w:tc>
        <w:tc>
          <w:tcPr>
            <w:tcW w:w="160" w:type="dxa"/>
            <w:vAlign w:val="bottom"/>
          </w:tcPr>
          <w:p>
            <w:pPr>
              <w:spacing w:after="0"/>
              <w:rPr>
                <w:sz w:val="13"/>
                <w:szCs w:val="13"/>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Penn -</w:t>
            </w:r>
          </w:p>
        </w:tc>
        <w:tc>
          <w:tcPr>
            <w:tcW w:w="160" w:type="dxa"/>
            <w:vAlign w:val="bottom"/>
          </w:tcPr>
          <w:p>
            <w:pPr>
              <w:spacing w:after="0"/>
              <w:rPr>
                <w:sz w:val="13"/>
                <w:szCs w:val="13"/>
                <w:color w:val="auto"/>
              </w:rPr>
            </w:pPr>
          </w:p>
        </w:tc>
        <w:tc>
          <w:tcPr>
            <w:tcW w:w="68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Casino</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Master Lease</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Master</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Pinnacle</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3"/>
                <w:szCs w:val="13"/>
                <w:color w:val="auto"/>
              </w:rPr>
            </w:pPr>
          </w:p>
        </w:tc>
        <w:tc>
          <w:tcPr>
            <w:tcW w:w="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Lease and</w:t>
            </w:r>
          </w:p>
        </w:tc>
        <w:tc>
          <w:tcPr>
            <w:tcW w:w="9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Meadows</w:t>
            </w:r>
          </w:p>
        </w:tc>
        <w:tc>
          <w:tcPr>
            <w:tcW w:w="160" w:type="dxa"/>
            <w:vAlign w:val="bottom"/>
          </w:tcPr>
          <w:p>
            <w:pPr>
              <w:spacing w:after="0"/>
              <w:rPr>
                <w:sz w:val="13"/>
                <w:szCs w:val="13"/>
                <w:color w:val="auto"/>
              </w:rPr>
            </w:pPr>
          </w:p>
        </w:tc>
        <w:tc>
          <w:tcPr>
            <w:tcW w:w="680" w:type="dxa"/>
            <w:vAlign w:val="bottom"/>
          </w:tcPr>
          <w:p>
            <w:pPr>
              <w:jc w:val="center"/>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Queen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31, 2019</w:t>
            </w: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Master Lease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60" w:type="dxa"/>
            <w:vAlign w:val="bottom"/>
          </w:tcPr>
          <w:p>
            <w:pPr>
              <w:spacing w:after="0"/>
              <w:rPr>
                <w:sz w:val="11"/>
                <w:szCs w:val="11"/>
                <w:color w:val="auto"/>
              </w:rPr>
            </w:pPr>
          </w:p>
        </w:tc>
        <w:tc>
          <w:tcPr>
            <w:tcW w:w="680" w:type="dxa"/>
            <w:vAlign w:val="bottom"/>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Lease</w:t>
            </w:r>
          </w:p>
        </w:tc>
        <w:tc>
          <w:tcPr>
            <w:tcW w:w="200" w:type="dxa"/>
            <w:vAlign w:val="bottom"/>
          </w:tcPr>
          <w:p>
            <w:pPr>
              <w:spacing w:after="0"/>
              <w:rPr>
                <w:sz w:val="11"/>
                <w:szCs w:val="11"/>
                <w:color w:val="auto"/>
              </w:rPr>
            </w:pPr>
          </w:p>
        </w:tc>
        <w:tc>
          <w:tcPr>
            <w:tcW w:w="700" w:type="dxa"/>
            <w:vAlign w:val="bottom"/>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base 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55,781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15,230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163,337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 base rent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17,703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47,441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rent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7,833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39,776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rental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113,659</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81,317</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21,910</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23,962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3,631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9"/>
              </w:rPr>
              <w:t>250,554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Straight-line rent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Ground rent in revenue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rental revenue</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rental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76,780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21,401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247,678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 from</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mortgaged real estate</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income from real</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116,852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76,780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26,992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23,764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3,631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254,871</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estate</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Gaming, food, beverage and other revenue</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Gaming, food, beverage and other revenue for our TRS Properties segment decreased by $1.8 million, or 5.0%, for the three months ended March 31, 2019, as compared to the three months ended March 31, 2018, due to a decrease in revenues at Hollywood Casino Baton Rouge resulting from general market deterioration in the Baton Rouge region and the smoking ban at all Baton Rouge, Louisiana casinos that went into effect during the second quarter of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2019 and 2018 were as follows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75"/>
        </w:trPr>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4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Real estate taxes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30,624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109.6 %</w:t>
            </w: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Loan impairment charges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16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117,089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92,199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7"/>
        </w:trPr>
        <w:tc>
          <w:tcPr>
            <w:tcW w:w="4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taxes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Real estate taxes decreased as we are no longer required to gross-up our financial statements for the real estate taxes paid directly by our tenants under ASC 842. In December 2018, the FASB issued ASU 2018-20, which clarifies that lessor costs paid directly to a third-party by a lessee on behalf of the lessor, are no longer required to be recognized in the lessor's financial statements. Therefore, upon the adoption of ASU 2016-02 on January 1, 2019, we no longer gross-up our financial statements for real estate taxes paid directly to third-parties by its tenants.</w:t>
      </w:r>
    </w:p>
    <w:p>
      <w:pPr>
        <w:sectPr>
          <w:pgSz w:w="11900" w:h="16838" w:orient="portrait"/>
          <w:cols w:equalWidth="0" w:num="1">
            <w:col w:w="11400"/>
          </w:cols>
          <w:pgMar w:left="240" w:top="126" w:right="25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26" w:right="259" w:bottom="1440" w:gutter="0" w:footer="0" w:header="0"/>
          <w:type w:val="continuous"/>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 rights and ground lease expense</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Land rights and ground lease expense includes the amortization of land rights and rent expense related to the Company's long-term ground leases. Land rights and ground lease expense increased by $2.7 million, or 41.6%, for the three months ended March 31, 2019, as compared to the three months ended March 31, 2018, primarily due to the acquisition of rights to six long-term ground leases in connection with the October 2018 Tropicana Acquisition. In connection with this acquisition, we acquired land rights to long-term leases which are recorded on our consolidated balance sheet as land right assets and amortized over the term of the leases, including renewal options. We also record rent expense related to these ground leases with offsetting revenue recorded within the consolidated statements of income as we have concluded that as the lessee we are the primary obligor under the ground leases. We sublease these ground leases back to our tenants, who are responsible for payment directly to the landlord.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increased by $30.6 million, or 109.6%, to $58.6 million for the three months ended March 31, 2018 as compared to the three months ended March 31, 2018, primarily resulting from the addition of the Tropicana and Plainridge Park real estate assets to our portfolio, as well as the reclassification of the Pinnacle building assets to real estate investments on our balance sheet as a result of the Penn-Pinnacle Merger, which required the Amended Pinnacle Master Lease to be treated as an operating lease in its entirety.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impairment charges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17, 2017 the Company provided a new unsecured $13.0 million, 5.5-year term loan to CQ Holding Company, Inc., an affiliate of Casino Queen ("CQ Holding Company"), to partially finance their acquisition of Lady Luck Casino in Marquette, Iowa. During 2018, the operating results of Casino Queen declined substantially and Casino Queen defaulted under its senior credit agreement and also the unsecured loan with GLPI. As a result, the operations of Casino Queen were put up for sale during the fourth quarter of 2018. At December 31, 2018, active negotiations for the sale of Casino Queen's operations were taking place and full payment of the principal was still expected, due to the anticipation that the operations were to be sold in the near term for an amount allowing for repayment of the full $13.0 million of loan principal due to GLPI.</w:t>
      </w:r>
    </w:p>
    <w:p>
      <w:pPr>
        <w:spacing w:after="0" w:line="18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2019, the operating results of Casino Queen continued to decline, resulting in the anticipated acquirer withdrawing from the sales process. Subsequent offers for the operating assets of Casino Queen have declined substantially and proceeds from the sale are not expected to generate enough cash to repay all of Casino Queen’s creditors. Thus, because the Company does not expect Casino Queen to be able to repay the $13.0 million of principal due to it under the unsecured loan agreement, the full $13.0 million of principal was written off at March 31, 2019. The Company has recorded an impairment charge of $13.0 million through the condensed consolidated statement of income for the three months ended March 31, 2019 to reflect the write-off of the Casino Queen loan.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(expenses) for the three months ended March 31, 2019 and 2018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75"/>
        </w:trPr>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49"/>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43"/>
        </w:trPr>
        <w:tc>
          <w:tcPr>
            <w:tcW w:w="5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Interest expense increased by $22.7 million or 41.9% for the three months ended March 31, 2019, as compared to the three months ended March 31, 2018, primarily due to the issuance of $850 million of 5.25% senior unsecured notes due 2025, $500 million of 5.75% senior unsecured notes due 2028 and $750 million of 5.30% senior unsecured notes due 2029 during 2018, as well as, increased borrowings under our revolving credit facility, partially offset by a decrease in interest expense related to the termination of the Term Loan A facility, partial repayment of the Term Loan A-1 facility and the tender and call of our 4.375% senior unsecured notes due 2018. The proceeds from the issuance of the senior unsecured notes in 2018 and the increased borrowings were used to finance the Tropicana Transactions, to purchase Plainridge Park and to fund the Belterra Park Loan.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and 2018, income tax expense was approximately $1.1 million and $1.5 million, respectively. Our effective tax rate (income taxes as a percentage of income before income taxes) was 1.2% for the three months ended March 31, 2019, as compared to 1.5% for the three months ended March 31, 2018. The decrease in income tax expense for the three months ended March 31, 2019 as compared to the prior year period was primarily due to lower income at our TRS Properties.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flow from operations, borrowings from banks, and proceeds from the issuance of debt and equity securities.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$221.4 million and $185.8 million during the three months ended March 31, 2019 and 2018, respectively. The increase in net cash provided by operating activities of $35.7 million for the three months ended March 31, 2019 as compared to the corresponding period in the prior year was primarily comprised of an increase in cash receipts from customers/tenants of $55.1 million, partially offset by increases in cash paid to employees, cash paid for interest and cash paid for operating expenses of $2.5 million, $12.3 million and $4.3 million, respectively. The increase in cash receipts collected from our customers and tenants for the three months ended March 31, 2019 as compared to the corresponding period in the prior year was primarily due to the Tropicana Transactions and the Penn-Pinnacle Merger (including the Plainridge Park acquisition, the increased rent under the Amended Pinnacle Master Lease and the Belterra Park Loan) both of which occurred in the fourth quarter of 2018, as well as the performance of the Ohio Properties, the impact of the rent escalators under the Penn, Boyd and Amended Pinnacle Master Leases, the partial recognition of income previously deferred under the Penn Master Lease and Meadows Lease and the recognition of cash rent that was previously applied against the lease receivable on our balance sheet as rental income. As a result of the Penn-Pinnacle Merger, the Amended Pinnacle Master Lease is treated as an operating lease in its entirety and all cash rent received from our tenants is recognized as revenue when earned. These increases were partially offset by the first percentage rent reset on the Penn Master Lease, which resulted in a rent decrease and by a decrease in our TRS Properties' revenues. The increase in cash paid for interest was related to the Company's new borrowings which were used to fund the Tropicana Transactions, the acquisition of Plainridge Park and the Belterra Park Loan.</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Investing activities used cash of $0.3 million and provided cash of $17.4 million during the three months ended March 31, 2019 and 2018, respectively. Net cash used in investing activities during the three months ended March 31, 2019 primarily consisted of capital expenditures of $0.5 million, partially offset by proceeds from sales of property and equipment of $0.2 million. Net cash provided by investing activities during the three months ended March 31, 2018 consisted of $18.2 million of rental payments received from tenants and applied against the lease receivable we had on our balance sheet prior to the Penn-Pinnacle merger, partially offset by capital expenditures of $0.8 million.</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Financing activities used cash of $216.5 million and $186.8 million during the three months ended March 31, 2019 and 2018, respectively. Net cash used in financing activities during the three months ended March 31, 2019 was driven by dividend payments of $146.2 million, repayments of long-term debt of $123.0 million, and taxes paid related to shares withheld for tax purposes on restricted stock award vestings, net of stock option exercises of $9.1 million, partially offset by $62.0 million of proceeds from the issuance of long term debt. Net cash used in financing activities during the three months ended March 31, 2018 included dividend payments of $134.7 million, repayments of long-term debt of $45.0 million, and taxes paid related to shares withheld for tax purposes on restricted stock award vestings, net of stock option exercises of $7.0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and 2018, the TRS Properties spent approximately $0.5 million and $0.8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Credit Facility</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senior unsecured credit facility (the "Credit Facility"), consists of a $1,175 million revolving credit facility and a $525 million Term Loan A-1 facility. The revolving credit facility matures on May 21, 2023 and the Term Loan A-1 facility matures on April 28, 2021.</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At March 31, 2019, the Credit Facility had a gross outstanding balance of $866 million, consisting of the $525 million Term Loan A-1 facility and $341 million of borrowings under the revolving credit facility. Additionally, at March 31, 2019, the Company was contingently obligated under letters of credit issued pursuant to the Credit Facility with face amounts aggregating approximately $0.4 million, resulting in $833.6 million of available borrowing capacity under the revolving credit facility as of March 31, 2019.</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March 31, 2019, the Company was in compliance with all required financial covenants under the Credit Facility.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firstLine="683"/>
        <w:spacing w:after="0" w:line="261" w:lineRule="auto"/>
        <w:rPr>
          <w:sz w:val="20"/>
          <w:szCs w:val="20"/>
          <w:color w:val="auto"/>
        </w:rPr>
      </w:pPr>
      <w:r>
        <w:rPr>
          <w:rFonts w:ascii="Times New Roman" w:cs="Times New Roman" w:eastAsia="Times New Roman" w:hAnsi="Times New Roman"/>
          <w:sz w:val="18"/>
          <w:szCs w:val="18"/>
          <w:color w:val="auto"/>
        </w:rPr>
        <w:t>At March 31, 2019, the Company had $4,975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2019, the Company was in compliance with all required financial covenants under the Notes.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Lease Liability</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 assumed the finance lease obligations related to certain assets at its Aurora, Illinois property. GLPI recorded the asset and liability associated with the finance lease on its condensed consolidated balance sheet. The original term of the finance lease was 30 years and it will terminate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GLPI’s primary market risk exposure is interest rate risk with respect to its indebtedness of $5,842.1 million at March 31, 2019. Furthermore,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$4,975.0 million of our obligations at March 31, 2019, are the Senior Notes that have fixed interest rates with maturity dates ranging from two years to 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An increase in interest rates could make the financing of any acquisition by GLPI more costly, as well as increase the costs of its variable rate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Rising interest rates could also limit GLPI’s ability to refinance its debt when it matures or cause GLPI to pay higher interest rates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 and increase interest expense on refinanced indebtedness. GLPI may manage, or hedge, interest rate risks related to its borrowings by means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 agreements. However, the provisions of the Code applicable to REITs limit GLPI’s ability to hedge its assets and liabilities.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6" w:right="259"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at March 31, 2019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March 31, 2019.</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04/01/19-</w:t>
            </w:r>
          </w:p>
        </w:tc>
        <w:tc>
          <w:tcPr>
            <w:tcW w:w="260" w:type="dxa"/>
            <w:vAlign w:val="bottom"/>
          </w:tcPr>
          <w:p>
            <w:pPr>
              <w:spacing w:after="0"/>
              <w:rPr>
                <w:sz w:val="13"/>
                <w:szCs w:val="13"/>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1/01/20-</w:t>
            </w:r>
          </w:p>
        </w:tc>
        <w:tc>
          <w:tcPr>
            <w:tcW w:w="260" w:type="dxa"/>
            <w:vAlign w:val="bottom"/>
          </w:tcPr>
          <w:p>
            <w:pPr>
              <w:spacing w:after="0"/>
              <w:rPr>
                <w:sz w:val="13"/>
                <w:szCs w:val="13"/>
                <w:color w:val="auto"/>
              </w:rPr>
            </w:pPr>
          </w:p>
        </w:tc>
        <w:tc>
          <w:tcPr>
            <w:tcW w:w="8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1/01/21-</w:t>
            </w:r>
          </w:p>
        </w:tc>
        <w:tc>
          <w:tcPr>
            <w:tcW w:w="220" w:type="dxa"/>
            <w:vAlign w:val="bottom"/>
          </w:tcPr>
          <w:p>
            <w:pPr>
              <w:spacing w:after="0"/>
              <w:rPr>
                <w:sz w:val="13"/>
                <w:szCs w:val="13"/>
                <w:color w:val="auto"/>
              </w:rPr>
            </w:pP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1/01/22-</w:t>
            </w:r>
          </w:p>
        </w:tc>
        <w:tc>
          <w:tcPr>
            <w:tcW w:w="240" w:type="dxa"/>
            <w:vAlign w:val="bottom"/>
          </w:tcPr>
          <w:p>
            <w:pPr>
              <w:spacing w:after="0"/>
              <w:rPr>
                <w:sz w:val="13"/>
                <w:szCs w:val="13"/>
                <w:color w:val="auto"/>
              </w:rPr>
            </w:pPr>
          </w:p>
        </w:tc>
        <w:tc>
          <w:tcPr>
            <w:tcW w:w="7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1/01/23-</w:t>
            </w:r>
          </w:p>
        </w:tc>
        <w:tc>
          <w:tcPr>
            <w:tcW w:w="220" w:type="dxa"/>
            <w:vAlign w:val="bottom"/>
          </w:tcPr>
          <w:p>
            <w:pPr>
              <w:spacing w:after="0"/>
              <w:rPr>
                <w:sz w:val="13"/>
                <w:szCs w:val="13"/>
                <w:color w:val="auto"/>
              </w:rPr>
            </w:pP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3"/>
                <w:szCs w:val="13"/>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3/31/2019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top w:val="single" w:sz="8" w:color="CCEEFF"/>
            </w:tcBorders>
          </w:tcPr>
          <w:p>
            <w:pPr>
              <w:spacing w:after="0"/>
              <w:rPr>
                <w:sz w:val="23"/>
                <w:szCs w:val="23"/>
                <w:color w:val="auto"/>
              </w:rPr>
            </w:pPr>
          </w:p>
        </w:tc>
        <w:tc>
          <w:tcPr>
            <w:tcW w:w="10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14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rPr>
              <w:t>1,000,000</w:t>
            </w:r>
          </w:p>
        </w:tc>
        <w:tc>
          <w:tcPr>
            <w:tcW w:w="2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400,000</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3,075,000</w:t>
            </w:r>
          </w:p>
        </w:tc>
        <w:tc>
          <w:tcPr>
            <w:tcW w:w="2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4,975,000</w:t>
            </w: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5,191,775</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4.88%</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4.38%</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5.38%</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5.38%</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525,000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866,000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857,495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Average interest rate </w:t>
            </w:r>
            <w:r>
              <w:rPr>
                <w:rFonts w:ascii="Times New Roman" w:cs="Times New Roman" w:eastAsia="Times New Roman" w:hAnsi="Times New Roman"/>
                <w:sz w:val="8"/>
                <w:szCs w:val="8"/>
                <w:color w:val="auto"/>
              </w:rPr>
              <w:t>(1)</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3.97%</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560" w:hanging="552"/>
        <w:spacing w:after="0"/>
        <w:tabs>
          <w:tab w:leader="none" w:pos="56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rate, reflective of forward LIBOR plus the spread over LIBOR applicable to variable-rate borrowing.</w:t>
      </w:r>
    </w:p>
    <w:p>
      <w:pPr>
        <w:spacing w:after="0" w:line="200" w:lineRule="exact"/>
        <w:rPr>
          <w:rFonts w:ascii="Times New Roman" w:cs="Times New Roman" w:eastAsia="Times New Roman" w:hAnsi="Times New Roman"/>
          <w:sz w:val="22"/>
          <w:szCs w:val="22"/>
          <w:color w:val="auto"/>
          <w:vertAlign w:val="superscript"/>
        </w:rPr>
      </w:pPr>
    </w:p>
    <w:p>
      <w:pPr>
        <w:spacing w:after="0" w:line="206" w:lineRule="exact"/>
        <w:rPr>
          <w:rFonts w:ascii="Times New Roman" w:cs="Times New Roman" w:eastAsia="Times New Roman" w:hAnsi="Times New Roman"/>
          <w:sz w:val="22"/>
          <w:szCs w:val="22"/>
          <w:color w:val="auto"/>
          <w:vertAlign w:val="superscript"/>
        </w:rPr>
      </w:pPr>
    </w:p>
    <w:p>
      <w:pPr>
        <w:ind w:left="56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2019,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2019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implemented controls to ensure we had identified and adequately evaluated our lease agreements and properly assessed the impact of ASU 2016-02 on our financial statements to facilitate the adoption of this new guidance on January 1, 2019.</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6" w:right="259"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140" w:firstLine="648"/>
        <w:spacing w:after="0" w:line="255"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of our Annual Report on Form 10-K.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repurchase any shares of common stock or sell any unregistered securities during the three months ended March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80"/>
          </w:cols>
          <w:pgMar w:left="240" w:top="126" w:right="47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60" w:type="dxa"/>
            <w:vAlign w:val="bottom"/>
            <w:gridSpan w:val="9"/>
          </w:tcPr>
          <w:p>
            <w:pPr>
              <w:ind w:left="35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471"/>
        </w:trPr>
        <w:tc>
          <w:tcPr>
            <w:tcW w:w="16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980" w:type="dxa"/>
            <w:vAlign w:val="bottom"/>
            <w:tcBorders>
              <w:top w:val="single" w:sz="8" w:color="auto"/>
              <w:bottom w:val="single" w:sz="8" w:color="0000FF"/>
            </w:tcBorders>
            <w:gridSpan w:val="7"/>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Gaming and Leisure Properties, Inc. Executive Change in Control and Severance Plan. (Incorporated by reference to Exhibit</w:t>
              </w:r>
            </w:hyperlink>
          </w:p>
        </w:tc>
        <w:tc>
          <w:tcPr>
            <w:tcW w:w="340" w:type="dxa"/>
            <w:vAlign w:val="bottom"/>
            <w:tcBorders>
              <w:top w:val="single" w:sz="8" w:color="auto"/>
            </w:tcBorders>
            <w:gridSpan w:val="3"/>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on February 4, 2019).</w:t>
              </w:r>
            </w:hyperlink>
          </w:p>
        </w:tc>
        <w:tc>
          <w:tcPr>
            <w:tcW w:w="3660" w:type="dxa"/>
            <w:vAlign w:val="bottom"/>
            <w:gridSpan w:val="8"/>
          </w:tcPr>
          <w:p>
            <w:pPr>
              <w:spacing w:after="0"/>
              <w:rPr>
                <w:sz w:val="17"/>
                <w:szCs w:val="17"/>
                <w:color w:val="auto"/>
              </w:rPr>
            </w:pPr>
          </w:p>
        </w:tc>
      </w:tr>
      <w:tr>
        <w:trPr>
          <w:trHeight w:val="372"/>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0"/>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Gaming and Leisure Properties, Inc. Amended and Restated 2013 Long Term Incentive Compensation Plan, as amended on</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March 28, 2019. (Incorporated by reference to Exhibit 10.1 to the Company's current report on Form 8-K, filed on April 2,</w:t>
              </w:r>
            </w:hyperlink>
          </w:p>
        </w:tc>
        <w:tc>
          <w:tcPr>
            <w:tcW w:w="60" w:type="dxa"/>
            <w:vAlign w:val="bottom"/>
            <w:tcBorders>
              <w:top w:val="single" w:sz="8" w:color="0000FF"/>
            </w:tcBorders>
          </w:tcPr>
          <w:p>
            <w:pPr>
              <w:spacing w:after="0"/>
              <w:rPr>
                <w:sz w:val="17"/>
                <w:szCs w:val="17"/>
                <w:color w:val="auto"/>
              </w:rPr>
            </w:pPr>
          </w:p>
        </w:tc>
        <w:tc>
          <w:tcPr>
            <w:tcW w:w="420" w:type="dxa"/>
            <w:vAlign w:val="bottom"/>
            <w:gridSpan w:val="4"/>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7">
              <w:r>
                <w:rPr>
                  <w:rFonts w:ascii="Times New Roman" w:cs="Times New Roman" w:eastAsia="Times New Roman" w:hAnsi="Times New Roman"/>
                  <w:sz w:val="18"/>
                  <w:szCs w:val="18"/>
                  <w:color w:val="0000FF"/>
                  <w:w w:val="94"/>
                </w:rPr>
                <w:t>2019).</w:t>
              </w:r>
            </w:hyperlink>
          </w:p>
        </w:tc>
        <w:tc>
          <w:tcPr>
            <w:tcW w:w="5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72"/>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CEO Certification pursuant to Rule 13a-14(a) or 15d-14(a) of the Securities Exchange Act of 1934.</w:t>
              </w:r>
            </w:hyperlink>
          </w:p>
        </w:tc>
        <w:tc>
          <w:tcPr>
            <w:tcW w:w="2140" w:type="dxa"/>
            <w:vAlign w:val="bottom"/>
            <w:gridSpan w:val="6"/>
          </w:tcPr>
          <w:p>
            <w:pPr>
              <w:spacing w:after="0"/>
              <w:rPr>
                <w:sz w:val="24"/>
                <w:szCs w:val="24"/>
                <w:color w:val="auto"/>
              </w:rPr>
            </w:pPr>
          </w:p>
        </w:tc>
      </w:tr>
      <w:tr>
        <w:trPr>
          <w:trHeight w:val="520"/>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50">
              <w:r>
                <w:rPr>
                  <w:rFonts w:ascii="Times New Roman" w:cs="Times New Roman" w:eastAsia="Times New Roman" w:hAnsi="Times New Roman"/>
                  <w:sz w:val="18"/>
                  <w:szCs w:val="18"/>
                  <w:color w:val="0000FF"/>
                  <w:w w:val="99"/>
                </w:rPr>
                <w:t>CFO Certification pursuant to Rule 13a-14(a) or 15d-14(a) of the Securities Exchange Act of 1934.</w:t>
              </w:r>
            </w:hyperlink>
          </w:p>
        </w:tc>
        <w:tc>
          <w:tcPr>
            <w:tcW w:w="2160" w:type="dxa"/>
            <w:vAlign w:val="bottom"/>
            <w:gridSpan w:val="7"/>
          </w:tcPr>
          <w:p>
            <w:pPr>
              <w:spacing w:after="0"/>
              <w:rPr>
                <w:sz w:val="24"/>
                <w:szCs w:val="24"/>
                <w:color w:val="auto"/>
              </w:rPr>
            </w:pPr>
          </w:p>
        </w:tc>
      </w:tr>
      <w:tr>
        <w:trPr>
          <w:trHeight w:val="520"/>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color w:val="0000FF"/>
                  <w:w w:val="99"/>
                </w:rPr>
                <w:t>CEO Certification pursuant to 18 U.S.C. Section 1350, as adopted pursuant to Section 906 of the Sarbanes-Oxley Act of 2002.</w:t>
              </w:r>
            </w:hyperlink>
          </w:p>
        </w:tc>
        <w:tc>
          <w:tcPr>
            <w:tcW w:w="200" w:type="dxa"/>
            <w:vAlign w:val="bottom"/>
          </w:tcPr>
          <w:p>
            <w:pPr>
              <w:spacing w:after="0"/>
              <w:rPr>
                <w:sz w:val="24"/>
                <w:szCs w:val="24"/>
                <w:color w:val="auto"/>
              </w:rPr>
            </w:pPr>
          </w:p>
        </w:tc>
      </w:tr>
      <w:tr>
        <w:trPr>
          <w:trHeight w:val="520"/>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0"/>
          </w:tcPr>
          <w:p>
            <w:pPr>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CFO Certification pursuant to 18 U.S.C. Section 1350, as adopted pursuant to Section 906 of the Sarbanes-Oxley Act of 2002.</w:t>
              </w:r>
            </w:hyperlink>
          </w:p>
        </w:tc>
      </w:tr>
      <w:tr>
        <w:trPr>
          <w:trHeight w:val="542"/>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1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Date File because its XBRL tags are</w:t>
            </w:r>
          </w:p>
        </w:tc>
        <w:tc>
          <w:tcPr>
            <w:tcW w:w="220" w:type="dxa"/>
            <w:vAlign w:val="bottom"/>
            <w:gridSpan w:val="2"/>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92"/>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732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Filed or furnished, as applicable, herewith</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GAMING AND LEISURE PROPERTIES, INC.</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Times New Roman" w:cs="Times New Roman" w:eastAsia="Times New Roman" w:hAnsi="Times New Roman"/>
          <w:sz w:val="18"/>
          <w:szCs w:val="18"/>
          <w:color w:val="auto"/>
        </w:rPr>
        <w:t>May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Steven T. Snyder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T. Snyder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40"/>
          </w:cols>
          <w:pgMar w:left="240" w:top="126" w:right="7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Gaming and Leisure Properties, Inc.;</w:t>
      </w:r>
    </w:p>
    <w:p>
      <w:pPr>
        <w:spacing w:after="0" w:line="265" w:lineRule="exact"/>
        <w:rPr>
          <w:rFonts w:ascii="Times New Roman" w:cs="Times New Roman" w:eastAsia="Times New Roman" w:hAnsi="Times New Roman"/>
          <w:sz w:val="18"/>
          <w:szCs w:val="18"/>
          <w:color w:val="auto"/>
        </w:rPr>
      </w:pPr>
    </w:p>
    <w:p>
      <w:pPr>
        <w:ind w:right="260" w:firstLine="8"/>
        <w:spacing w:after="0" w:line="329"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220" w:firstLine="8"/>
        <w:spacing w:after="0" w:line="329"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340" w:hanging="684"/>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w:t>
      </w:r>
    </w:p>
    <w:p>
      <w:pPr>
        <w:spacing w:after="0" w:line="5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right="20" w:firstLine="656"/>
        <w:spacing w:after="0" w:line="266" w:lineRule="auto"/>
        <w:tabs>
          <w:tab w:leader="none" w:pos="10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00" w:firstLine="656"/>
        <w:spacing w:after="0" w:line="329" w:lineRule="auto"/>
        <w:tabs>
          <w:tab w:leader="none" w:pos="13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140" w:firstLine="8"/>
        <w:spacing w:after="0" w:line="329"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600" w:firstLine="656"/>
        <w:spacing w:after="0" w:line="329" w:lineRule="auto"/>
        <w:tabs>
          <w:tab w:leader="none" w:pos="13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280" w:firstLine="656"/>
        <w:spacing w:after="0" w:line="329" w:lineRule="auto"/>
        <w:tabs>
          <w:tab w:leader="none" w:pos="13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7, 2019</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Peter M. Carlino</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Name: Peter M. Carlino</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T. Snyder, certify that:</w:t>
      </w:r>
    </w:p>
    <w:p>
      <w:pPr>
        <w:spacing w:after="0" w:line="225" w:lineRule="exact"/>
        <w:rPr>
          <w:sz w:val="20"/>
          <w:szCs w:val="20"/>
          <w:color w:val="auto"/>
        </w:rPr>
      </w:pPr>
    </w:p>
    <w:p>
      <w:pPr>
        <w:ind w:left="680" w:hanging="67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Gaming and Leisure Properties, Inc.;</w:t>
      </w:r>
    </w:p>
    <w:p>
      <w:pPr>
        <w:spacing w:after="0" w:line="265" w:lineRule="exact"/>
        <w:rPr>
          <w:rFonts w:ascii="Times New Roman" w:cs="Times New Roman" w:eastAsia="Times New Roman" w:hAnsi="Times New Roman"/>
          <w:sz w:val="18"/>
          <w:szCs w:val="18"/>
          <w:color w:val="auto"/>
        </w:rPr>
      </w:pPr>
    </w:p>
    <w:p>
      <w:pPr>
        <w:ind w:right="260" w:firstLine="8"/>
        <w:spacing w:after="0" w:line="329"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220" w:firstLine="8"/>
        <w:spacing w:after="0" w:line="329"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340" w:hanging="684"/>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w:t>
      </w:r>
    </w:p>
    <w:p>
      <w:pPr>
        <w:spacing w:after="0" w:line="5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right="20" w:firstLine="656"/>
        <w:spacing w:after="0" w:line="266" w:lineRule="auto"/>
        <w:tabs>
          <w:tab w:leader="none" w:pos="10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380" w:firstLine="656"/>
        <w:spacing w:after="0" w:line="329" w:lineRule="auto"/>
        <w:tabs>
          <w:tab w:leader="none" w:pos="13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140" w:firstLine="8"/>
        <w:spacing w:after="0" w:line="329"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600" w:firstLine="656"/>
        <w:spacing w:after="0" w:line="329" w:lineRule="auto"/>
        <w:tabs>
          <w:tab w:leader="none" w:pos="132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280" w:firstLine="656"/>
        <w:spacing w:after="0" w:line="329"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7, 2019</w:t>
            </w: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Steven T. Snyder</w:t>
            </w:r>
          </w:p>
        </w:tc>
        <w:tc>
          <w:tcPr>
            <w:tcW w:w="300" w:type="dxa"/>
            <w:vAlign w:val="bottom"/>
          </w:tcPr>
          <w:p>
            <w:pPr>
              <w:spacing w:after="0"/>
              <w:rPr>
                <w:sz w:val="18"/>
                <w:szCs w:val="18"/>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Name: Steven T. Snyder</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Gaming and Leisure Properties, Inc. (the “Company”) on Form 10-Q for the quarter ended March 31, 2019,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76" w:lineRule="exact"/>
        <w:rPr>
          <w:sz w:val="20"/>
          <w:szCs w:val="20"/>
          <w:color w:val="auto"/>
        </w:rPr>
      </w:pPr>
    </w:p>
    <w:p>
      <w:pPr>
        <w:ind w:left="1340" w:hanging="684"/>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Peter M. Carlino</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Date: May 7, 2019</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Gaming and Leisure Properties, Inc. (the “Company”) on Form 10-Q for the quarter ended March 31, 2019, as filed with the Securities and Exchange Commission on the date hereof (the “Report”), I, Steven T. Snyder, Chief Financial Officer of the Company, certify, pursuant to Section 906 of the Sarbanes-Oxley Act of 2002, 18 U.S.C. Section 1350, that, to my knowledge:</w:t>
      </w:r>
    </w:p>
    <w:p>
      <w:pPr>
        <w:spacing w:after="0" w:line="176" w:lineRule="exact"/>
        <w:rPr>
          <w:sz w:val="20"/>
          <w:szCs w:val="20"/>
          <w:color w:val="auto"/>
        </w:rPr>
      </w:pPr>
    </w:p>
    <w:p>
      <w:pPr>
        <w:ind w:left="1340" w:hanging="684"/>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u w:val="single" w:color="auto"/>
          <w:color w:val="auto"/>
        </w:rPr>
        <w:t>/s/ Steven T. Snyder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Steven T. Snyder</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Date: May 7,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1"/>
    </w:lvl>
    <w:lvl w:ilvl="1">
      <w:lvlJc w:val="left"/>
      <w:lvlText w:val="(%2)"/>
      <w:numFmt w:val="decimal"/>
      <w:start w:val="1"/>
    </w:lvl>
  </w:abstractNum>
  <w:abstractNum w:abstractNumId="8">
    <w:nsid w:val="628C895D"/>
    <w:multiLevelType w:val="hybridMultilevel"/>
    <w:lvl w:ilvl="0">
      <w:lvlJc w:val="left"/>
      <w:lvlText w:val="%1."/>
      <w:numFmt w:val="decimal"/>
      <w:start w:val="8"/>
    </w:lvl>
    <w:lvl w:ilvl="1">
      <w:lvlJc w:val="left"/>
      <w:lvlText w:val="%2"/>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0"/>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decimal"/>
      <w:start w:val="13"/>
    </w:lvl>
  </w:abstractNum>
  <w:abstractNum w:abstractNumId="13">
    <w:nsid w:val="6763845E"/>
    <w:multiLevelType w:val="hybridMultilevel"/>
    <w:lvl w:ilvl="0">
      <w:lvlJc w:val="left"/>
      <w:lvlText w:val="%1"/>
      <w:numFmt w:val="decimal"/>
      <w:start w:val="1"/>
    </w:lvl>
    <w:lvl w:ilvl="1">
      <w:lvlJc w:val="left"/>
      <w:lvlText w:val="(%2)"/>
      <w:numFmt w:val="decimal"/>
      <w:start w:val="1"/>
    </w:lvl>
  </w:abstractNum>
  <w:abstractNum w:abstractNumId="14">
    <w:nsid w:val="75A2A8D4"/>
    <w:multiLevelType w:val="hybridMultilevel"/>
    <w:lvl w:ilvl="0">
      <w:lvlJc w:val="left"/>
      <w:lvlText w:val="%1."/>
      <w:numFmt w:val="decimal"/>
      <w:start w:val="16"/>
    </w:lvl>
    <w:lvl w:ilvl="1">
      <w:lvlJc w:val="left"/>
      <w:lvlText w:val="%2"/>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decimal"/>
      <w:start w:val="5"/>
    </w:lvl>
    <w:lvl w:ilvl="1">
      <w:lvlJc w:val="left"/>
      <w:lvlText w:val="(%2)"/>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decimal"/>
      <w:start w:val="5"/>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6" Type="http://schemas.openxmlformats.org/officeDocument/2006/relationships/hyperlink" Target="http://www.sec.gov/Archives/edgar/data/1575965/000157596519000002/glpiexhibit101executivecha.htm" TargetMode="External"/><Relationship Id="rId17" Type="http://schemas.openxmlformats.org/officeDocument/2006/relationships/hyperlink" Target="http://www.sec.gov/Archives/edgar/data/1575965/000157596519000009/exhibit101amendedlti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2019-12-28T12:51:18Z</dcterms:created>
  <dcterms:modified xsi:type="dcterms:W3CDTF">2019-12-28T12:51:18Z</dcterms:modified>
</cp:coreProperties>
</file>