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p>
      <w:pPr>
        <w:ind w:left="2760"/>
        <w:spacing w:after="0"/>
        <w:tabs>
          <w:tab w:leader="none" w:pos="798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October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63"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212,603,307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GLPI's duty to indemnify Penn National Gaming, Inc. and its subsidiaries ("Penn") in certain circumstances if the spin-off transaction described in Note 1 to the condensed consolidated financial statements fails to be tax-free;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2016,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2016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2016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5980" w:type="dxa"/>
            <w:vAlign w:val="bottom"/>
            <w:gridSpan w:val="12"/>
          </w:tcPr>
          <w:p>
            <w:pPr>
              <w:spacing w:after="0"/>
              <w:rPr>
                <w:sz w:val="17"/>
                <w:szCs w:val="17"/>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160" w:type="dxa"/>
            <w:vAlign w:val="bottom"/>
            <w:gridSpan w:val="9"/>
          </w:tcPr>
          <w:p>
            <w:pPr>
              <w:spacing w:after="0"/>
              <w:rPr>
                <w:sz w:val="24"/>
                <w:szCs w:val="24"/>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September 30, 2017 and December 31, 2016</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980" w:type="dxa"/>
            <w:vAlign w:val="bottom"/>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 Three and Nine Months Ended September 30, 2017 and 2016</w:t>
              </w:r>
            </w:hyperlink>
          </w:p>
        </w:tc>
        <w:tc>
          <w:tcPr>
            <w:tcW w:w="240" w:type="dxa"/>
            <w:vAlign w:val="bottom"/>
          </w:tcPr>
          <w:p>
            <w:pPr>
              <w:spacing w:after="0"/>
              <w:rPr>
                <w:sz w:val="21"/>
                <w:szCs w:val="21"/>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Condensed Consolidated Statement of Changes in Shareholders' Equity - Nine Months Ended September 30, 2017</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Condensed Consolidated Statements of Cash Flows - Nine Months Ended September 30, 2017 and 2016</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3240" w:type="dxa"/>
            <w:vAlign w:val="bottom"/>
            <w:gridSpan w:val="4"/>
          </w:tcPr>
          <w:p>
            <w:pPr>
              <w:spacing w:after="0"/>
              <w:rPr>
                <w:sz w:val="21"/>
                <w:szCs w:val="21"/>
                <w:color w:val="auto"/>
              </w:rPr>
            </w:pPr>
          </w:p>
        </w:tc>
        <w:tc>
          <w:tcPr>
            <w:tcW w:w="720" w:type="dxa"/>
            <w:vAlign w:val="bottom"/>
            <w:gridSpan w:val="3"/>
          </w:tcPr>
          <w:p>
            <w:pPr>
              <w:spacing w:after="0"/>
              <w:rPr>
                <w:sz w:val="21"/>
                <w:szCs w:val="21"/>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OPERATIONS</w:t>
              </w:r>
            </w:hyperlink>
          </w:p>
        </w:tc>
        <w:tc>
          <w:tcPr>
            <w:tcW w:w="6660" w:type="dxa"/>
            <w:vAlign w:val="bottom"/>
            <w:tcBorders>
              <w:top w:val="single" w:sz="8" w:color="0000EE"/>
            </w:tcBorders>
            <w:gridSpan w:val="13"/>
          </w:tcPr>
          <w:p>
            <w:pPr>
              <w:spacing w:after="0"/>
              <w:rPr>
                <w:sz w:val="17"/>
                <w:szCs w:val="17"/>
                <w:color w:val="auto"/>
              </w:rPr>
            </w:pPr>
          </w:p>
        </w:tc>
        <w:tc>
          <w:tcPr>
            <w:tcW w:w="460" w:type="dxa"/>
            <w:vAlign w:val="bottom"/>
            <w:gridSpan w:val="2"/>
          </w:tcPr>
          <w:p>
            <w:pPr>
              <w:spacing w:after="0"/>
              <w:rPr>
                <w:sz w:val="17"/>
                <w:szCs w:val="17"/>
                <w:color w:val="auto"/>
              </w:rPr>
            </w:pPr>
          </w:p>
        </w:tc>
        <w:tc>
          <w:tcPr>
            <w:tcW w:w="1020" w:type="dxa"/>
            <w:vAlign w:val="bottom"/>
            <w:gridSpan w:val="4"/>
          </w:tcPr>
          <w:p>
            <w:pPr>
              <w:jc w:val="center"/>
              <w:ind w:left="75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QUANTITATIVE AND QUALITATIVE DISCLOSURES ABOUT MARKET RISK</w:t>
              </w:r>
            </w:hyperlink>
          </w:p>
        </w:tc>
        <w:tc>
          <w:tcPr>
            <w:tcW w:w="2080" w:type="dxa"/>
            <w:vAlign w:val="bottom"/>
            <w:gridSpan w:val="5"/>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CONTROLS AND PROCEDURES</w:t>
              </w:r>
            </w:hyperlink>
          </w:p>
        </w:tc>
        <w:tc>
          <w:tcPr>
            <w:tcW w:w="3540" w:type="dxa"/>
            <w:vAlign w:val="bottom"/>
            <w:gridSpan w:val="5"/>
          </w:tcPr>
          <w:p>
            <w:pPr>
              <w:spacing w:after="0"/>
              <w:rPr>
                <w:sz w:val="24"/>
                <w:szCs w:val="24"/>
                <w:color w:val="auto"/>
              </w:rPr>
            </w:pPr>
          </w:p>
        </w:tc>
        <w:tc>
          <w:tcPr>
            <w:tcW w:w="2080" w:type="dxa"/>
            <w:vAlign w:val="bottom"/>
            <w:gridSpan w:val="5"/>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OTHER INFORMATION</w:t>
              </w:r>
            </w:hyperlink>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LEGAL PROCEEDINGS</w:t>
              </w:r>
            </w:hyperlink>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822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2160" w:type="dxa"/>
            <w:vAlign w:val="bottom"/>
            <w:gridSpan w:val="6"/>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040" w:type="dxa"/>
            <w:vAlign w:val="bottom"/>
            <w:gridSpan w:val="8"/>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5780" w:type="dxa"/>
            <w:vAlign w:val="bottom"/>
            <w:gridSpan w:val="11"/>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360" w:type="dxa"/>
            <w:vAlign w:val="bottom"/>
            <w:tcBorders>
              <w:left w:val="single" w:sz="8" w:color="0000EE"/>
            </w:tcBorders>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3,687,319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110,231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2,656,252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7,334,808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4,449,652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215,407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4,841,704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September 30,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2017 and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500,000,000 shares authorized, 212,603,307 and 207,676,827 shares issued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September 30, 2017 and December 31, 2016, 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3,927,786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(1,436,808)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2,493,104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7,334,808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83"/>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402,980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30,786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209,489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621,313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481,704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111,913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245,687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234,640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593,617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244,506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233,275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730,610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589,456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62,293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21,751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64,988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28,632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81,267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257,696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152,699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143,306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455,401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331,760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(130,565)</w:t>
            </w:r>
          </w:p>
        </w:tc>
      </w:tr>
      <w:tr>
        <w:trPr>
          <w:trHeight w:val="291"/>
        </w:trPr>
        <w:tc>
          <w:tcPr>
            <w:tcW w:w="5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97,014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89,600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195,613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207,676,827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3,760,729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3,864,872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899,846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161,762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287,339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287,339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212,603,307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3,927,786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2,493,104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195,613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85,119</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11,889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(gains)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42,429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55,744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405,445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(3,267,123)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30,529</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(3,234,867)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(303,639)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Proceeds from exercise of options, net of taxes paid related to shares withheld for tax purposes on restricted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 award vestings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870,931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2,502,000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(31,908)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(327,076)</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(465,082)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2,812,906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41,875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25,359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15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beginning on January 1, 2014 to be treated as a REIT and the Company, together with its indirect wholly-owned subsidiary of the Company,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September 30, 2017.</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GLPI expects to grow its portfolio by pursuing opportunities to acquire additional gaming facilities to lease to gaming operators under prudent terms. For example, on May 1, 2017 the Company purchased the real property assets of Bally's Casino Tunica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 See Note 5 for additional information on the acquisition of the Tunica Properties.</w:t>
      </w:r>
    </w:p>
    <w:p>
      <w:pPr>
        <w:spacing w:after="0" w:line="1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order to conform to the current presentation of the statement of income, the Company combined certain line items on the condensed consolidated statements of income for the three and nine months ended September 30, 2016. Specifically, the Company aggregated the former revenue line items gaming revenue and food, beverage and other revenue into the line item gaming, food, beverage and other revenues and aggregated the former expense line items gaming expenses and food, beverage and other expenses into the line item gaming, food, beverage and other expenses. These reclassifications were made only for presentation purposes and had no impact on the Company's financial results for the three and nine months ended September 30, 2016.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Operating results for the three and nine months ended September 30, 2017 are not necessarily indicative of the results that may be expected for the year ending December 31, 2017. The notes to the consolidated financial statements contained in our Annual Report on Form 10-K for the year ended December 31, 2016 (our "Annual Report") should be read in conjunction with these condensed consolidated financial statements. The December 31, 2016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(Topic 718): Improvements to Employee Share-Based Payment Accounting </w:t>
      </w:r>
      <w:r>
        <w:rPr>
          <w:rFonts w:ascii="Arial" w:cs="Arial" w:eastAsia="Arial" w:hAnsi="Arial"/>
          <w:sz w:val="16"/>
          <w:szCs w:val="16"/>
          <w:color w:val="auto"/>
        </w:rPr>
        <w:t>("ASU 2016-09"). This ASU amends certain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including (i) requiring all income tax effects of share-based awards to be recognized in the income statement when the award vests or settles and eliminating APIC pools, (ii) permitting employers to withhold the share equivalent of an employee's maximum tax liability without triggering liability accounting and (iii) allowing companies to make a policy election to account for forfeitures as they occur. The Company adopted ASU 2016-09 on January 1, 2017 and it did not have a significant impact on how the Company accounts for share-based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This ASU provides clarity about which changes to the terms or conditions of a share-based payment 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w:t>
      </w:r>
    </w:p>
    <w:p>
      <w:pPr>
        <w:spacing w:after="0" w:line="2" w:lineRule="exact"/>
        <w:rPr>
          <w:sz w:val="20"/>
          <w:szCs w:val="20"/>
          <w:color w:val="auto"/>
        </w:rPr>
      </w:pPr>
    </w:p>
    <w:p>
      <w:pPr>
        <w:ind w:right="80" w:firstLine="8"/>
        <w:spacing w:after="0" w:line="25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and early adoption is permitted. The Company does not expect the adoption of ASU 2017-09 to significantly impact its accounting for share-based payment awards, as changes to awards' terms and conditions subsequent to the grant date are unusual and infrequent in nature.</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6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ASU 2017-01 is effective for annual reporting periods beginning after December 15, 2017. As a REIT, GLPI generally acquires only real estate assets; therefore it does not expect this clarifying language to have an impact on the Company's accounting treatment of its acquisitions.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with early adoption permitted. The Company does not expect the adoption of ASU 2016-15 to impact its presentation of cash receipts and payments on its consolidated statements of cash flows.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books for these leases.</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This new standard will replace all current U.S. GAAP guidance on this topic and eliminate all industry-specific guidance. ASU 2014-09 provides a unified five-step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At the April 1, 2015 FASB meeting, the board voted to defer the effective date for the new revenue recognition standard to annual reporting periods beginning after December 15, 2017. The pronouncement was originally effective for annual reporting periods beginning after December 15, 2016, and companies were permitted to elect the adoption of the standard as of the original effective date. When adopted, the new guidance can be applied either retrospectively to each period presented or as a cumulative-effect adjustment as of the date of adoption.</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has completed its evaluation of the impact of adopting this new accounting standard on its financial statements and internal revenue recognition policies. The Company does not believe the majority of its revenue recognition policies will be impacted by the new standard, as leases (the source of the Company's majority of revenues) are excluded from ASU 2014-09. The Company believes only the accounting treatment for the customer loyalty programs at the TRS properties will be impacted by the adoption of ASU 2014-09. Specifically, the recognition of revenue associated with these points based programs will be impacted by eliminating the current accrual for the cost of the points awarded at the time of play and instead deferring the portion of the revenue received from the customer at the time of play and attributed to the awarded points until a later period when the points are redeemed or forfeited. The revenue deferral will be calculated from the portion of the transaction price allocated to the points based upon their retail value. In addition, upon the adoption of ASU 2014-09, promotional allowances representing the retail value of food, beverages and other services furnished to guests without charge will no longer be presented as a separate line item on the consolidated statements of income, rather they will be presented on a net basis within gaming, food, beverage and other revenue. This change has no impact to net revenues and is for presentation purposes only. The Company intends to adopt ASU 2014-09 on January 1, 2018 using the modified retrospective approach, which will require a cumulative adjustment to retained earnings of approximately $400,000 at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September 30, 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18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1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43,634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43,634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36,556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21,351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26,200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1,065,000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1,056,750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1,272,852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3,425,000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3,634,090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3,573,500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9.</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Additionally, in accordance with ASC 605, "Revenue Recognition,"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 See Note 3 to the condensed consolidated financial statements for a summary of anticipated changes to the recognition of revenue at the TRS Properties upon the adoption of ASU 2014-09 on January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and nine months ended September 30, 2017, these expenses, which are primarily recorded within gaming expense in the condensed consolidated statements of income, totaled $14.4 million and $44.1 million, respectively, as compared to $13.9 million and $43.9 million for the three and nine months ended September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212,500</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205,826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210,059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168,955</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158</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214,553</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207,876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212,098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171,549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97,014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89,600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287,339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195,613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96,857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89,416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286,869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195,124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214,553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207,876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171,549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There were no outstanding equity based awards during the three months ended September 30, 2017 and 4,616 outstanding equity based awards during the nine months ended September 30, 2017, that were not included in the computation of diluted EPS because they were antidilutive. There were 10,846 and 23,954 outstanding equity based awards during the three and nine months ended September 30, 2016, respectively, that were not included in the computation of diluted EPS because of being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2017, there was $6.6 million of total unrecognized compensation cost for restricted stock awards that will be recognized over the grants' remaining weighted average vesting period of 1.87 years. For the three and nine months ended September 30, 2017, the Company recognized $1.2 million and $4.7 million, respectively, of compensation expense associated with these awards, compared to $1.9 million and $5.6 million for the three and nine months ended September 30,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nine months ended September 30, 2017:</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413,242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184,391</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(251,147)</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September 30, 2017</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344,510</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 includes publicly traded REITs deriving at least 75% of revenues from triple-net leases. As of September 30, 2017, there was $12.4 million of total unrecognized compensation cost, which will be recognized over the performance-based restricted stock awards' remaining weighted average vesting period of 1.80 years. For the three and nine months ended September 30, 2017, the Company recognized $2.4 million and $7.2 million, respectively, of compensation expense associated with these awards, compared to $2.8 million and $8.2 million for the three and nine months ended September 30, 2016,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nine months ended September 30, 2017:</w:t>
      </w:r>
    </w:p>
    <w:p>
      <w:pPr>
        <w:spacing w:after="0" w:line="16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6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Performance-</w:t>
            </w:r>
          </w:p>
        </w:tc>
      </w:tr>
      <w:tr>
        <w:trPr>
          <w:trHeight w:val="192"/>
        </w:trPr>
        <w:tc>
          <w:tcPr>
            <w:tcW w:w="3840" w:type="dxa"/>
            <w:vAlign w:val="bottom"/>
          </w:tcPr>
          <w:p>
            <w:pPr>
              <w:spacing w:after="0"/>
              <w:rPr>
                <w:sz w:val="16"/>
                <w:szCs w:val="16"/>
                <w:color w:val="auto"/>
              </w:rPr>
            </w:pPr>
          </w:p>
        </w:tc>
        <w:tc>
          <w:tcPr>
            <w:tcW w:w="1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Based Award Shares</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1960" w:type="dxa"/>
            <w:vAlign w:val="bottom"/>
          </w:tcPr>
          <w:p>
            <w:pPr>
              <w:jc w:val="right"/>
              <w:spacing w:after="0"/>
              <w:rPr>
                <w:sz w:val="20"/>
                <w:szCs w:val="20"/>
                <w:color w:val="auto"/>
              </w:rPr>
            </w:pPr>
            <w:r>
              <w:rPr>
                <w:rFonts w:ascii="Arial" w:cs="Arial" w:eastAsia="Arial" w:hAnsi="Arial"/>
                <w:sz w:val="18"/>
                <w:szCs w:val="18"/>
                <w:color w:val="auto"/>
              </w:rPr>
              <w:t>1,106,000</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Released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September 30, 2017</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1,664,000</w:t>
            </w:r>
          </w:p>
        </w:tc>
      </w:tr>
      <w:tr>
        <w:trPr>
          <w:trHeight w:val="20"/>
        </w:trPr>
        <w:tc>
          <w:tcPr>
            <w:tcW w:w="38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 2017, the Company acquired the real property assets of Bally's Casino Tunica and Resorts Casino Tunica for $82.9 million. The Company acquired both Bally's Casino Tunica and Resorts Casino Tunica, as well as the Resorts Hotel and land at Bally's Casino Tunica. Land rights to three long-term ground leases related to the Tunica Properties were also acquired in the transaction. The Company records revenue for the ground lease rent paid by its tenants with an offsetting expense in general and administrative expense within the condensed consolidated statement of income as the Company has concluded that as the lessee it is the primary obligor under these ground leases. As the primary obligor under these ground leases, the Company will record annual obligations of $2.7 million in its financial statements as both revenue and expense. However, the Company subleases these ground leases back to its tenants, who are responsible for payment directly to the landlord.</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Also during the nine months ended September 30, 2017, the purchase price for the real property assets of the Meadows Racetrack and Casino was increased by $0.4 million to $323.3 million, consistent with the terms outlined in the purchase agreements entered into regarding the sale of the Meadows' real property and operating assets to the Company and Pinnacle, respectively. The Meadows' real estate assets were purchased from Cannery Casino Resorts ("CCR") on September 9, 2016 and were leased to Pinnacle, who purchased the entities holding the Meadows' gaming and racing licenses and operating assets directly from CCR.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2,057,938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2,057,391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2,461,573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2,438,581</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4,519,511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4,495,972</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(756,881)</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3,687,319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3,739,091</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Land Rights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596,921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642,876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590,758</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Amortization expense related to the ground leases is recorded within general and administrative expenses in the condensed consolidated statements of income and totaled $2.7 million and $7.6 million, respectively, for the three and nine months ended September 30, 2017. Amortization expense related to the ground leases totaled $2.3 million and $3.9 million, respectively, for the three and nine months ended September 30, 2016.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2017,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596,509</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642,876</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30" w:right="3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117,350</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330</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263,610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(144,183)</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110,231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119,427</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September 30, 2017,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3,299,114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3,405,131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1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3,988,925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4,094,942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(1,384,231)</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2,656,252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2,710,711</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w:t>
      </w:r>
    </w:p>
    <w:p>
      <w:pPr>
        <w:spacing w:after="0" w:line="292" w:lineRule="auto"/>
        <w:rPr>
          <w:sz w:val="20"/>
          <w:szCs w:val="20"/>
          <w:color w:val="auto"/>
        </w:rPr>
      </w:pPr>
      <w:r>
        <w:rPr>
          <w:rFonts w:ascii="Arial" w:cs="Arial" w:eastAsia="Arial" w:hAnsi="Arial"/>
          <w:sz w:val="16"/>
          <w:szCs w:val="16"/>
          <w:color w:val="auto"/>
        </w:rPr>
        <w:t>5.5 year term loan to CQ Holding Company, Inc., an affiliate of Casino Queen, to partially finance their acquisition of Lady Luck Casino in Marquette, Iowa. The cash proceeds were net settled. The new loan bears an interest rate of 15% and is pre-payable at any time. As of September 30, 2017, the balance of the new loan is $13.0 million. The collectability of the loan balance is reasonably assured, and as of September 30, 2017, there is no indication that the obligor will not remit all mandatory principal and interest payments in full and on time. The loan balance is recorded at carrying value which approximates fair value. Interest income related to the loan is recorded in interest income within the Company's condensed consolidated statements of income in the period earned.</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$700 million revolver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4,491,258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4,716,341</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(51,376)</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4,449,652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4,664,965</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September 30, 2017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790,249</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2,225,274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1,475,619</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4,491,258</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has a $1,825 million senior unsecured credit facility (the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2017, the Credit Facility had a gross outstanding balance of $1,065 million, consisting of the $1,065 million Term Loan A and A-1 facilities. Additionally, at September 30, 2017, the Company was contingently obligated under letters of credit issued pursuant to the senior unsecured credit facility with face amounts aggregating approximately $0.4 million, resulting in $699.6 million of available borrowing capacity under the revolving credit facility as of September 30, 2017.</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30"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2017, the Company was in compliance with all required financial covenants under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Each of the 4.375% Senior Unsecured Notes due 2018 (the "2018 Notes"), 4.875% Senior Unsecured Notes due 2020 (the "2020 Notes"), 4.375% Senior Unsecured Notes due 2021 (the "2021 Notes"), 5.375% Senior Unsecured Notes due 2023 (the "2023 Notes"), and 5.375% Senior Unsecured Notes due 2026 (the "2026 Notes") and collectively with the 2018 Notes, 2020 Notes, 2021 Notes and 2023 Notes, 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September 30, 2017,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Meadows real estate assets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preceding five years, and (ii) monthly by an amount equal to 20% of the change in net revenues of Hollywood Casino Columbus and Hollywood Casino Toledo during the preceding month.</w:t>
      </w:r>
    </w:p>
    <w:p>
      <w:pPr>
        <w:spacing w:after="0" w:line="17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3"/>
        <w:spacing w:after="0" w:line="293" w:lineRule="auto"/>
        <w:rPr>
          <w:sz w:val="20"/>
          <w:szCs w:val="20"/>
          <w:color w:val="auto"/>
        </w:rPr>
      </w:pPr>
      <w:r>
        <w:rPr>
          <w:rFonts w:ascii="Arial" w:cs="Arial" w:eastAsia="Arial" w:hAnsi="Arial"/>
          <w:sz w:val="16"/>
          <w:szCs w:val="16"/>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4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GLPI.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GLPI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counter checks (markers), and front money that are removed from the live gaming tables. Additionally, food and beverage revenue is recognized as services are performed.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 See Note 3 to the condensed consolidated financial statements for a summary of anticipated changes to the recognition of revenue at the TRS Properties upon the adoption of ASU 2014-09 on January 1, 2018.</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condensed consolidated statements of income for the three and nine months ended September 30,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lottery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Table game</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13,417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8,221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Total gaming, food, beverage and other revenue, net of cash incentives $</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36,198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35,383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112,947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111,913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retail value of food and beverage and other services furnished to guests without charge is included in gross revenues and then deducted as promotional allowances.</w:t>
      </w:r>
    </w:p>
    <w:p>
      <w:pPr>
        <w:spacing w:after="0" w:line="16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No shares were sold under the ATM Program during the three months ended September 30, 2017. During the nine months ended September 30, 2017, GLPI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September 30, 2017, the Company had $213.7 million remaining for issuance under the ATM Program and had not entered into any forward sale agreements.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April 25, 2017</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16, 2017</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July 25,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September 8,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September 22,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133,936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January 29, 2016</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22, 2016</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2016</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25,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65,345</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April 25, 2016</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June 2, 2016</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2016</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June 17,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113,212</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August 3, 2016</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12, 2016</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2016</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23, 2016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124,262</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for the three and nine months ended September 30, 2017, dividend payments were made to GLPI restricted stock award holders in the amount of $0.2 million and $0.7 million, respectively, as compared to $0.2 million and $0.8 million for the three and nine months ended September 30,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w w:val="88"/>
              </w:rPr>
              <w:t>Three Months Ended September 30, 2017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ind w:left="20"/>
              <w:spacing w:after="0"/>
              <w:rPr>
                <w:sz w:val="20"/>
                <w:szCs w:val="20"/>
                <w:color w:val="auto"/>
              </w:rPr>
            </w:pPr>
            <w:r>
              <w:rPr>
                <w:rFonts w:ascii="Arial" w:cs="Arial" w:eastAsia="Arial" w:hAnsi="Arial"/>
                <w:sz w:val="11"/>
                <w:szCs w:val="11"/>
                <w:b w:val="1"/>
                <w:bCs w:val="1"/>
                <w:color w:val="auto"/>
                <w:w w:val="97"/>
              </w:rPr>
              <w:t>Three Months Ended September 30, 2016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209,489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35,017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244,506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199,257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34,018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233,275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146,731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5,968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152,699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138,270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5,036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143,306</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52,399</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95,331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3,367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88,471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2,436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90,907</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1,307</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95,089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1,925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97,014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88,261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1,339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89,600</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27,165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w w:val="98"/>
              </w:rPr>
              <w:t>Capital project expenditures, net of reimbursements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496</w:t>
            </w:r>
          </w:p>
        </w:tc>
      </w:tr>
      <w:tr>
        <w:trPr>
          <w:trHeight w:val="383"/>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w w:val="89"/>
              </w:rPr>
              <w:t>Nine Months Ended September 30, 2017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ind w:left="60"/>
              <w:spacing w:after="0"/>
              <w:rPr>
                <w:sz w:val="20"/>
                <w:szCs w:val="20"/>
                <w:color w:val="auto"/>
              </w:rPr>
            </w:pPr>
            <w:r>
              <w:rPr>
                <w:rFonts w:ascii="Arial" w:cs="Arial" w:eastAsia="Arial" w:hAnsi="Arial"/>
                <w:sz w:val="11"/>
                <w:szCs w:val="11"/>
                <w:b w:val="1"/>
                <w:bCs w:val="1"/>
                <w:color w:val="auto"/>
                <w:w w:val="98"/>
              </w:rPr>
              <w:t>Nine Months Ended September 30, 2016</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621,313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109,297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730,610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481,704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589,456</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434,166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21,235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455,401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312,586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19,174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331,760</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130,568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130,565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280,312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13,433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293,745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189,822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11,373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201,195</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5,582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279,458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7,881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287,339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189,016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6,597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195,613</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72,737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81,267</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323</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1,693</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83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838"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340" w:firstLine="332"/>
        <w:spacing w:after="0" w:line="363" w:lineRule="auto"/>
        <w:tabs>
          <w:tab w:leader="none" w:pos="671" w:val="left"/>
        </w:tabs>
        <w:numPr>
          <w:ilvl w:val="1"/>
          <w:numId w:val="13"/>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pacing w:after="0" w:line="83" w:lineRule="exact"/>
        <w:rPr>
          <w:rFonts w:ascii="Arial" w:cs="Arial" w:eastAsia="Arial" w:hAnsi="Arial"/>
          <w:sz w:val="11"/>
          <w:szCs w:val="11"/>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6"/>
        </w:trPr>
        <w:tc>
          <w:tcPr>
            <w:tcW w:w="5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940" w:type="dxa"/>
            <w:vAlign w:val="bottom"/>
          </w:tcPr>
          <w:p>
            <w:pPr>
              <w:jc w:val="right"/>
              <w:ind w:right="74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2,571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8,995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4,638</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8,503</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111,116</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64,502</w:t>
            </w:r>
          </w:p>
        </w:tc>
      </w:tr>
      <w:tr>
        <w:trPr>
          <w:trHeight w:val="27"/>
        </w:trPr>
        <w:tc>
          <w:tcPr>
            <w:tcW w:w="5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In April 2016, the Company acquired substantially all of the real estate assets of Pinnacle for approximately $4.8 billion. In addition to the cash consideration paid to Pinnacle, the Company also issued equity to partially finance the transaction. The Company issued shares of common stock with an aggregate value of $1.824 billion (approximately 56.0 million shares of common stock) in partial exchange for the assets acquired.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Supplementary Condensed Consolidating Financial Information of Parent Guarantor and Subsidiary Issuers</w:t>
      </w:r>
    </w:p>
    <w:p>
      <w:pPr>
        <w:spacing w:after="0" w:line="2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Summarized balance sheets as of September 30, 2017 and December 31, 2016, statements of income for the three and nine months ended September 30, 2017 and 2016 and statements of cash flows for the nine months ended September 30, 2017 and 2016 for GLPI as the parent guarantor, for GLP Capital, L.P. and GLP Financing II, Inc. as the subsidiary issuers and the other subsidiary non-issuers is presented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September 30, 2017</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1,817,938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1,869,381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3,687,319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642,876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21,086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110,231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2,656,252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2,656,252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2,493,104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5,123,510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2,997,133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(10,613,747)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45,182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80,738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2,493,104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7,278,750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8,369,312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7,334,808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75,881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75,881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27,842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61,529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4,449,652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4,449,652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205,691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215,407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23,559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4,785,645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4,841,704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June 30, 2017)</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authorized, 212,603,307 shares issued at September 30,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3,927,786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3,927,790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9,492,711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(13,420,501)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3,927,786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(1,374,195)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2,811,006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(1,436,808)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2,493,104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2,493,105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8,120,642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(10,613,747)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2,493,104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2,493,104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7,278,750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8,369,312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7,334,808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Non-Issuers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100,310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68,720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169,030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245,687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244,506</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23,644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65,782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86,917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152,699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54,514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98,698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120,054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91,366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97,014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297,709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204,245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501,954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63,982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112,947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112,947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734,260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330,885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399,725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730,610</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64,806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85,312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275,209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194,894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260,507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455,401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169,227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(161,656)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364,121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272,870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293,745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363,267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267,318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287,339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363,267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267,318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287,339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92,939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42,138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536,982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489,104</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(83,252)</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54,459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shares withheld for tax purposes on restricted stock award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vestings</w:t>
            </w: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Proceeds from issuance of common stock, net of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239,999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(465,082)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2016</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1,863,568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1,875,523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5,211,835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2,947,915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4,909,942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(deficit) equity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207,676,827 shares issued at December 31, 2016)</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9,338,083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(13,098,814)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(1,180,410)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(deficit) equity</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8,159,750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8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8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95,045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65,619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160,664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199,257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234,640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233,275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27,165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89,969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83,221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143,306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51,023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85,101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90,907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110,898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84,004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89,600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28</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287,783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115,197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402,980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47,938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481,704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111,913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111,913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593,617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318,598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270,858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589,456</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62,293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49,148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64,988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81,267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141,744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257,696</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176,854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154,906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331,760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209,505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77,457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(130,565)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254,311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175,085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201,195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253,505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170,309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195,613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253,505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170,309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195,613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85,119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(Gains) losses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42,429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55,744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405,445</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(3,267,123)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(3,267,123)</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(3,235,542)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(3,234,867)</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(303,639)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exercise of options</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102,598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102,598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870,931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870,931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2,502,000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(327,076)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(2,602,558)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3,044,247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3,044,247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2,812,906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19, 2017, the Company declared its fourth quarter dividend of $0.63 per common share, payable on December 15, 2017 to shareholders of record on December 1, 2017.</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30" w:right="3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September 30, 2017.</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For example, on May 1, 2017 the Company purchased the real property assets of Bally's Casino Tunica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complementary to GLPI’s gaming facilities.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2017, the majority of our earnings are the result of the rental revenues we receive from our triple-net Master Leases with Penn and Pinnacle. Additionally, we have rental revenue from the Casino Queen property which is leased 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in accordance with ASC 605,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general and administrative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reported net revenues and income from operations of $244.5 million and $152.7 million, respectively, for the three months ended September 30, 2017, compared to $233.3 million and $143.3 million, respectively, for the corresponding period in the prior year. We reported net revenues and income from operations of $730.6 million and $455.4 million, respectively, for the nine months ended September 30, 2017, compared to $589.5 million and $331.8 million, respectively, for the corresponding period in the prior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 factors affecting our results for the three and nine months ended September 30, 2017, as compared to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were:</w:t>
      </w:r>
    </w:p>
    <w:p>
      <w:pPr>
        <w:spacing w:after="0" w:line="211" w:lineRule="exact"/>
        <w:rPr>
          <w:sz w:val="20"/>
          <w:szCs w:val="20"/>
          <w:color w:val="auto"/>
        </w:rPr>
      </w:pPr>
    </w:p>
    <w:p>
      <w:pPr>
        <w:ind w:left="660" w:right="20" w:hanging="328"/>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April 2016, we acquired substantially all of Pinnacle's real estate assets. These assets are leased back to Pinnacle under a Master Lease which is bifurcated between an operating lease and a direct financing lease, resulting in the recognition of rental income for the land assets leased to Pinnacle and income from a direct financing lease for the building assets leased to Pinnacle. Additionally, during September 2016, we acquired the real estate assets of the Meadows and leased these assets to Pinnacle under a single property triple-net lease and during May 2017, we acquired the Tunica Properties and leased these assets to Penn under the Penn Master Lease. Rental revenue and income from the direct financing lease were $209.5 million and $621.3 million for the three and nine months ended September 30, 2017 and $199.3 million and $481.7 million for the three and nine months ended September 30, 2016. Rental revenue and income from the direct financing lease increased by $10.2 million for the three months ended September 30, 2017, as compared to the corresponding period in the prior year, primarily due to a full quarter of rent under the Meadows Lease, the addition of the Tunica Properties to the Penn Master Lease, improved results at our two Ohio properties with monthly variable rent, as well as, the rent escalators under both the Master Leases. Rental revenue and income from the direct financing lease increased by $139.6 million for the nine months ended September 30, 2017, as compared to the corresponding period in the prior year, primarily due to the Meadows transaction, which increased both rental income and revenue recorded for real estate taxes paid by our tenants and the Pinnacle transaction, which increased rental income, income from the direct financing lease and revenue recorded for real estate taxes paid by our tenants</w:t>
      </w:r>
    </w:p>
    <w:p>
      <w:pPr>
        <w:spacing w:after="0" w:line="174"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revenues for our TRS Properties increased by $1.0 million for the three months ended September 30, 2017 as compared to the corresponding period in the prior year, primarily due to increased gaming revenues at Hollywood Casino Baton Rouge, partially offset by decreased food and beverage revenues at Hollywood Casino Perryville due to outsourcing the operation of its food outlets during the first quarter of 2017. Net revenues for our TRS Properties increased by $1.5 million for the nine months ended September 30, 2017 as compared to the corresponding period in the prior year primarily due to the explanations above.</w:t>
      </w:r>
    </w:p>
    <w:p>
      <w:pPr>
        <w:spacing w:after="0" w:line="188"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Total operating expenses increased by $1.8 million and $17.5 million, respectively, for the three and nine months ended September 30, 2017, as compared to the corresponding periods in the prior year, driven by increases in depreciation expense related to the addition of the Meadows' assets to our real estate portfolio in September 2016 and real estate tax expense, primarily as a result of the addition of the Pinnacle and Meadows properties to our real estate portfolio. This real estate tax expense is offset in our revenues as described above.</w:t>
      </w:r>
    </w:p>
    <w:p>
      <w:pPr>
        <w:spacing w:after="0" w:line="171"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net increased by $1.6 million and $31.1 million, respectively, for the three and nine months ended September 30, 2017, as compared to the corresponding periods in the prior year, driven by increases in interest expense related to the Company's April 2016 borrowings, which were utilized to finance the Pinnacle transaction.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increased by $7.4 million and $91.7 million, respectively, for the three and nine months ended September 30, 2017, as compared to the corresponding periods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660" w:right="100" w:hanging="328"/>
        <w:spacing w:after="0" w:line="259"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On May 1, 2017 the Company purchased the real property assets of Bally's Casino Tunica and Resorts Casino Tunica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86" w:lineRule="exact"/>
        <w:rPr>
          <w:rFonts w:ascii="Arial" w:cs="Arial" w:eastAsia="Arial" w:hAnsi="Arial"/>
          <w:sz w:val="18"/>
          <w:szCs w:val="18"/>
          <w:i w:val="1"/>
          <w:iCs w:val="1"/>
          <w:color w:val="auto"/>
        </w:rPr>
      </w:pPr>
    </w:p>
    <w:p>
      <w:pPr>
        <w:ind w:left="660" w:right="2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September 9, 2016, the Company purchased the real property assets of the Meadows from Cannery Casino Resorts, LLC. Concurrent with the Company's purchase of the Meadows' real estate assets, Pinnacle purchased the entities holding the Meadows gaming and racing licenses and operating assets directly from CCR. GLPI leases the Meadows real property assets to Pinnacle under a triple-net lease separate from the Pinnacle Master Lease with an initial term of 10 years with no purchase option and the option to renew for three successive five-year terms and one four-year term, at Pinnacle's option.</w:t>
      </w:r>
    </w:p>
    <w:p>
      <w:pPr>
        <w:spacing w:after="0" w:line="188" w:lineRule="exact"/>
        <w:rPr>
          <w:rFonts w:ascii="Arial" w:cs="Arial" w:eastAsia="Arial" w:hAnsi="Arial"/>
          <w:sz w:val="18"/>
          <w:szCs w:val="18"/>
          <w:color w:val="auto"/>
        </w:rPr>
      </w:pPr>
    </w:p>
    <w:p>
      <w:pPr>
        <w:jc w:val="both"/>
        <w:ind w:left="660" w:right="30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April 28,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 The Pinnacle Master Lease added 14 properties to our real estate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660" w:right="300" w:hanging="328"/>
        <w:spacing w:after="0" w:line="259"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2017, Hollywood Casino Perryville outsourced the operation of its food and beverage outlets to a third party provider. Employees of these outlets are now employees of the third party; therefore both Hollywood Casino Perryville's revenues and expenses related to food and beverage decreased during the three and nine months ended September 30, 2017, as compared to the corresponding periods in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30" w:right="2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and nine months ended September 30, 2017 and 2016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169,030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160,664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501,954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402,980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30,786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20,438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63,982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47,938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209,489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481,704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35,383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112,947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111,913</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245,687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234,640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593,617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Less promotional allowances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(4,161)</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244,506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233,275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730,610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589,456</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62,293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20,866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49,148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64,988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27,165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85,312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81,267</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91,807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89,969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257,696</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152,699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143,306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455,401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331,760</w:t>
            </w:r>
          </w:p>
        </w:tc>
      </w:tr>
      <w:tr>
        <w:trPr>
          <w:trHeight w:val="20"/>
        </w:trPr>
        <w:tc>
          <w:tcPr>
            <w:tcW w:w="5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05"/>
        </w:trPr>
        <w:tc>
          <w:tcPr>
            <w:tcW w:w="11400" w:type="dxa"/>
            <w:vAlign w:val="bottom"/>
            <w:gridSpan w:val="12"/>
          </w:tcPr>
          <w:p>
            <w:pPr>
              <w:jc w:val="right"/>
              <w:spacing w:after="0"/>
              <w:rPr>
                <w:sz w:val="20"/>
                <w:szCs w:val="20"/>
                <w:color w:val="auto"/>
              </w:rPr>
            </w:pPr>
            <w:r>
              <w:rPr>
                <w:rFonts w:ascii="Arial" w:cs="Arial" w:eastAsia="Arial" w:hAnsi="Arial"/>
                <w:sz w:val="18"/>
                <w:szCs w:val="18"/>
                <w:color w:val="auto"/>
                <w:w w:val="95"/>
              </w:rPr>
              <w:t>Certain information regarding our results of operations by segment for the three and nine months ended September 30, 2017 and 2016 is summarized</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2"/>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Revenues</w:t>
            </w: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209,489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199,257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138,270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34,018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5,036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244,506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233,275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152,699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143,306</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3"/>
              </w:rPr>
              <w:t>Nine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Revenues</w:t>
            </w: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621,313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481,704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312,586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109,297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107,752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19,174</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730,610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589,456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455,401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331,760</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EBITDA, FFO and AFFO</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and direct financing lease adjustments,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and the amortization of land rights.</w:t>
      </w:r>
    </w:p>
    <w:p>
      <w:pPr>
        <w:spacing w:after="0" w:line="165"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the Company’s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58"/>
        </w:trPr>
        <w:tc>
          <w:tcPr>
            <w:tcW w:w="5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70"/>
        </w:trPr>
        <w:tc>
          <w:tcPr>
            <w:tcW w:w="5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97,014</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89,600</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287,339</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195,613</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or (gains) from dispositions of property</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25,301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75,312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71,164</w:t>
            </w:r>
          </w:p>
        </w:tc>
      </w:tr>
      <w:tr>
        <w:trPr>
          <w:trHeight w:val="27"/>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122,736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112,957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363,166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266,317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16,617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14,517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49,355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42,429</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10,103</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11,889</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7"/>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170,517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504,141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377,230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54,001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161,656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130,565</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1,693</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223,405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209,499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664,620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503,181</w:t>
            </w: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each segment’s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95,089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88,261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(Gains) or losses from dispositions of property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120,390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111,592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2,346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1,365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18,614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165,819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154,848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4,698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3,706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49,799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214,204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201,600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9,201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7,899</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4"/>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6"/>
        </w:trPr>
        <w:tc>
          <w:tcPr>
            <w:tcW w:w="5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279,458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189,016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6,597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(Gains) or losses from dispositions of property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71,164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354,770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259,709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8,396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6,608</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54,459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7,627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489,490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363,785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14,651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13,445</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122,764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4,776</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634,428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475,466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30,192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27,715</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right="580" w:hanging="648"/>
        <w:spacing w:after="0" w:line="216" w:lineRule="auto"/>
        <w:tabs>
          <w:tab w:leader="none" w:pos="9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for the three months ended September 30, 2017 and 2016 and $7.8 million for the nine months ended September 30, 2017 and 2016.</w:t>
      </w:r>
    </w:p>
    <w:p>
      <w:pPr>
        <w:spacing w:after="0" w:line="20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Net income for our GLP Capital segment was $95.1 million for the three months ended September 30, 2017 and $88.3 million for the three months ended September 30, 2016. FFO, AFFO, and Adjusted EBITDA for our GLP Capital segment were $120.4 million, $165.8 million and $214.2 million, respectively, for the three months ended September 30, 2017. FFO, AFFO,</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Adjusted EBITDA for our GLP Capital segment were $111.6 million, $154.8 million and $201.6 million, respectively, for the three months ended September 30, 2016. The increase in net income for our GLP Capital segment for the three months ended September 30, 2017, as compared to the three months ended September 30, 2016, was primarily driven by a $10.2 million increase in net revenues, partially offset by a $1.8 million increase in operating expenses and a $1.6 million increase in interest, net. The increase in net revenues in our GLP Capital segment was primarily due to a full quarter of rent under the Meadows Lease, the addition of the Tunica Properties to the Penn Master Lease, improved results at our two Ohio properties with monthly variable rent as well as, the rent escalators under both the Master Leases and increases in real estate taxes paid by our tenants. Operating expenses in our GLP Capital segment primarily increased due to an increase in depreciation expense related to the addition of the Meadows' assets to our real estate portfolio in September 2016 as well as, additional real estate taxes, which are offset in our net revenue as described above. The increase in interest, net was driven by higher interest expense related to the Company's additional borrowings incurred to finance the Pinnacle acquisition. The changes described above also led to higher FFO for the three months ended September 30, 2017, as compared to the three months ended September 30,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the Meadows Lease and the addition of the Tunica Properties to the Penn Master Lease, partially offset by lower stock based compensation,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 The increase in Adjusted EBITDA for our GLP Capital segment was primarily driven by the increases in AFFO described above, as well as, a higher add back for interest.</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Net income for our GLP Capital segment was $279.5 million for the nine months ended September 30, 2017 and $189.0 million for the nine months ended September 30, 2016. FFO, AFFO, and Adjusted EBITDA for our GLP Capital segment were $354.8 million, $489.5 million and $634.4 million, respectively, for the nine months ended September 30, 2017. FFO, AFFO, and Adjusted EBITDA for our GLP Capital segment were $259.7 million, $363.8 million and $475.5 million, respectively, for the nine months ended September 30, 2016. The significant increase in net income for our GLP Capital segment for the nine months ended September 30, 2017, as compared to the nine months ended September 30, 2016, was primarily driven by a $139.6 million increase in net revenues, partially offset by an $18.0 million increase in operating expenses and a $31.1 million increase in interest, net. The increase in net revenues in our GLP Capital segment was primarily due to the Meadows transaction, which increased both rental income and revenue recorded for real estate taxes paid by our tenants and the Pinnacle transaction, which increased rental income, income from the direct financing lease and revenue recorded for real estate taxes paid by our tenants. Operating expenses in our GLP Capital segment primarily increased due to the additional real estate taxes as well as an increase in depreciation expense related to the addition of the Meadows' assets to our real estate portfolio. The increase in interest, net was driven by higher interest expense related to the Company's additional borrowings incurred to finance the Pinnacle acquisition. The changes described above also led to higher FFO for the nine months ended September 30, 2017, as compared to the nine months ended September 30,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our Meadows Lease and the addition of the Tunica Properties to the Penn Master Lease, partially offset by lower debt issuance costs amortization and stock based compensation, all of which are added back for purposes of calculating AFFO. The increase in Adjusted EBITDA for our GLP Capital segment was primarily driven by the increases in AFFO described above, as well as, a higher add back for interest and lower debt issuance costs.</w:t>
      </w:r>
    </w:p>
    <w:p>
      <w:pPr>
        <w:spacing w:after="0" w:line="17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income increased by $0.6 million for our TRS Properties segment for the three months ended September 30, 2017, as compared to the three months ended September 30, 2016, while both FFO and AFFO increased by $1.0 million for the three months ended September 30, 2017, as compared to the three months ended September 30, 2016 for our TRS Properties segment. Adjusted EBITDA increased by $1.3 million for the three months ended September 30, 2017, as compared to the three months ended September 30, 2016 for our TRS Properties segment. Improved results at Hollywood Casino Baton Rouge were the primary driver behind these increases.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Net income and FFO increased by $1.3 million and $1.8 million, respectively, for our TRS Properties segment for the nine months ended September 30, 2017, as compared to the nine months ended September 30, 2016. AFFO increased by $1.2 million and Adjusted EBITDA increased by $2.5 million for the nine months ended September 30, 2017, as compared to the nine months ended September 30, 2016 for our TRS Properties segment. Net income, FFO and AFFO for our TRS Properties segment increased for the nine months ended September 30, 2017, as compared to the nine months ended September 30, 2016,</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primarily due to increased revenues at Hollywood Casino Baton Rouge. Adjusted EBITDA for our TRS Properties segment increased for the nine months ended September 30, 2017, as compared to the nine months ended September 30, 2016, primarily due to the reason described above, in addition to higher income taxes and capital expenditures during the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nine months ended September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36,198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Less promotional allowances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244,506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233,275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11,231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380"/>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139,609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112,947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111,913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140,643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Less promotional allowances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730,610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589,456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141,154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the three months ended September 30, 2017 and 2016, rental revenue and income from the direct financing lease were $209.5 million and $199.3 million, respectively, for our GLP Capital segment, which included $21.4 million and $20.4 million, respectively, of revenue for the real estate taxes paid by our tenants on the leased properties. For the nine months ended September 30, 2017 and 2016, rental revenue and income from the direct financing lease were $621.3 million and $481.7 million, respectively, for our GLP Capital segment, which included $64.0 million and $47.9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605,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Rental revenue and income from the direct financing lease increased $10.2 million or 5.1% for the three months ended September 30, 2017, as compared to the three months ended September 30, 2016, primarily due to a full quarter of rent under the Meadows Lease, the addition of the Tunica Properties to the Penn Master Lease, improved results at our two Ohio properties with monthly variable rent as well as the rent escalators under both the Master Leases. Specifically, the Penn properties contributed $5.3 million to the increase in net revenues for three months ended September 30, 2017, as compared to the three months ended September 30, 2016, driven by the addition of the Tunica Properties, the impact of the rent escalator and performance at the Ohio properties. Additionally, the Meadows Lease contributed $3.1 million to the increase in net revenues for the three months ended September 30, 2017, as compared to the prior year period. Finally, Pinnacle contributed $0.9 million of rental revenue and income from the direct financing lease to the increase in net revenues for the three months ended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September 30, 2017, as compared to the prior year period, primarily resulting from the activation of the full rent escalator, while increases in real estate taxes contributed $0.9 million to the increase.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Rental revenue and income from the direct financing lease increased $139.6 million or 29.0% for the nine months ended September 30, 2017, as compared to the nine months ended September 30, 2016, primarily due to the rent received under the Pinnacle Master Lease recognized as rental income and as income from the direct financing lease, rent received under the Meadows Lease and from the addition of the Tunica Properties to the Penn Master Lease, as well as the impact of the Penn and Pinnacle rent escalators, improved results at our two Ohio properties with monthly variable rent and an increase in real estate taxes, primarily resulting from the addition of the Pinnacle properties to our real estate portfolio. Specifically, Pinnacle contributed $102.3 million of rental revenue and income from the direct financing lease to the increase in net revenues for the nine months ended September 30, 2017, as compared to the prior year period. The Penn properties contributed $9.9 million to the increase in net revenues for the nine months ended September 30, 2017, as compared to the nine months ended September 30, 2016, resulting from the addition of the Tunica Properties, the impact of the rent escalator and the performance at the Ohio properties, while the Meadows Lease contributed $11.2 million to the increase in net revenues for the nine months ended September 30, 2017, as compared to the prior year period. Lastly, real estate taxes contributed $16.0 million to the increase in net revenues for the nine months ended September 30, 2017, as compared to the prior year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Gaming, food, beverage and other revenue for our TRS Properties segment increased by $0.8 million, or 2.3%, for the three months ended September 30, 2017, as compared to the three months ended September 30, 2016, primarily due to a $0.9 million increase in revenues at Hollywood Casino Baton Rouge resulting from increased customer spend, partially offset by a decrease in revenues of $0.1 million at Hollywood Casino Perryville, primarily related to outsourcing the operation of its food and beverage outlets during the first quarter of 2017. Gaming, food, beverage and other revenue for our TRS Properties segment increased by $1.0 million or 0.9%, for the nine months ended September 30, 2017, as compared to the nine months ended September 30, 2016, primarily due to an increase in revenues of $2.9 million at Hollywood Casino Baton Rouge, resulting from increased patronage and customer spend, partially offset by a $1.9 million decrease in revenues at Hollywood Casino Perryville primarily related to outsourcing the operation of its food and beverage outlets during the first quarter of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nine months ended September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1,467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89,969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15,658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81,267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275,209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257,696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Real estate tax expense increased by $0.9 million, or 4.2%, for the three months ended September 30, 2017, as compared to the three months ended September 30, 2016, primarily due to the inclusion of the real estate tax expense attributable to the acquired Pinnacle and Meadows properties. Real estate tax expense increased by $15.7 million, or 31.9%, for the nine months ended September 30, 2017, as compared to the nine months ended September 30, 2016, primarily for the reasons discussed above. Although this amount is paid by our tenants, we are required to present this amount in both revenues and expenses for financial reporting purposes under ASC 605.</w:t>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30" w:right="25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22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Depreciation expense increased by $1.5 million, or 5.4%, for the three months ended September 30, 2017, as compared to the three months ended September 30, 2016, primarily due to the addition of the Meadows' assets to our real estate portfolio in September 2016. Depreciation expense increased by $4.0 million, or 5.0%, for the nine months ended September 30, 2017, as compared to the nine months ended September 30, 2016, primarily for the reasons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nine months ended September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(54,493)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59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Interest expense increased by $1.6 million or 3.1% for the three months ended September 30, 2017, as compared to the three months ended September 30, 2016, primarily due to interest expense related to the issuance of $400 million of senior unsecured notes due 2021 and $975 million of senior unsecured notes due 2026 and borrowings of $825 million under the term loan A-1 facility during April 2016. The additional borrowings were utilized to finance the Pinnacle acquisition. Interest expense increased by $30.9 million or 23.4% for the nine months ended September 30, 2017, as compared to the nine months ended September 30, 2016 primarily due to the reasons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During the three months ended September 30, 2017 and 2016, income tax expense was approximately $1.7 million and $1.3 million, respectively. Our effective tax rate (income taxes as a percentage of income before income taxes) was 1.7% for the three months ended September 30, 2017, as compared to 1.4% for the three months ended September 30, 2016. During the nine months ended September 30, 2017 and 2016, income tax expense was approximately $6.4 million and $5.6 million, respectively. Our effective tax rate was 2.2% for the nine months ended September 30, 2017, as compared to</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2.8% for the nine months ended September 30, 2016. The decrease in our effective tax rate for the nine months ended September 30, 2017 is primarily due to the additional REIT income earned during the nine months ended September 30, 2017, which is not subject to income tax.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Net cash provided by operating activities was $489.1 million and $405.4 million, respectively, during the nine months ended September 30, 2017 and 2016. The increase in net cash provided by operating activities of $83.7 million for the nine months ended September 30, 2017 compared to the corresponding period in the prior year was primarily comprised of an increase in cash receipts from customers/tenants of $127.6 million (excluding the cash received from Pinnacle and classified as an investing activity) and a decrease in cash paid to employees of $10.6 million, partially offset by increases in cash paid for operating expenses, interest and taxes of $3.4 million $46.6 million and $4.3 million respectively. The increase in cash receipts collected from our customers and tenants for the nine months ended September 30, 2017 as compared to the corresponding period in the prior year was primarily due to the rent received under the Pinnacle Master Lease and the Meadows Lease, as well as the additional rent received from the Penn properties related to the new Tunica Properties, the performance of the Ohio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properties and the impact of the rent escalators under both Master Leases. The increase in cash paid for interest was related to the Company's April 2016 borrowings.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Investing activities used cash of $16.9 million and $3.2 billion, respectively, during the nine months ended September 30, 2017 and 2016. Net cash used by investing activities during the nine months ended September 30, 2017 consisted of cash payments of $83.3 million primarily related to the acquisition of the Tunica Properties and capital expenditures of $2.3 million, partially offset by net cash received of $13.2 million from Casino Queen to retire their five-year term loan and borrow an additional $13.0 million under a new 5.5 year unsecured term loan at 15%, as well as rental payments received from tenants and applied against the lease receivable on our balance sheet of $54.5 million. Net cash used in investing activities during the nine months ended September 30, 2016 consisted of cash payments of $3.3 billion related to the acquisition of the Pinnacle and Meadows' real estate assets, partially offset by principal payments of $2.6 million made by Casino Queen on their five-year term loan, as well rental payments received from tenants and applied against the lease receivable on our balance sheet of $30.5 million. In addition to the cash paid for the Pinnacle assets, we also issued approximately 56 million shares of our common stock as consideration for the Pinnacle real estate assets (non-cash investing activity).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Financing activities used cash of $465.1 million during the nine months ended September 30, 2017 and provided cash of $2.8 billion during the nine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2016. Net cash used by financing activities during the nine months ended September 30, 2017 included dividend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$395.2 million and repayments of long-term debt of $325.1 million, partially offset by proceeds from the issuance of common stock, net of issuance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$139.4 million, proceeds from stock option exercises, net of taxes paid related to shares withheld for tax purposes on restricted stock award vestings of $15.8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proceeds from the issuance of long-term debt of $100.0 million. Net cash provided by financing activities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included proceeds from the issuance of long-term debt of $2.5 billion, proceeds from the issuance of common stock, net of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$870.9 million and proceeds from stock option exercises of $102.6 million, partially offset by dividend payments of $303.6 million and repayments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and financing costs of $359.0 million. During the nine months ended September 30, 2016, we issued approximately 29 million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a primary equity offering and approximately 1.3 million shares of our common stock in an ATM offering, as well as issuing $1.4 billion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senior unsecured notes and drawing down on the $825 million term loan A-1 facility. These new debt and equity instruments were utilized to finance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the Pinnacle and Meadows real estate assets. In addition to the shares issued in the primary equity offering, we also issued approximately 56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shares of our common stock as consideration for the Pinnacle real estate assets (non-cash financing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nine months ended September 30, 2017 and 2016, the TRS Properties spent approximately $2.2 million and $1.7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a $1,825 million Credit Facility, consisting of a $700 million revolving credit facility, a $300 million Term Loan A facility, and an $825 million Term Loan A-1 facility. At September 30, 2017, the Credit Facility had a gross outstanding balance of $1,065 million, consisting of the $1,065 million Term Loan A and A-1 facilities. No borrowings were outstanding under the revolving credit facility at September 30, 2017. Additionally, at September 30, 2017, the Company was contingently obligated under letters of credit issued pursuant to the senior unsecured credit facility with face amounts aggregating approximately $0.4 million, resulting in $699.6 million of available borrowing capacity under the revolving credit facility as of September 30, 2017. The revolving credit facility and the Term Loan A facility mature on October 28, 2018 and the Term Loan A-1 facility matures on April 28,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2017, the Company was in compliance with all required financial covenants under the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$4,491.3 million at September 30, 2017. Furthermore, $3,425.0 million of our obligations at September 30, 2017, are the senior unsecured notes that have fixed interest rates with maturity dates ranging from one to eight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GLPI also expects to manage its exposure to interest rate risk by maintaining a mix of fixed and variable rates for its indebtedness.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September 30, 2017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September 30,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10/01/17-</w:t>
            </w: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01/01/18-</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01/01/19-</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01/01/20-</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01/01/21-</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12/31/17</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12/31/18</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12/31/19</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12/31/20</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12/31/21</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9/30/2017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7620</wp:posOffset>
            </wp:positionV>
            <wp:extent cx="5222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0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550,000</w:t>
            </w:r>
          </w:p>
        </w:tc>
        <w:tc>
          <w:tcPr>
            <w:tcW w:w="44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1,475,000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3,425,000</w:t>
            </w:r>
          </w:p>
        </w:tc>
        <w:tc>
          <w:tcPr>
            <w:tcW w:w="3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3,634,090</w:t>
            </w:r>
          </w:p>
        </w:tc>
      </w:tr>
      <w:tr>
        <w:trPr>
          <w:trHeight w:val="276"/>
        </w:trPr>
        <w:tc>
          <w:tcPr>
            <w:tcW w:w="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4.88%</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825,000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1,065,000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1,056,750</w:t>
            </w:r>
          </w:p>
        </w:tc>
      </w:tr>
      <w:tr>
        <w:trPr>
          <w:trHeight w:val="258"/>
        </w:trPr>
        <w:tc>
          <w:tcPr>
            <w:tcW w:w="40" w:type="dxa"/>
            <w:vAlign w:val="bottom"/>
          </w:tcPr>
          <w:p>
            <w:pPr>
              <w:spacing w:after="0"/>
              <w:rPr>
                <w:sz w:val="22"/>
                <w:szCs w:val="22"/>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3.50%</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3.41%</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44</w:t>
      </w:r>
    </w:p>
    <w:p>
      <w:pPr>
        <w:sectPr>
          <w:pgSz w:w="11900" w:h="16838" w:orient="portrait"/>
          <w:cols w:equalWidth="0" w:num="1">
            <w:col w:w="10840"/>
          </w:cols>
          <w:pgMar w:left="240" w:top="130" w:right="8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2017,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2017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w:t>
      </w:r>
    </w:p>
    <w:p>
      <w:pPr>
        <w:spacing w:after="0" w:line="7" w:lineRule="exact"/>
        <w:rPr>
          <w:sz w:val="20"/>
          <w:szCs w:val="20"/>
          <w:color w:val="auto"/>
        </w:rPr>
      </w:pPr>
    </w:p>
    <w:p>
      <w:pPr>
        <w:ind w:right="260" w:firstLine="8"/>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of our Annual Report on Form 10-K.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September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9320" w:type="dxa"/>
            <w:vAlign w:val="bottom"/>
            <w:gridSpan w:val="5"/>
          </w:tcPr>
          <w:p>
            <w:pPr>
              <w:ind w:left="396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120" w:type="dxa"/>
            <w:vAlign w:val="bottom"/>
            <w:tcBorders>
              <w:top w:val="single" w:sz="8" w:color="auto"/>
              <w:bottom w:val="single" w:sz="8" w:color="0000FF"/>
            </w:tcBorders>
            <w:gridSpan w:val="2"/>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CEO Certification pursuant to rule 13a-14(a) or 15d-14(a) of the Securities Exchange Act of 1934.</w:t>
              </w:r>
            </w:hyperlink>
          </w:p>
        </w:tc>
        <w:tc>
          <w:tcPr>
            <w:tcW w:w="2200" w:type="dxa"/>
            <w:vAlign w:val="bottom"/>
            <w:tcBorders>
              <w:top w:val="single" w:sz="8" w:color="auto"/>
            </w:tcBorders>
            <w:gridSpan w:val="3"/>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tcBorders>
              <w:bottom w:val="single" w:sz="8" w:color="0000FF"/>
            </w:tcBorders>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CFO Certification pursuant to rule 13a-14(a) or 15d-14(a) of the Securities Exchange Act of 1934.</w:t>
              </w:r>
            </w:hyperlink>
          </w:p>
        </w:tc>
        <w:tc>
          <w:tcPr>
            <w:tcW w:w="2220" w:type="dxa"/>
            <w:vAlign w:val="bottom"/>
            <w:gridSpan w:val="4"/>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CEO Certification pursuant to 18 U.S.C. Section 1350, as adopted pursuant to Section 906 of the Sarbanes-Oxley Act of 2002.</w:t>
              </w:r>
            </w:hyperlink>
          </w:p>
        </w:tc>
        <w:tc>
          <w:tcPr>
            <w:tcW w:w="180" w:type="dxa"/>
            <w:vAlign w:val="bottom"/>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CFO Certification pursuant to 18 U.S.C. Section 1350, as adopted pursuant to Section 906 of the Sarbanes-Oxley Act of 2002.</w:t>
              </w:r>
            </w:hyperlink>
          </w:p>
        </w:tc>
        <w:tc>
          <w:tcPr>
            <w:tcW w:w="200" w:type="dxa"/>
            <w:vAlign w:val="bottom"/>
            <w:gridSpan w:val="2"/>
          </w:tcPr>
          <w:p>
            <w:pPr>
              <w:spacing w:after="0"/>
              <w:rPr>
                <w:sz w:val="24"/>
                <w:szCs w:val="24"/>
                <w:color w:val="auto"/>
              </w:rPr>
            </w:pPr>
          </w:p>
        </w:tc>
      </w:tr>
      <w:tr>
        <w:trPr>
          <w:trHeight w:val="54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5"/>
          </w:tcPr>
          <w:p>
            <w:pPr>
              <w:spacing w:after="0"/>
              <w:rPr>
                <w:sz w:val="20"/>
                <w:szCs w:val="20"/>
                <w:color w:val="auto"/>
              </w:rPr>
            </w:pPr>
            <w:r>
              <w:rPr>
                <w:rFonts w:ascii="Arial" w:cs="Arial" w:eastAsia="Arial" w:hAnsi="Arial"/>
                <w:sz w:val="18"/>
                <w:szCs w:val="18"/>
                <w:color w:val="auto"/>
                <w:w w:val="91"/>
              </w:rPr>
              <w:t>Interactive data files pursuant to Rule 405 of Regulation S-T: (i) the Condensed Consolidated Balance Sheets at September 30,</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5"/>
          </w:tcPr>
          <w:p>
            <w:pPr>
              <w:spacing w:after="0"/>
              <w:rPr>
                <w:sz w:val="20"/>
                <w:szCs w:val="20"/>
                <w:color w:val="auto"/>
              </w:rPr>
            </w:pPr>
            <w:r>
              <w:rPr>
                <w:rFonts w:ascii="Arial" w:cs="Arial" w:eastAsia="Arial" w:hAnsi="Arial"/>
                <w:sz w:val="18"/>
                <w:szCs w:val="18"/>
                <w:color w:val="auto"/>
                <w:w w:val="94"/>
              </w:rPr>
              <w:t>2017 and December 31, 2016, (ii) the Condensed Consolidated Statements of Income for the three and nine months ended</w:t>
            </w:r>
          </w:p>
        </w:tc>
      </w:tr>
    </w:tbl>
    <w:p>
      <w:pPr>
        <w:ind w:left="2100" w:right="440"/>
        <w:spacing w:after="0" w:line="277" w:lineRule="auto"/>
        <w:rPr>
          <w:sz w:val="20"/>
          <w:szCs w:val="20"/>
          <w:color w:val="auto"/>
        </w:rPr>
      </w:pPr>
      <w:r>
        <w:rPr>
          <w:rFonts w:ascii="Arial" w:cs="Arial" w:eastAsia="Arial" w:hAnsi="Arial"/>
          <w:sz w:val="17"/>
          <w:szCs w:val="17"/>
          <w:color w:val="auto"/>
        </w:rPr>
        <w:t>September 30, 2017 and 2016, (iii) the Condensed Consolidated Statement of Changes in Shareholders’ Equity for the nine months ended September 30, 2017, (iv) the Condensed Consolidated Statements of Cash Flows for nine months ended September 30, 2017 and 2016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32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620" w:val="left"/>
          <w:tab w:leader="none" w:pos="6300" w:val="left"/>
        </w:tabs>
        <w:rPr>
          <w:sz w:val="20"/>
          <w:szCs w:val="20"/>
          <w:color w:val="auto"/>
        </w:rPr>
      </w:pPr>
      <w:r>
        <w:rPr>
          <w:rFonts w:ascii="Arial" w:cs="Arial" w:eastAsia="Arial" w:hAnsi="Arial"/>
          <w:sz w:val="18"/>
          <w:szCs w:val="18"/>
          <w:color w:val="auto"/>
        </w:rPr>
        <w:t>October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240" w:top="130" w:right="7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October 27, 2017</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70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Clifford, certify that:</w:t>
      </w:r>
    </w:p>
    <w:p>
      <w:pPr>
        <w:spacing w:after="0" w:line="225"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October 27, 2017</w:t>
            </w:r>
          </w:p>
        </w:tc>
        <w:tc>
          <w:tcPr>
            <w:tcW w:w="1900" w:type="dxa"/>
            <w:vAlign w:val="bottom"/>
            <w:gridSpan w:val="2"/>
          </w:tcPr>
          <w:p>
            <w:pPr>
              <w:spacing w:after="0"/>
              <w:rPr>
                <w:sz w:val="20"/>
                <w:szCs w:val="20"/>
                <w:color w:val="auto"/>
              </w:rPr>
            </w:pPr>
            <w:r>
              <w:rPr>
                <w:rFonts w:ascii="Arial" w:cs="Arial" w:eastAsia="Arial" w:hAnsi="Arial"/>
                <w:sz w:val="18"/>
                <w:szCs w:val="18"/>
                <w:color w:val="auto"/>
              </w:rPr>
              <w:t>/s/ William J. Clifford</w:t>
            </w:r>
          </w:p>
        </w:tc>
      </w:tr>
      <w:tr>
        <w:trPr>
          <w:trHeight w:val="20"/>
        </w:trPr>
        <w:tc>
          <w:tcPr>
            <w:tcW w:w="5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Name: William J. Clifford</w:t>
            </w:r>
          </w:p>
        </w:tc>
      </w:tr>
      <w:tr>
        <w:trPr>
          <w:trHeight w:val="270"/>
        </w:trPr>
        <w:tc>
          <w:tcPr>
            <w:tcW w:w="57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2017,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2017, as filed with the Securities and Exchange Commission on the date hereof (the “Report”), I, William J. Clifford,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October 27,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1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13"/>
    </w:lvl>
  </w:abstractNum>
  <w:abstractNum w:abstractNumId="12">
    <w:nsid w:val="2D1D5AE9"/>
    <w:multiLevelType w:val="hybridMultilevel"/>
    <w:lvl w:ilvl="0">
      <w:lvlJc w:val="left"/>
      <w:lvlText w:val="%1"/>
      <w:numFmt w:val="decimal"/>
      <w:start w:val="1"/>
    </w:lvl>
    <w:lvl w:ilvl="1">
      <w:lvlJc w:val="left"/>
      <w:lvlText w:val="(%2)"/>
      <w:numFmt w:val="decimal"/>
      <w:start w:val="1"/>
    </w:lvl>
  </w:abstractNum>
  <w:abstractNum w:abstractNumId="13">
    <w:nsid w:val="6763845E"/>
    <w:multiLevelType w:val="hybridMultilevel"/>
    <w:lvl w:ilvl="0">
      <w:lvlJc w:val="left"/>
      <w:lvlText w:val="%1."/>
      <w:numFmt w:val="decimal"/>
      <w:start w:val="15"/>
    </w:lvl>
    <w:lvl w:ilvl="1">
      <w:lvlJc w:val="left"/>
      <w:lvlText w:val="%2"/>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lowerRoman"/>
      <w:start w:val="2"/>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1"/>
    </w:lvl>
    <w:lvl w:ilvl="1">
      <w:lvlJc w:val="left"/>
      <w:lvlText w:val="(%2)"/>
      <w:numFmt w:val="lowerLetter"/>
      <w:start w:val="2"/>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2"/>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2019-12-29T04:18:44Z</dcterms:created>
  <dcterms:modified xsi:type="dcterms:W3CDTF">2019-12-29T04:18:44Z</dcterms:modified>
</cp:coreProperties>
</file>