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299085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258445</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3" w:lineRule="exact"/>
        <w:rPr>
          <w:sz w:val="24"/>
          <w:szCs w:val="24"/>
          <w:color w:val="auto"/>
        </w:rPr>
      </w:pPr>
    </w:p>
    <w:p>
      <w:pPr>
        <w:ind w:left="400" w:hanging="38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2025</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0" w:lineRule="exact"/>
        <w:rPr>
          <w:sz w:val="24"/>
          <w:szCs w:val="24"/>
          <w:color w:val="auto"/>
        </w:rPr>
      </w:pPr>
    </w:p>
    <w:p>
      <w:pPr>
        <w:ind w:left="400" w:hanging="380"/>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7" w:lineRule="exact"/>
        <w:rPr>
          <w:sz w:val="24"/>
          <w:szCs w:val="24"/>
          <w:color w:val="auto"/>
        </w:rPr>
      </w:pPr>
    </w:p>
    <w:p>
      <w:pPr>
        <w:ind w:left="4040"/>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Commission File Number: 001-36124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Gaming and Leisure Properties, Inc.</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231" w:right="339" w:bottom="1440" w:gutter="0" w:footer="0" w:header="0"/>
        </w:sectPr>
      </w:pPr>
    </w:p>
    <w:p>
      <w:pPr>
        <w:spacing w:after="0" w:line="27"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32"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4"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46-2116489</w:t>
      </w:r>
    </w:p>
    <w:p>
      <w:pPr>
        <w:spacing w:after="0" w:line="32"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color w:val="auto"/>
        </w:rPr>
        <w:t>(I.R.S. Employer</w:t>
      </w:r>
    </w:p>
    <w:p>
      <w:pPr>
        <w:spacing w:after="0" w:line="24"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1" w:lineRule="exact"/>
        <w:rPr>
          <w:sz w:val="24"/>
          <w:szCs w:val="24"/>
          <w:color w:val="auto"/>
        </w:rPr>
      </w:pPr>
    </w:p>
    <w:p>
      <w:pPr>
        <w:sectPr>
          <w:pgSz w:w="11900" w:h="16838" w:orient="portrait"/>
          <w:cols w:equalWidth="0" w:num="2">
            <w:col w:w="7020" w:space="720"/>
            <w:col w:w="3500"/>
          </w:cols>
          <w:pgMar w:left="320" w:top="231" w:right="33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845 Berkshire Blvd.,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Wyomissing, PA 19610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ectPr>
          <w:pgSz w:w="11900" w:h="16838" w:orient="portrait"/>
          <w:cols w:equalWidth="0" w:num="1">
            <w:col w:w="11240"/>
          </w:cols>
          <w:pgMar w:left="320" w:top="231" w:right="339" w:bottom="1440" w:gutter="0" w:footer="0" w:header="0"/>
          <w:type w:val="continuous"/>
        </w:sectPr>
      </w:pP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610-401-2900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0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3560" w:type="dxa"/>
            <w:vAlign w:val="bottom"/>
            <w:tcBorders>
              <w:top w:val="single" w:sz="8" w:color="auto"/>
              <w:left w:val="single" w:sz="8" w:color="auto"/>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Borders>
              <w:right w:val="single" w:sz="8" w:color="auto"/>
            </w:tcBorders>
          </w:tcPr>
          <w:p>
            <w:pPr>
              <w:spacing w:after="0"/>
              <w:rPr>
                <w:sz w:val="17"/>
                <w:szCs w:val="17"/>
                <w:color w:val="auto"/>
              </w:rPr>
            </w:pP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00" w:type="dxa"/>
            <w:vAlign w:val="bottom"/>
            <w:tcBorders>
              <w:right w:val="single" w:sz="8" w:color="auto"/>
            </w:tcBorders>
          </w:tcPr>
          <w:p>
            <w:pPr>
              <w:spacing w:after="0"/>
              <w:rPr>
                <w:sz w:val="17"/>
                <w:szCs w:val="17"/>
                <w:color w:val="auto"/>
              </w:rPr>
            </w:pP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185"/>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400" w:type="dxa"/>
            <w:vAlign w:val="bottom"/>
            <w:tcBorders>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GLPI</w:t>
            </w:r>
          </w:p>
        </w:tc>
        <w:tc>
          <w:tcPr>
            <w:tcW w:w="400" w:type="dxa"/>
            <w:vAlign w:val="bottom"/>
            <w:tcBorders>
              <w:right w:val="single" w:sz="8" w:color="auto"/>
            </w:tcBorders>
          </w:tcPr>
          <w:p>
            <w:pPr>
              <w:spacing w:after="0"/>
              <w:rPr>
                <w:sz w:val="16"/>
                <w:szCs w:val="16"/>
                <w:color w:val="auto"/>
              </w:rPr>
            </w:pP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Nasdaq</w:t>
            </w:r>
          </w:p>
        </w:tc>
      </w:tr>
    </w:tbl>
    <w:p>
      <w:pPr>
        <w:spacing w:after="0" w:line="159" w:lineRule="exact"/>
        <w:rPr>
          <w:sz w:val="24"/>
          <w:szCs w:val="24"/>
          <w:color w:val="auto"/>
        </w:rPr>
      </w:pPr>
    </w:p>
    <w:p>
      <w:pPr>
        <w:jc w:val="both"/>
        <w:ind w:right="300" w:firstLine="309"/>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56" w:lineRule="exact"/>
        <w:rPr>
          <w:sz w:val="24"/>
          <w:szCs w:val="24"/>
          <w:color w:val="auto"/>
        </w:rPr>
      </w:pPr>
    </w:p>
    <w:p>
      <w:pPr>
        <w:ind w:right="20" w:firstLine="309"/>
        <w:spacing w:after="0" w:line="22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55" w:lineRule="exact"/>
        <w:rPr>
          <w:sz w:val="24"/>
          <w:szCs w:val="24"/>
          <w:color w:val="auto"/>
        </w:rPr>
      </w:pPr>
    </w:p>
    <w:p>
      <w:pPr>
        <w:ind w:right="300" w:firstLine="309"/>
        <w:spacing w:after="0" w:line="27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120" w:type="dxa"/>
        <w:tblCellMar>
          <w:top w:w="0" w:type="dxa"/>
          <w:left w:w="0" w:type="dxa"/>
          <w:bottom w:w="0" w:type="dxa"/>
          <w:right w:w="0" w:type="dxa"/>
        </w:tblCellMar>
      </w:tblPr>
      <w:tr>
        <w:trPr>
          <w:trHeight w:val="219"/>
        </w:trPr>
        <w:tc>
          <w:tcPr>
            <w:tcW w:w="2080" w:type="dxa"/>
            <w:vAlign w:val="bottom"/>
          </w:tcPr>
          <w:p>
            <w:pPr>
              <w:jc w:val="center"/>
              <w:ind w:right="454"/>
              <w:spacing w:after="0"/>
              <w:rPr>
                <w:sz w:val="20"/>
                <w:szCs w:val="20"/>
                <w:color w:val="auto"/>
              </w:rPr>
            </w:pPr>
            <w:r>
              <w:rPr>
                <w:rFonts w:ascii="Times New Roman" w:cs="Times New Roman" w:eastAsia="Times New Roman" w:hAnsi="Times New Roman"/>
                <w:sz w:val="17"/>
                <w:szCs w:val="17"/>
                <w:color w:val="auto"/>
              </w:rPr>
              <w:t>Large accelerated filer</w:t>
            </w:r>
          </w:p>
        </w:tc>
        <w:tc>
          <w:tcPr>
            <w:tcW w:w="136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9"/>
        </w:trPr>
        <w:tc>
          <w:tcPr>
            <w:tcW w:w="208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Non-accelerated filer</w:t>
            </w:r>
          </w:p>
        </w:tc>
        <w:tc>
          <w:tcPr>
            <w:tcW w:w="136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8" w:lineRule="exact"/>
        <w:rPr>
          <w:sz w:val="24"/>
          <w:szCs w:val="24"/>
          <w:color w:val="auto"/>
        </w:rPr>
      </w:pPr>
    </w:p>
    <w:p>
      <w:pPr>
        <w:ind w:right="200" w:firstLine="309"/>
        <w:spacing w:after="0" w:line="22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57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April 18, 2025</w:t>
            </w:r>
          </w:p>
        </w:tc>
      </w:tr>
      <w:tr>
        <w:trPr>
          <w:trHeight w:val="22"/>
        </w:trPr>
        <w:tc>
          <w:tcPr>
            <w:tcW w:w="5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1"/>
        </w:trPr>
        <w:tc>
          <w:tcPr>
            <w:tcW w:w="5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Common Stock, par value $.01 per share</w:t>
            </w:r>
          </w:p>
        </w:tc>
        <w:tc>
          <w:tcPr>
            <w:tcW w:w="400" w:type="dxa"/>
            <w:vAlign w:val="bottom"/>
          </w:tcPr>
          <w:p>
            <w:pPr>
              <w:spacing w:after="0"/>
              <w:rPr>
                <w:sz w:val="14"/>
                <w:szCs w:val="14"/>
                <w:color w:val="auto"/>
              </w:rPr>
            </w:pPr>
          </w:p>
        </w:tc>
        <w:tc>
          <w:tcPr>
            <w:tcW w:w="5140" w:type="dxa"/>
            <w:vAlign w:val="bottom"/>
          </w:tcPr>
          <w:p>
            <w:pPr>
              <w:jc w:val="right"/>
              <w:ind w:right="2151"/>
              <w:spacing w:after="0"/>
              <w:rPr>
                <w:sz w:val="20"/>
                <w:szCs w:val="20"/>
                <w:color w:val="auto"/>
              </w:rPr>
            </w:pPr>
            <w:r>
              <w:rPr>
                <w:rFonts w:ascii="Times New Roman" w:cs="Times New Roman" w:eastAsia="Times New Roman" w:hAnsi="Times New Roman"/>
                <w:sz w:val="14"/>
                <w:szCs w:val="14"/>
                <w:color w:val="auto"/>
              </w:rPr>
              <w:t>274,832,999</w:t>
            </w:r>
          </w:p>
        </w:tc>
        <w:tc>
          <w:tcPr>
            <w:tcW w:w="600" w:type="dxa"/>
            <w:vAlign w:val="bottom"/>
          </w:tcPr>
          <w:p>
            <w:pPr>
              <w:spacing w:after="0"/>
              <w:rPr>
                <w:sz w:val="14"/>
                <w:szCs w:val="14"/>
                <w:color w:val="auto"/>
              </w:rPr>
            </w:pPr>
          </w:p>
        </w:tc>
      </w:tr>
      <w:tr>
        <w:trPr>
          <w:trHeight w:val="756"/>
        </w:trPr>
        <w:tc>
          <w:tcPr>
            <w:tcW w:w="5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320" w:type="dxa"/>
            <w:vAlign w:val="bottom"/>
            <w:gridSpan w:val="15"/>
          </w:tcPr>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3"/>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gridSpan w:val="9"/>
          </w:tcPr>
          <w:p>
            <w:pPr>
              <w:jc w:val="center"/>
              <w:ind w:right="33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w w:val="93"/>
              </w:rPr>
              <w:t>PART I.</w:t>
            </w:r>
          </w:p>
        </w:tc>
        <w:tc>
          <w:tcPr>
            <w:tcW w:w="1220" w:type="dxa"/>
            <w:vAlign w:val="bottom"/>
            <w:gridSpan w:val="5"/>
          </w:tcPr>
          <w:p>
            <w:pPr>
              <w:spacing w:after="0"/>
              <w:rPr>
                <w:sz w:val="24"/>
                <w:szCs w:val="24"/>
                <w:color w:val="auto"/>
              </w:rPr>
            </w:pPr>
          </w:p>
        </w:tc>
        <w:tc>
          <w:tcPr>
            <w:tcW w:w="85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3</w:t>
            </w:r>
          </w:p>
        </w:tc>
      </w:tr>
      <w:tr>
        <w:trPr>
          <w:trHeight w:val="20"/>
        </w:trPr>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8"/>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1.</w:t>
            </w:r>
          </w:p>
        </w:tc>
        <w:tc>
          <w:tcPr>
            <w:tcW w:w="1180" w:type="dxa"/>
            <w:vAlign w:val="bottom"/>
            <w:gridSpan w:val="4"/>
          </w:tcPr>
          <w:p>
            <w:pPr>
              <w:spacing w:after="0"/>
              <w:rPr>
                <w:sz w:val="24"/>
                <w:szCs w:val="24"/>
                <w:color w:val="auto"/>
              </w:rPr>
            </w:pPr>
          </w:p>
        </w:tc>
        <w:tc>
          <w:tcPr>
            <w:tcW w:w="2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8"/>
              </w:rPr>
              <w:t>FINANCIAL STATEMENTS</w:t>
            </w:r>
          </w:p>
        </w:tc>
        <w:tc>
          <w:tcPr>
            <w:tcW w:w="6460" w:type="dxa"/>
            <w:vAlign w:val="bottom"/>
            <w:gridSpan w:val="12"/>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3</w:t>
            </w:r>
          </w:p>
        </w:tc>
        <w:tc>
          <w:tcPr>
            <w:tcW w:w="40" w:type="dxa"/>
            <w:vAlign w:val="bottom"/>
          </w:tcPr>
          <w:p>
            <w:pPr>
              <w:spacing w:after="0"/>
              <w:rPr>
                <w:sz w:val="24"/>
                <w:szCs w:val="24"/>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Condensed Consolidated Balance Sheets - March 31, 2025 and December 31, 202</w:t>
            </w:r>
            <w:r>
              <w:rPr>
                <w:rFonts w:ascii="Times New Roman" w:cs="Times New Roman" w:eastAsia="Times New Roman" w:hAnsi="Times New Roman"/>
                <w:sz w:val="17"/>
                <w:szCs w:val="17"/>
                <w:color w:val="000000"/>
              </w:rPr>
              <w:t>4</w:t>
            </w:r>
          </w:p>
        </w:tc>
        <w:tc>
          <w:tcPr>
            <w:tcW w:w="2720" w:type="dxa"/>
            <w:vAlign w:val="bottom"/>
            <w:gridSpan w:val="5"/>
          </w:tcPr>
          <w:p>
            <w:pPr>
              <w:spacing w:after="0"/>
              <w:rPr>
                <w:sz w:val="17"/>
                <w:szCs w:val="17"/>
                <w:color w:val="auto"/>
              </w:rPr>
            </w:pPr>
          </w:p>
        </w:tc>
        <w:tc>
          <w:tcPr>
            <w:tcW w:w="4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3</w:t>
            </w:r>
          </w:p>
        </w:tc>
        <w:tc>
          <w:tcPr>
            <w:tcW w:w="40" w:type="dxa"/>
            <w:vAlign w:val="bottom"/>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9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Income - Three Months Ended March 31, 2025 and 2024</w:t>
            </w:r>
          </w:p>
        </w:tc>
        <w:tc>
          <w:tcPr>
            <w:tcW w:w="1560" w:type="dxa"/>
            <w:vAlign w:val="bottom"/>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4</w:t>
            </w:r>
          </w:p>
        </w:tc>
        <w:tc>
          <w:tcPr>
            <w:tcW w:w="40" w:type="dxa"/>
            <w:vAlign w:val="bottom"/>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Equity - Three Months Ended March 31, 2025 and 2024</w:t>
            </w:r>
          </w:p>
        </w:tc>
        <w:tc>
          <w:tcPr>
            <w:tcW w:w="110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5</w:t>
            </w:r>
          </w:p>
        </w:tc>
        <w:tc>
          <w:tcPr>
            <w:tcW w:w="40" w:type="dxa"/>
            <w:vAlign w:val="bottom"/>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9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 Three Months Ended March 31, 2025 and 2024</w:t>
            </w:r>
          </w:p>
        </w:tc>
        <w:tc>
          <w:tcPr>
            <w:tcW w:w="1560" w:type="dxa"/>
            <w:vAlign w:val="bottom"/>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6</w:t>
            </w:r>
          </w:p>
        </w:tc>
        <w:tc>
          <w:tcPr>
            <w:tcW w:w="40" w:type="dxa"/>
            <w:vAlign w:val="bottom"/>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5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Notes to the Condensed Consolidated Financial Statements</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7</w:t>
            </w:r>
          </w:p>
        </w:tc>
      </w:tr>
      <w:tr>
        <w:trPr>
          <w:trHeight w:val="20"/>
        </w:trPr>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8"/>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2.</w:t>
            </w:r>
          </w:p>
        </w:tc>
        <w:tc>
          <w:tcPr>
            <w:tcW w:w="1180" w:type="dxa"/>
            <w:vAlign w:val="bottom"/>
            <w:gridSpan w:val="4"/>
          </w:tcPr>
          <w:p>
            <w:pPr>
              <w:spacing w:after="0"/>
              <w:rPr>
                <w:sz w:val="24"/>
                <w:szCs w:val="24"/>
                <w:color w:val="auto"/>
              </w:rPr>
            </w:pPr>
          </w:p>
        </w:tc>
        <w:tc>
          <w:tcPr>
            <w:tcW w:w="85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30</w:t>
            </w:r>
          </w:p>
        </w:tc>
      </w:tr>
      <w:tr>
        <w:trPr>
          <w:trHeight w:val="41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3.</w:t>
            </w:r>
          </w:p>
        </w:tc>
        <w:tc>
          <w:tcPr>
            <w:tcW w:w="1180" w:type="dxa"/>
            <w:vAlign w:val="bottom"/>
            <w:gridSpan w:val="4"/>
          </w:tcPr>
          <w:p>
            <w:pPr>
              <w:spacing w:after="0"/>
              <w:rPr>
                <w:sz w:val="24"/>
                <w:szCs w:val="24"/>
                <w:color w:val="auto"/>
              </w:rPr>
            </w:pPr>
          </w:p>
        </w:tc>
        <w:tc>
          <w:tcPr>
            <w:tcW w:w="85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51</w:t>
            </w:r>
          </w:p>
        </w:tc>
      </w:tr>
      <w:tr>
        <w:trPr>
          <w:trHeight w:val="418"/>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4.</w:t>
            </w:r>
          </w:p>
        </w:tc>
        <w:tc>
          <w:tcPr>
            <w:tcW w:w="1180" w:type="dxa"/>
            <w:vAlign w:val="bottom"/>
            <w:gridSpan w:val="4"/>
          </w:tcPr>
          <w:p>
            <w:pPr>
              <w:spacing w:after="0"/>
              <w:rPr>
                <w:sz w:val="24"/>
                <w:szCs w:val="24"/>
                <w:color w:val="auto"/>
              </w:rPr>
            </w:pPr>
          </w:p>
        </w:tc>
        <w:tc>
          <w:tcPr>
            <w:tcW w:w="58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266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52</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418"/>
        </w:trPr>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4"/>
              </w:rPr>
              <w:t>PART II.</w:t>
            </w:r>
          </w:p>
        </w:tc>
        <w:tc>
          <w:tcPr>
            <w:tcW w:w="1160" w:type="dxa"/>
            <w:vAlign w:val="bottom"/>
            <w:gridSpan w:val="3"/>
          </w:tcPr>
          <w:p>
            <w:pPr>
              <w:spacing w:after="0"/>
              <w:rPr>
                <w:sz w:val="24"/>
                <w:szCs w:val="24"/>
                <w:color w:val="auto"/>
              </w:rPr>
            </w:pPr>
          </w:p>
        </w:tc>
        <w:tc>
          <w:tcPr>
            <w:tcW w:w="1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6720" w:type="dxa"/>
            <w:vAlign w:val="bottom"/>
            <w:gridSpan w:val="13"/>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53</w:t>
            </w:r>
          </w:p>
        </w:tc>
      </w:tr>
      <w:tr>
        <w:trPr>
          <w:trHeight w:val="41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1.</w:t>
            </w:r>
          </w:p>
        </w:tc>
        <w:tc>
          <w:tcPr>
            <w:tcW w:w="1180" w:type="dxa"/>
            <w:vAlign w:val="bottom"/>
            <w:gridSpan w:val="4"/>
          </w:tcPr>
          <w:p>
            <w:pPr>
              <w:spacing w:after="0"/>
              <w:rPr>
                <w:sz w:val="24"/>
                <w:szCs w:val="24"/>
                <w:color w:val="auto"/>
              </w:rPr>
            </w:pPr>
          </w:p>
        </w:tc>
        <w:tc>
          <w:tcPr>
            <w:tcW w:w="85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53</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418"/>
        </w:trPr>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ITEM 1A.</w:t>
            </w:r>
          </w:p>
        </w:tc>
        <w:tc>
          <w:tcPr>
            <w:tcW w:w="1060" w:type="dxa"/>
            <w:vAlign w:val="bottom"/>
            <w:gridSpan w:val="2"/>
          </w:tcPr>
          <w:p>
            <w:pPr>
              <w:spacing w:after="0"/>
              <w:rPr>
                <w:sz w:val="24"/>
                <w:szCs w:val="24"/>
                <w:color w:val="auto"/>
              </w:rPr>
            </w:pPr>
          </w:p>
        </w:tc>
        <w:tc>
          <w:tcPr>
            <w:tcW w:w="12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7320" w:type="dxa"/>
            <w:vAlign w:val="bottom"/>
            <w:gridSpan w:val="15"/>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53</w:t>
            </w:r>
          </w:p>
        </w:tc>
      </w:tr>
      <w:tr>
        <w:trPr>
          <w:trHeight w:val="418"/>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2.</w:t>
            </w:r>
          </w:p>
        </w:tc>
        <w:tc>
          <w:tcPr>
            <w:tcW w:w="1180" w:type="dxa"/>
            <w:vAlign w:val="bottom"/>
            <w:gridSpan w:val="4"/>
          </w:tcPr>
          <w:p>
            <w:pPr>
              <w:spacing w:after="0"/>
              <w:rPr>
                <w:sz w:val="24"/>
                <w:szCs w:val="24"/>
                <w:color w:val="auto"/>
              </w:rPr>
            </w:pPr>
          </w:p>
        </w:tc>
        <w:tc>
          <w:tcPr>
            <w:tcW w:w="58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272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53</w:t>
            </w:r>
          </w:p>
        </w:tc>
      </w:tr>
      <w:tr>
        <w:trPr>
          <w:trHeight w:val="418"/>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3.</w:t>
            </w:r>
          </w:p>
        </w:tc>
        <w:tc>
          <w:tcPr>
            <w:tcW w:w="1180" w:type="dxa"/>
            <w:vAlign w:val="bottom"/>
            <w:gridSpan w:val="4"/>
          </w:tcPr>
          <w:p>
            <w:pPr>
              <w:spacing w:after="0"/>
              <w:rPr>
                <w:sz w:val="24"/>
                <w:szCs w:val="24"/>
                <w:color w:val="auto"/>
              </w:rPr>
            </w:pPr>
          </w:p>
        </w:tc>
        <w:tc>
          <w:tcPr>
            <w:tcW w:w="30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w w:val="99"/>
              </w:rPr>
              <w:t>DEFAULTS UPON SENIOR SECURITIES</w:t>
            </w:r>
          </w:p>
        </w:tc>
        <w:tc>
          <w:tcPr>
            <w:tcW w:w="548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53</w:t>
            </w:r>
          </w:p>
        </w:tc>
      </w:tr>
      <w:tr>
        <w:trPr>
          <w:trHeight w:val="41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4.</w:t>
            </w:r>
          </w:p>
        </w:tc>
        <w:tc>
          <w:tcPr>
            <w:tcW w:w="1180" w:type="dxa"/>
            <w:vAlign w:val="bottom"/>
            <w:gridSpan w:val="4"/>
          </w:tcPr>
          <w:p>
            <w:pPr>
              <w:spacing w:after="0"/>
              <w:rPr>
                <w:sz w:val="24"/>
                <w:szCs w:val="24"/>
                <w:color w:val="auto"/>
              </w:rPr>
            </w:pPr>
          </w:p>
        </w:tc>
        <w:tc>
          <w:tcPr>
            <w:tcW w:w="85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53</w:t>
            </w:r>
          </w:p>
        </w:tc>
      </w:tr>
      <w:tr>
        <w:trPr>
          <w:trHeight w:val="418"/>
        </w:trPr>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5.</w:t>
            </w:r>
          </w:p>
        </w:tc>
        <w:tc>
          <w:tcPr>
            <w:tcW w:w="1180" w:type="dxa"/>
            <w:vAlign w:val="bottom"/>
            <w:gridSpan w:val="4"/>
          </w:tcPr>
          <w:p>
            <w:pPr>
              <w:spacing w:after="0"/>
              <w:rPr>
                <w:sz w:val="24"/>
                <w:szCs w:val="24"/>
                <w:color w:val="auto"/>
              </w:rPr>
            </w:pPr>
          </w:p>
        </w:tc>
        <w:tc>
          <w:tcPr>
            <w:tcW w:w="18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520" w:type="dxa"/>
            <w:vAlign w:val="bottom"/>
            <w:tcBorders>
              <w:top w:val="single" w:sz="8" w:color="0000FF"/>
            </w:tcBorders>
            <w:gridSpan w:val="3"/>
          </w:tcPr>
          <w:p>
            <w:pPr>
              <w:spacing w:after="0"/>
              <w:rPr>
                <w:sz w:val="24"/>
                <w:szCs w:val="24"/>
                <w:color w:val="auto"/>
              </w:rPr>
            </w:pPr>
          </w:p>
        </w:tc>
        <w:tc>
          <w:tcPr>
            <w:tcW w:w="620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53</w:t>
            </w:r>
          </w:p>
        </w:tc>
      </w:tr>
      <w:tr>
        <w:trPr>
          <w:trHeight w:val="41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6.</w:t>
            </w:r>
          </w:p>
        </w:tc>
        <w:tc>
          <w:tcPr>
            <w:tcW w:w="1180" w:type="dxa"/>
            <w:vAlign w:val="bottom"/>
            <w:gridSpan w:val="4"/>
          </w:tcPr>
          <w:p>
            <w:pPr>
              <w:spacing w:after="0"/>
              <w:rPr>
                <w:sz w:val="24"/>
                <w:szCs w:val="24"/>
                <w:color w:val="auto"/>
              </w:rPr>
            </w:pPr>
          </w:p>
        </w:tc>
        <w:tc>
          <w:tcPr>
            <w:tcW w:w="85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EXHIBITS</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54</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418"/>
        </w:trPr>
        <w:tc>
          <w:tcPr>
            <w:tcW w:w="9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7"/>
              </w:rPr>
              <w:t>SIGNATURE</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0"/>
          </w:cols>
          <w:pgMar w:left="320" w:top="127"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2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6"/>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Real estate investments, net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8,097,069</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8,148,719</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in leases, financing receivables,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2,313,156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2,333,114</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in leases, sales-type,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245,661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254,821</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 estate loans,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160,590</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Right-of-use assets and land rights,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1,086,839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1,091,783</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462,632</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Held to maturity investment securities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560,832</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63,458</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12,132,521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13,075,949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2"/>
        </w:trPr>
        <w:tc>
          <w:tcPr>
            <w:tcW w:w="8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9"/>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5,802</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interest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105,752</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salaries and wages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7,154</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244,314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244,973</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60,788</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 debt, net of unamortized debt issuance costs, bond premiums and original issuance discounts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6,889,064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7,735,877</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rental revenue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228,508</w:t>
            </w:r>
          </w:p>
        </w:tc>
      </w:tr>
      <w:tr>
        <w:trPr>
          <w:trHeight w:val="21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41,571</w:t>
            </w:r>
          </w:p>
        </w:tc>
      </w:tr>
      <w:tr>
        <w:trPr>
          <w:trHeight w:val="212"/>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7,537,993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8,430,425</w:t>
            </w:r>
          </w:p>
        </w:tc>
      </w:tr>
      <w:tr>
        <w:trPr>
          <w:trHeight w:val="186"/>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9)</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06"/>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06"/>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68"/>
        </w:trPr>
        <w:tc>
          <w:tcPr>
            <w:tcW w:w="8240" w:type="dxa"/>
            <w:vAlign w:val="bottom"/>
            <w:shd w:val="clear" w:color="auto" w:fill="CCEEFF"/>
          </w:tcPr>
          <w:p>
            <w:pPr>
              <w:ind w:left="120"/>
              <w:spacing w:after="0" w:line="167" w:lineRule="exact"/>
              <w:rPr>
                <w:sz w:val="20"/>
                <w:szCs w:val="20"/>
                <w:color w:val="auto"/>
              </w:rPr>
            </w:pPr>
            <w:r>
              <w:rPr>
                <w:rFonts w:ascii="Times New Roman" w:cs="Times New Roman" w:eastAsia="Times New Roman" w:hAnsi="Times New Roman"/>
                <w:sz w:val="17"/>
                <w:szCs w:val="17"/>
                <w:color w:val="auto"/>
              </w:rPr>
              <w:t>Preferred stock ($.01 par value, 50,000,000 shares authorized, no shares issued or outstanding at March 31, 2025 and</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8240" w:type="dxa"/>
            <w:vAlign w:val="bottom"/>
          </w:tcPr>
          <w:p>
            <w:pPr>
              <w:ind w:left="120"/>
              <w:spacing w:after="0" w:line="167" w:lineRule="exact"/>
              <w:rPr>
                <w:sz w:val="20"/>
                <w:szCs w:val="20"/>
                <w:color w:val="auto"/>
              </w:rPr>
            </w:pPr>
            <w:r>
              <w:rPr>
                <w:rFonts w:ascii="Times New Roman" w:cs="Times New Roman" w:eastAsia="Times New Roman" w:hAnsi="Times New Roman"/>
                <w:sz w:val="17"/>
                <w:szCs w:val="17"/>
                <w:color w:val="auto"/>
              </w:rPr>
              <w:t>Common stock ($.01 par value, 500,000,000 shares authorized, 274,832,999 and 274,422,549 shares issued and</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2"/>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outstanding at March 31, 2025 and December 31, 2024, respectively)</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2,744</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6,209,827</w:t>
            </w:r>
          </w:p>
        </w:tc>
      </w:tr>
      <w:tr>
        <w:trPr>
          <w:trHeight w:val="21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(1,987,886)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(1,944,009)</w:t>
            </w:r>
          </w:p>
        </w:tc>
      </w:tr>
      <w:tr>
        <w:trPr>
          <w:trHeight w:val="212"/>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equity attributable to Gaming and Leisure Properties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4,215,211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4,268,562</w:t>
            </w:r>
          </w:p>
        </w:tc>
      </w:tr>
      <w:tr>
        <w:trPr>
          <w:trHeight w:val="168"/>
        </w:trPr>
        <w:tc>
          <w:tcPr>
            <w:tcW w:w="8240" w:type="dxa"/>
            <w:vAlign w:val="bottom"/>
          </w:tcPr>
          <w:p>
            <w:pPr>
              <w:ind w:left="100"/>
              <w:spacing w:after="0" w:line="167" w:lineRule="exact"/>
              <w:rPr>
                <w:sz w:val="20"/>
                <w:szCs w:val="20"/>
                <w:color w:val="auto"/>
              </w:rPr>
            </w:pPr>
            <w:r>
              <w:rPr>
                <w:rFonts w:ascii="Times New Roman" w:cs="Times New Roman" w:eastAsia="Times New Roman" w:hAnsi="Times New Roman"/>
                <w:sz w:val="17"/>
                <w:szCs w:val="17"/>
                <w:color w:val="auto"/>
              </w:rPr>
              <w:t>Noncontrolling interests in GLPI's Operating Partnership (8,224,939 units outstanding at March 31, 2025 and</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2"/>
        </w:trPr>
        <w:tc>
          <w:tcPr>
            <w:tcW w:w="8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December 31, 2024, respectively)</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379,317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376,962</w:t>
            </w:r>
          </w:p>
        </w:tc>
      </w:tr>
      <w:tr>
        <w:trPr>
          <w:trHeight w:val="212"/>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4,594,528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4,645,524</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12,132,521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13,075,949</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w:t>
      </w:r>
    </w:p>
    <w:p>
      <w:pPr>
        <w:spacing w:after="0" w:line="1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31" w:lineRule="exact"/>
        <w:rPr>
          <w:sz w:val="20"/>
          <w:szCs w:val="20"/>
          <w:color w:val="auto"/>
        </w:rPr>
      </w:pPr>
    </w:p>
    <w:tbl>
      <w:tblPr>
        <w:tblLayout w:type="fixed"/>
        <w:tblInd w:w="1180" w:type="dxa"/>
        <w:tblCellMar>
          <w:top w:w="0" w:type="dxa"/>
          <w:left w:w="0" w:type="dxa"/>
          <w:bottom w:w="0" w:type="dxa"/>
          <w:right w:w="0" w:type="dxa"/>
        </w:tblCellMar>
      </w:tblPr>
      <w:tr>
        <w:trPr>
          <w:trHeight w:val="182"/>
        </w:trPr>
        <w:tc>
          <w:tcPr>
            <w:tcW w:w="5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58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r>
      <w:tr>
        <w:trPr>
          <w:trHeight w:val="205"/>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9"/>
        </w:trPr>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Rental income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340,252</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330,582</w:t>
            </w:r>
          </w:p>
        </w:tc>
        <w:tc>
          <w:tcPr>
            <w:tcW w:w="120" w:type="dxa"/>
            <w:vAlign w:val="bottom"/>
          </w:tcPr>
          <w:p>
            <w:pPr>
              <w:spacing w:after="0"/>
              <w:rPr>
                <w:sz w:val="19"/>
                <w:szCs w:val="19"/>
                <w:color w:val="auto"/>
              </w:rPr>
            </w:pPr>
          </w:p>
        </w:tc>
      </w:tr>
      <w:tr>
        <w:trPr>
          <w:trHeight w:val="21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from investment in leases, financing receivables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44,305</w:t>
            </w:r>
          </w:p>
        </w:tc>
        <w:tc>
          <w:tcPr>
            <w:tcW w:w="120" w:type="dxa"/>
            <w:vAlign w:val="bottom"/>
            <w:shd w:val="clear" w:color="auto" w:fill="CCEEFF"/>
          </w:tcPr>
          <w:p>
            <w:pPr>
              <w:spacing w:after="0"/>
              <w:rPr>
                <w:sz w:val="19"/>
                <w:szCs w:val="19"/>
                <w:color w:val="auto"/>
              </w:rPr>
            </w:pPr>
          </w:p>
        </w:tc>
      </w:tr>
      <w:tr>
        <w:trPr>
          <w:trHeight w:val="219"/>
        </w:trPr>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from sales-type lease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 from real estate loans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120" w:type="dxa"/>
            <w:vAlign w:val="bottom"/>
            <w:shd w:val="clear" w:color="auto" w:fill="CCEEFF"/>
          </w:tcPr>
          <w:p>
            <w:pPr>
              <w:spacing w:after="0"/>
              <w:rPr>
                <w:sz w:val="19"/>
                <w:szCs w:val="19"/>
                <w:color w:val="auto"/>
              </w:rPr>
            </w:pPr>
          </w:p>
        </w:tc>
      </w:tr>
      <w:tr>
        <w:trPr>
          <w:trHeight w:val="212"/>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income from real estate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395,235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375,964</w:t>
            </w:r>
          </w:p>
        </w:tc>
        <w:tc>
          <w:tcPr>
            <w:tcW w:w="120" w:type="dxa"/>
            <w:vAlign w:val="bottom"/>
          </w:tcPr>
          <w:p>
            <w:pPr>
              <w:spacing w:after="0"/>
              <w:rPr>
                <w:sz w:val="18"/>
                <w:szCs w:val="18"/>
                <w:color w:val="auto"/>
              </w:rPr>
            </w:pPr>
          </w:p>
        </w:tc>
      </w:tr>
      <w:tr>
        <w:trPr>
          <w:trHeight w:val="206"/>
        </w:trPr>
        <w:tc>
          <w:tcPr>
            <w:tcW w:w="5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9"/>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Land rights and ground lease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11,818</w:t>
            </w:r>
          </w:p>
        </w:tc>
        <w:tc>
          <w:tcPr>
            <w:tcW w:w="120" w:type="dxa"/>
            <w:vAlign w:val="bottom"/>
            <w:shd w:val="clear" w:color="auto" w:fill="CCEEFF"/>
          </w:tcPr>
          <w:p>
            <w:pPr>
              <w:spacing w:after="0"/>
              <w:rPr>
                <w:sz w:val="19"/>
                <w:szCs w:val="19"/>
                <w:color w:val="auto"/>
              </w:rPr>
            </w:pPr>
          </w:p>
        </w:tc>
      </w:tr>
      <w:tr>
        <w:trPr>
          <w:trHeight w:val="219"/>
        </w:trPr>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17,886</w:t>
            </w:r>
          </w:p>
        </w:tc>
        <w:tc>
          <w:tcPr>
            <w:tcW w:w="120" w:type="dxa"/>
            <w:vAlign w:val="bottom"/>
          </w:tcPr>
          <w:p>
            <w:pPr>
              <w:spacing w:after="0"/>
              <w:rPr>
                <w:sz w:val="19"/>
                <w:szCs w:val="19"/>
                <w:color w:val="auto"/>
              </w:rPr>
            </w:pPr>
          </w:p>
        </w:tc>
      </w:tr>
      <w:tr>
        <w:trPr>
          <w:trHeight w:val="21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Gains from dispositions of property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65,360</w:t>
            </w:r>
          </w:p>
        </w:tc>
        <w:tc>
          <w:tcPr>
            <w:tcW w:w="120" w:type="dxa"/>
            <w:vAlign w:val="bottom"/>
          </w:tcPr>
          <w:p>
            <w:pPr>
              <w:spacing w:after="0"/>
              <w:rPr>
                <w:sz w:val="19"/>
                <w:szCs w:val="19"/>
                <w:color w:val="auto"/>
              </w:rPr>
            </w:pPr>
          </w:p>
        </w:tc>
      </w:tr>
      <w:tr>
        <w:trPr>
          <w:trHeight w:val="21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Provision (benefit) for credit losses,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39,246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23,294</w:t>
            </w:r>
          </w:p>
        </w:tc>
        <w:tc>
          <w:tcPr>
            <w:tcW w:w="120" w:type="dxa"/>
            <w:vAlign w:val="bottom"/>
            <w:shd w:val="clear" w:color="auto" w:fill="CCEEFF"/>
          </w:tcPr>
          <w:p>
            <w:pPr>
              <w:spacing w:after="0"/>
              <w:rPr>
                <w:sz w:val="19"/>
                <w:szCs w:val="19"/>
                <w:color w:val="auto"/>
              </w:rPr>
            </w:pPr>
          </w:p>
        </w:tc>
      </w:tr>
      <w:tr>
        <w:trPr>
          <w:trHeight w:val="212"/>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136,401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118,358</w:t>
            </w:r>
          </w:p>
        </w:tc>
        <w:tc>
          <w:tcPr>
            <w:tcW w:w="120" w:type="dxa"/>
            <w:vAlign w:val="bottom"/>
            <w:tcBorders>
              <w:bottom w:val="single" w:sz="8" w:color="CCEEFF"/>
            </w:tcBorders>
          </w:tcPr>
          <w:p>
            <w:pPr>
              <w:spacing w:after="0"/>
              <w:rPr>
                <w:sz w:val="18"/>
                <w:szCs w:val="18"/>
                <w:color w:val="auto"/>
              </w:rPr>
            </w:pPr>
          </w:p>
        </w:tc>
      </w:tr>
      <w:tr>
        <w:trPr>
          <w:trHeight w:val="21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258,834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257,606</w:t>
            </w:r>
          </w:p>
        </w:tc>
        <w:tc>
          <w:tcPr>
            <w:tcW w:w="120" w:type="dxa"/>
            <w:vAlign w:val="bottom"/>
            <w:shd w:val="clear" w:color="auto" w:fill="CCEEFF"/>
          </w:tcPr>
          <w:p>
            <w:pPr>
              <w:spacing w:after="0"/>
              <w:rPr>
                <w:sz w:val="18"/>
                <w:szCs w:val="18"/>
                <w:color w:val="auto"/>
              </w:rPr>
            </w:pPr>
          </w:p>
        </w:tc>
      </w:tr>
      <w:tr>
        <w:trPr>
          <w:trHeight w:val="186"/>
        </w:trPr>
        <w:tc>
          <w:tcPr>
            <w:tcW w:w="5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9"/>
        </w:trPr>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(86,675)</w:t>
            </w:r>
          </w:p>
        </w:tc>
        <w:tc>
          <w:tcPr>
            <w:tcW w:w="120" w:type="dxa"/>
            <w:vAlign w:val="bottom"/>
          </w:tcPr>
          <w:p>
            <w:pPr>
              <w:spacing w:after="0"/>
              <w:rPr>
                <w:sz w:val="19"/>
                <w:szCs w:val="19"/>
                <w:color w:val="auto"/>
              </w:rPr>
            </w:pPr>
          </w:p>
        </w:tc>
      </w:tr>
      <w:tr>
        <w:trPr>
          <w:trHeight w:val="21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9,232</w:t>
            </w:r>
          </w:p>
        </w:tc>
        <w:tc>
          <w:tcPr>
            <w:tcW w:w="120" w:type="dxa"/>
            <w:vAlign w:val="bottom"/>
            <w:shd w:val="clear" w:color="auto" w:fill="CCEEFF"/>
          </w:tcPr>
          <w:p>
            <w:pPr>
              <w:spacing w:after="0"/>
              <w:rPr>
                <w:sz w:val="19"/>
                <w:szCs w:val="19"/>
                <w:color w:val="auto"/>
              </w:rPr>
            </w:pPr>
          </w:p>
        </w:tc>
      </w:tr>
      <w:tr>
        <w:trPr>
          <w:trHeight w:val="212"/>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(87,916)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(77,443)</w:t>
            </w:r>
          </w:p>
        </w:tc>
        <w:tc>
          <w:tcPr>
            <w:tcW w:w="120" w:type="dxa"/>
            <w:vAlign w:val="bottom"/>
            <w:tcBorders>
              <w:bottom w:val="single" w:sz="8" w:color="CCEEFF"/>
            </w:tcBorders>
          </w:tcPr>
          <w:p>
            <w:pPr>
              <w:spacing w:after="0"/>
              <w:rPr>
                <w:sz w:val="18"/>
                <w:szCs w:val="18"/>
                <w:color w:val="auto"/>
              </w:rPr>
            </w:pPr>
          </w:p>
        </w:tc>
      </w:tr>
      <w:tr>
        <w:trPr>
          <w:trHeight w:val="225"/>
        </w:trPr>
        <w:tc>
          <w:tcPr>
            <w:tcW w:w="5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9"/>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170,918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180,163</w:t>
            </w:r>
          </w:p>
        </w:tc>
        <w:tc>
          <w:tcPr>
            <w:tcW w:w="120" w:type="dxa"/>
            <w:vAlign w:val="bottom"/>
          </w:tcPr>
          <w:p>
            <w:pPr>
              <w:spacing w:after="0"/>
              <w:rPr>
                <w:sz w:val="19"/>
                <w:szCs w:val="19"/>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120" w:type="dxa"/>
            <w:vAlign w:val="bottom"/>
            <w:shd w:val="clear" w:color="auto" w:fill="CCEEFF"/>
          </w:tcPr>
          <w:p>
            <w:pPr>
              <w:spacing w:after="0"/>
              <w:rPr>
                <w:sz w:val="19"/>
                <w:szCs w:val="19"/>
                <w:color w:val="auto"/>
              </w:rPr>
            </w:pPr>
          </w:p>
        </w:tc>
      </w:tr>
      <w:tr>
        <w:trPr>
          <w:trHeight w:val="212"/>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170,354</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179,526</w:t>
            </w:r>
          </w:p>
        </w:tc>
        <w:tc>
          <w:tcPr>
            <w:tcW w:w="120" w:type="dxa"/>
            <w:vAlign w:val="bottom"/>
          </w:tcPr>
          <w:p>
            <w:pPr>
              <w:spacing w:after="0"/>
              <w:rPr>
                <w:sz w:val="18"/>
                <w:szCs w:val="18"/>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non-controlling interest in the Operating Partnership</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(5,062)</w:t>
            </w:r>
          </w:p>
        </w:tc>
        <w:tc>
          <w:tcPr>
            <w:tcW w:w="120" w:type="dxa"/>
            <w:vAlign w:val="bottom"/>
            <w:shd w:val="clear" w:color="auto" w:fill="CCEEFF"/>
          </w:tcPr>
          <w:p>
            <w:pPr>
              <w:spacing w:after="0"/>
              <w:rPr>
                <w:sz w:val="19"/>
                <w:szCs w:val="19"/>
                <w:color w:val="auto"/>
              </w:rPr>
            </w:pPr>
          </w:p>
        </w:tc>
      </w:tr>
      <w:tr>
        <w:trPr>
          <w:trHeight w:val="212"/>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common shareholders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165,184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174,464</w:t>
            </w:r>
          </w:p>
        </w:tc>
        <w:tc>
          <w:tcPr>
            <w:tcW w:w="120" w:type="dxa"/>
            <w:vAlign w:val="bottom"/>
          </w:tcPr>
          <w:p>
            <w:pPr>
              <w:spacing w:after="0"/>
              <w:rPr>
                <w:sz w:val="18"/>
                <w:szCs w:val="18"/>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11"/>
        </w:trPr>
        <w:tc>
          <w:tcPr>
            <w:tcW w:w="5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9"/>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earnings attributable to common shareholders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20" w:type="dxa"/>
            <w:vAlign w:val="bottom"/>
            <w:shd w:val="clear" w:color="auto" w:fill="CCEEFF"/>
          </w:tcPr>
          <w:p>
            <w:pPr>
              <w:spacing w:after="0"/>
              <w:rPr>
                <w:sz w:val="19"/>
                <w:szCs w:val="19"/>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earnings attributable to common shareholders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20" w:type="dxa"/>
            <w:vAlign w:val="bottom"/>
          </w:tcPr>
          <w:p>
            <w:pPr>
              <w:spacing w:after="0"/>
              <w:rPr>
                <w:sz w:val="19"/>
                <w:szCs w:val="19"/>
                <w:color w:val="auto"/>
              </w:rPr>
            </w:pPr>
          </w:p>
        </w:tc>
      </w:tr>
    </w:tbl>
    <w:p>
      <w:pPr>
        <w:spacing w:after="0" w:line="27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Balance, December 31, 2024</w:t>
      </w:r>
    </w:p>
    <w:p>
      <w:pPr>
        <w:spacing w:after="0" w:line="28" w:lineRule="exact"/>
        <w:rPr>
          <w:sz w:val="20"/>
          <w:szCs w:val="20"/>
          <w:color w:val="auto"/>
        </w:rPr>
      </w:pPr>
    </w:p>
    <w:p>
      <w:pPr>
        <w:ind w:left="500" w:right="340" w:firstLine="155"/>
        <w:spacing w:after="0" w:line="237" w:lineRule="auto"/>
        <w:rPr>
          <w:sz w:val="20"/>
          <w:szCs w:val="20"/>
          <w:color w:val="auto"/>
        </w:rPr>
      </w:pPr>
      <w:r>
        <w:rPr>
          <w:rFonts w:ascii="Times New Roman" w:cs="Times New Roman" w:eastAsia="Times New Roman" w:hAnsi="Times New Roman"/>
          <w:sz w:val="17"/>
          <w:szCs w:val="17"/>
          <w:color w:val="auto"/>
        </w:rPr>
        <w:t>Restricted stock and LTIP unit activity</w:t>
      </w:r>
    </w:p>
    <w:p>
      <w:pPr>
        <w:spacing w:after="0" w:line="10" w:lineRule="exact"/>
        <w:rPr>
          <w:sz w:val="20"/>
          <w:szCs w:val="20"/>
          <w:color w:val="auto"/>
        </w:rPr>
      </w:pPr>
    </w:p>
    <w:p>
      <w:pPr>
        <w:ind w:left="500" w:firstLine="155"/>
        <w:spacing w:after="0" w:line="239" w:lineRule="auto"/>
        <w:rPr>
          <w:sz w:val="20"/>
          <w:szCs w:val="20"/>
          <w:color w:val="auto"/>
        </w:rPr>
      </w:pPr>
      <w:r>
        <w:rPr>
          <w:rFonts w:ascii="Times New Roman" w:cs="Times New Roman" w:eastAsia="Times New Roman" w:hAnsi="Times New Roman"/>
          <w:sz w:val="17"/>
          <w:szCs w:val="17"/>
          <w:color w:val="auto"/>
        </w:rPr>
        <w:t>Dividends paid ($0.76 per common share)</w:t>
      </w:r>
    </w:p>
    <w:p>
      <w:pPr>
        <w:spacing w:after="0" w:line="10" w:lineRule="exact"/>
        <w:rPr>
          <w:sz w:val="20"/>
          <w:szCs w:val="20"/>
          <w:color w:val="auto"/>
        </w:rPr>
      </w:pPr>
    </w:p>
    <w:p>
      <w:pPr>
        <w:ind w:left="500" w:right="240" w:firstLine="155"/>
        <w:spacing w:after="0" w:line="239" w:lineRule="auto"/>
        <w:rPr>
          <w:sz w:val="20"/>
          <w:szCs w:val="20"/>
          <w:color w:val="auto"/>
        </w:rPr>
      </w:pPr>
      <w:r>
        <w:rPr>
          <w:rFonts w:ascii="Times New Roman" w:cs="Times New Roman" w:eastAsia="Times New Roman" w:hAnsi="Times New Roman"/>
          <w:sz w:val="17"/>
          <w:szCs w:val="17"/>
          <w:color w:val="auto"/>
        </w:rPr>
        <w:t>Distributions to non-controlling interest</w:t>
      </w:r>
    </w:p>
    <w:p>
      <w:pPr>
        <w:spacing w:after="0" w:line="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Net income</w:t>
      </w:r>
    </w:p>
    <w:p>
      <w:pPr>
        <w:spacing w:after="0" w:line="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Balance, March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360" w:right="2700"/>
        <w:spacing w:after="0" w:line="269" w:lineRule="auto"/>
        <w:rPr>
          <w:sz w:val="20"/>
          <w:szCs w:val="20"/>
          <w:color w:val="auto"/>
        </w:rPr>
      </w:pPr>
      <w:r>
        <w:rPr>
          <w:rFonts w:ascii="Times New Roman" w:cs="Times New Roman" w:eastAsia="Times New Roman" w:hAnsi="Times New Roman"/>
          <w:sz w:val="17"/>
          <w:szCs w:val="17"/>
          <w:b w:val="1"/>
          <w:bCs w:val="1"/>
          <w:color w:val="auto"/>
        </w:rPr>
        <w:t>Gaming and Leisure Properties, Inc. and Subsidiaries Condensed Consolidated Statements of Changes in Equity (in thousands, except share data)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58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5"/>
                <w:szCs w:val="15"/>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100" w:type="dxa"/>
            <w:vAlign w:val="bottom"/>
            <w:gridSpan w:val="2"/>
          </w:tcPr>
          <w:p>
            <w:pPr>
              <w:ind w:left="180"/>
              <w:spacing w:after="0" w:line="14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8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Interest Operating</w:t>
            </w: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Partnership</w:t>
            </w:r>
          </w:p>
        </w:tc>
        <w:tc>
          <w:tcPr>
            <w:tcW w:w="240" w:type="dxa"/>
            <w:vAlign w:val="bottom"/>
          </w:tcPr>
          <w:p>
            <w:pPr>
              <w:spacing w:after="0"/>
              <w:rPr>
                <w:sz w:val="16"/>
                <w:szCs w:val="16"/>
                <w:color w:val="auto"/>
              </w:rPr>
            </w:pPr>
          </w:p>
        </w:tc>
        <w:tc>
          <w:tcPr>
            <w:tcW w:w="96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274,422,549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6,209,827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(1,944,009)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376,962</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4,645,524</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410,450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3,526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(5,948)</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(209,061)</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165,184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5,170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170,354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274,832,999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2,748</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6,200,349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(1,987,886)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379,317</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4,594,528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20" w:type="dxa"/>
            <w:vAlign w:val="bottom"/>
          </w:tcPr>
          <w:p>
            <w:pPr>
              <w:spacing w:after="0"/>
              <w:rPr>
                <w:sz w:val="24"/>
                <w:szCs w:val="24"/>
                <w:color w:val="auto"/>
              </w:rPr>
            </w:pPr>
          </w:p>
        </w:tc>
        <w:tc>
          <w:tcPr>
            <w:tcW w:w="2580" w:type="dxa"/>
            <w:vAlign w:val="bottom"/>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0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10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Interest Operating</w:t>
            </w: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Partnership</w:t>
            </w:r>
          </w:p>
        </w:tc>
        <w:tc>
          <w:tcPr>
            <w:tcW w:w="240" w:type="dxa"/>
            <w:vAlign w:val="bottom"/>
          </w:tcPr>
          <w:p>
            <w:pPr>
              <w:spacing w:after="0"/>
              <w:rPr>
                <w:sz w:val="15"/>
                <w:szCs w:val="15"/>
                <w:color w:val="auto"/>
              </w:rPr>
            </w:pPr>
          </w:p>
        </w:tc>
        <w:tc>
          <w:tcPr>
            <w:tcW w:w="9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-1688465</wp:posOffset>
            </wp:positionH>
            <wp:positionV relativeFrom="paragraph">
              <wp:posOffset>-2005965</wp:posOffset>
            </wp:positionV>
            <wp:extent cx="6565265" cy="147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5265" cy="147320"/>
                    </a:xfrm>
                    <a:prstGeom prst="rect">
                      <a:avLst/>
                    </a:prstGeom>
                    <a:noFill/>
                  </pic:spPr>
                </pic:pic>
              </a:graphicData>
            </a:graphic>
          </wp:anchor>
        </w:drawing>
        <w:drawing>
          <wp:anchor simplePos="0" relativeHeight="251657728" behindDoc="1" locked="0" layoutInCell="0" allowOverlap="1">
            <wp:simplePos x="0" y="0"/>
            <wp:positionH relativeFrom="column">
              <wp:posOffset>-1688465</wp:posOffset>
            </wp:positionH>
            <wp:positionV relativeFrom="paragraph">
              <wp:posOffset>-1605280</wp:posOffset>
            </wp:positionV>
            <wp:extent cx="6565265" cy="254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5265" cy="254000"/>
                    </a:xfrm>
                    <a:prstGeom prst="rect">
                      <a:avLst/>
                    </a:prstGeom>
                    <a:noFill/>
                  </pic:spPr>
                </pic:pic>
              </a:graphicData>
            </a:graphic>
          </wp:anchor>
        </w:drawing>
        <w:drawing>
          <wp:anchor simplePos="0" relativeHeight="251657728" behindDoc="1" locked="0" layoutInCell="0" allowOverlap="1">
            <wp:simplePos x="0" y="0"/>
            <wp:positionH relativeFrom="column">
              <wp:posOffset>-1688465</wp:posOffset>
            </wp:positionH>
            <wp:positionV relativeFrom="paragraph">
              <wp:posOffset>-1097280</wp:posOffset>
            </wp:positionV>
            <wp:extent cx="6565265" cy="139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5265" cy="1390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080" w:space="60"/>
            <w:col w:w="7680"/>
          </w:cols>
          <w:pgMar w:left="320" w:top="127" w:right="759" w:bottom="1440" w:gutter="0" w:footer="0" w:header="0"/>
        </w:sectPr>
      </w:pPr>
    </w:p>
    <w:tbl>
      <w:tblPr>
        <w:tblLayout w:type="fixed"/>
        <w:tblInd w:w="460" w:type="dxa"/>
        <w:tblCellMar>
          <w:top w:w="0" w:type="dxa"/>
          <w:left w:w="0" w:type="dxa"/>
          <w:bottom w:w="0" w:type="dxa"/>
          <w:right w:w="0" w:type="dxa"/>
        </w:tblCellMar>
      </w:tblPr>
      <w:tr>
        <w:trPr>
          <w:trHeight w:val="223"/>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270,922,719</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6,052,109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(1,897,913)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352,049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4,508,954</w:t>
            </w:r>
          </w:p>
        </w:tc>
      </w:tr>
      <w:tr>
        <w:trPr>
          <w:trHeight w:val="168"/>
        </w:trPr>
        <w:tc>
          <w:tcPr>
            <w:tcW w:w="268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Issuance of common stock, net of</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181,971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9,016</w:t>
            </w:r>
          </w:p>
        </w:tc>
      </w:tr>
      <w:tr>
        <w:trPr>
          <w:trHeight w:val="219"/>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Restricted stock activity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395,894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(6,589)</w:t>
            </w:r>
          </w:p>
        </w:tc>
      </w:tr>
      <w:tr>
        <w:trPr>
          <w:trHeight w:val="168"/>
        </w:trPr>
        <w:tc>
          <w:tcPr>
            <w:tcW w:w="268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Dividends paid ($0.76 per common</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(206,578)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(206,578)</w:t>
            </w:r>
          </w:p>
        </w:tc>
      </w:tr>
      <w:tr>
        <w:trPr>
          <w:trHeight w:val="168"/>
        </w:trPr>
        <w:tc>
          <w:tcPr>
            <w:tcW w:w="268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7"/>
                <w:szCs w:val="17"/>
                <w:color w:val="auto"/>
              </w:rPr>
              <w:t>Issuance of operating partnership</w:t>
            </w: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19,635</w:t>
            </w:r>
          </w:p>
        </w:tc>
      </w:tr>
      <w:tr>
        <w:trPr>
          <w:trHeight w:val="168"/>
        </w:trPr>
        <w:tc>
          <w:tcPr>
            <w:tcW w:w="268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Distributions to non-controlling</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(6,147)</w:t>
            </w:r>
          </w:p>
        </w:tc>
      </w:tr>
      <w:tr>
        <w:trPr>
          <w:trHeight w:val="219"/>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179,526</w:t>
            </w:r>
          </w:p>
        </w:tc>
      </w:tr>
      <w:tr>
        <w:trPr>
          <w:trHeight w:val="21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March 31, 2024</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271,500,584</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6,054,530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(1,930,027)</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370,599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4,497,817</w:t>
            </w:r>
          </w:p>
        </w:tc>
      </w:tr>
      <w:tr>
        <w:trPr>
          <w:trHeight w:val="20"/>
        </w:trPr>
        <w:tc>
          <w:tcPr>
            <w:tcW w:w="2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20"/>
          </w:cols>
          <w:pgMar w:left="320" w:top="127" w:right="7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8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5"/>
        </w:trPr>
        <w:tc>
          <w:tcPr>
            <w:tcW w:w="8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1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179,526</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68,636</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Amortization of debt issuance costs, bond premiums and original issuance discounts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2,684</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Accretion on financing receivables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(7,884)</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Accretion on held to maturity investment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(2,269)</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Non-cash adjustment to financing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Gains from dispositions of property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8,122</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Straight-line rent and deferred rent adjustments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(15,790)</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(benefit) for credit losses,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23,294</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(Increase), decrease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Increase, (decrease)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219"/>
        </w:trPr>
        <w:tc>
          <w:tcPr>
            <w:tcW w:w="82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Accrued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4,282</w:t>
            </w:r>
          </w:p>
        </w:tc>
      </w:tr>
      <w:tr>
        <w:trPr>
          <w:trHeight w:val="219"/>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Accrued salaries and wages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(5,692)</w:t>
            </w:r>
          </w:p>
        </w:tc>
      </w:tr>
      <w:tr>
        <w:trPr>
          <w:trHeight w:val="219"/>
        </w:trPr>
        <w:tc>
          <w:tcPr>
            <w:tcW w:w="82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7"/>
                <w:szCs w:val="17"/>
                <w:color w:val="auto"/>
              </w:rPr>
              <w:t>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5,323</w:t>
            </w:r>
          </w:p>
        </w:tc>
      </w:tr>
      <w:tr>
        <w:trPr>
          <w:trHeight w:val="212"/>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252,492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257,872</w:t>
            </w:r>
          </w:p>
        </w:tc>
      </w:tr>
      <w:tr>
        <w:trPr>
          <w:trHeight w:val="19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Capital project expenditures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Capital maintenance expenditures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sales of property, net of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Investment in leases, financing receivables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(93,323)</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Originations of real estate loans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Acquisition of held to maturity investment securities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(340,975)</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Maturities of held to maturity investment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549,995</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534,004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(448,401)</w:t>
            </w:r>
          </w:p>
        </w:tc>
      </w:tr>
      <w:tr>
        <w:trPr>
          <w:trHeight w:val="19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Dividends paid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(206,578)</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Non-controlling interest distributions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(6,147)</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Taxes paid related to shares withheld for tax purposes on restricted stock award vestings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(14,711)</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issuance of common stock, net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9,016</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Financing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(63,501)</w:t>
            </w:r>
          </w:p>
        </w:tc>
      </w:tr>
      <w:tr>
        <w:trPr>
          <w:trHeight w:val="212"/>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(1,080,253)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(281,921)</w:t>
            </w:r>
          </w:p>
        </w:tc>
      </w:tr>
      <w:tr>
        <w:trPr>
          <w:trHeight w:val="212"/>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decrease in 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(293,757)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(472,450)</w:t>
            </w:r>
          </w:p>
        </w:tc>
      </w:tr>
      <w:tr>
        <w:trPr>
          <w:trHeight w:val="219"/>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462,632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683,983</w:t>
            </w:r>
          </w:p>
        </w:tc>
      </w:tr>
      <w:tr>
        <w:trPr>
          <w:trHeight w:val="237"/>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168,875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211,533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and Note 14 for supplemental cash flow information and noncash investing and financing activities.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2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Business and Operations</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Gaming and Leisure Properties, Inc. ("GLPI") is a self-administered and self-managed Pennsylvania real estate investment trust ("REIT"). GLPI (together with its subsidiaries, the "Company") was incorporated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Since 2021, the Company has been structured as an umbrella partnership REIT under which substantially all of its business is conducted through GLP Capital, L.P. ("GLP Capital"), the day-to-day management of which is exclusively controlled by GLPI. GLPI has no material assets other than its investment in GLP Capital. GLPI issues equity from time to time and is obligated to contribute the net proceeds from those offerings to GLP Capital. As of March 31, 2025, GLPI owned approximately 97.0% of the outstanding units of GLP Capital with the remaining 3.0% owned by third party limited partners who contributed properties to GLP Capital in exchange for consideration that was partially funded through the issuance of operating partnership units ("OP Units") and holders of long term incentive plan units ("LTIP Units"). The OP Units and LTIP Units once vested are exchangeable on a one for one basis for common shares of the Company. The Company's common stock is listed on the NASDAQ under the ticker symbol GLPI.</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All debt of the Company, including revolving credit facilities, term loans and senior unsecured notes, is incurred by GLP Capital and its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GLPI has fully and unconditionally guaranteed all of our outstanding senior unsecured notes.</w:t>
      </w:r>
    </w:p>
    <w:p>
      <w:pPr>
        <w:spacing w:after="0" w:line="213"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The Company seeks to provide an opportunity to invest in the growth opportunities afforded by the gaming industry, with the stability and cash flow opportunities of a REIT. GLPI’s primary business consists of acquiring, financing, and owning real estate property to be leased to gaming operators in triple-net lease arrangements. Under these arrangements,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96"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As of March 31, 2025, GLPI’s portfolio consisted of interests in 68 gaming and related facilities, the real property associated with 34 gaming and related facilities operated by PENN, the real property associated with 6 gaming and related facilities operated by Caesars Entertainment Corporation (NASDAQ: CZR) ("Caesars"), the real property associated with 4 gaming and related facilities operated by Boyd Gaming Corporation (NYSE: BYD) ("Boyd"), the real property associated with 15 gaming and related facilities operated by Bally's Corporation (NYSE: BALY) ("Bally's") and 1 facility under development with Bally's in Chicago, Illinois, the real property associated with 3 gaming and related facilities operated by Cordish, 1 gaming facility managed by a subsidiary of Hard Rock International ("Hard Rock"), 3 gaming and related facilities operated by Strategic Gaming Management, LLC ("Strategic") and 1 gaming and related facility operated by American Racing &amp; Entertainment ("American Racing").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PENN 2023 Master Lease and Amended PENN Master Lease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January 1, 2023, the Company amended its original master lease with PENN (the "Amended PENN Master Lease") to remove 5 properties from it and created a new master lease (the "PENN 2023 Master Lease"). In addition, the existing leases for the Hollywood Casino at The Meadows in Pennsylvania and the Hollywood Casino Perryville in Maryland were terminated and these properties were transferred into the PENN 2023 Master Lease. Both the Amended PENN Master Lease and the PENN 2023 Master Lease are triple-net operating leases, the terms of which expire on October 31, 2033, with no purchase options, followed by three remaining 5-year renewal options (exercisable by the tenant) on the same terms and conditions.</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Rent under the PENN 2023 Master Lease is fixed with annual escalations on the entirety of rent increasing by 1.5% annually on November 1. The rent structure under the Amended PENN Master Lease includes a fixed component, a portion of which is subject to an annual 2% escalator if certain rent coverage ratio thresholds are met, and a component that is based on the revenues of the facilities, which is prospectively adjusted, subject to certain floors (namely the Hollywood Casino at Penn National Race Course property due to PENN's opening of a competing facility) every 5 years to an amount equal to 4% of the average net revenues of all facilities under the Amended PENN Master Lease during the preceding five years in excess of a contractual baseline.</w:t>
      </w:r>
    </w:p>
    <w:p>
      <w:pPr>
        <w:spacing w:after="0" w:line="11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GLPI also agreed to fund certain potential development projects in the PENN 2023 Master Lease including, up to $225 million for the relocation of PENN's riverboat casino in Aurora at a 7.75% cap rate and, if requested by PENN, up to $350 million for the relocation of the Hollywood Casino Joliet, as well as the construction of a hotel at Hollywood Casino Columbus and the construction of a second hotel tower at the M Resort Spa Casino at then current market rates. As of March 31, 2025, no funding has been requested by PENN on these projects.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Amended Pinnacle Master Lease, Boyd Master Lease and Belterra Park Lease</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April 2016, the Company acquired substantially all of the real estate assets of Pinnacle Entertainment, Inc. ("Pinnacle") and leased these assets back to Pinnacle, under a unitary triple-net lease, the term of which expires April 30, 2031, with no purchase option, followed by four remaining 5-year renewal options (exercisable by the tenant) on the same terms and conditions (the "Pinnacle Master Lease"). The Amended Pinnacle Master Lease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w:t>
      </w:r>
    </w:p>
    <w:p>
      <w:pPr>
        <w:spacing w:after="0" w:line="20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October 15, 2018, the Company completed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Boyd Master Lease includes a fixed component, a portion of which is subject to an annual 2% escalator if certain rent coverage ratio thresholds are met and a component that is based on the performance of the facilities, which is prospectively adjusted every two years to an amount equal to 4% of the average net revenues of all facilities under the Boyd Master Lease during the preceding two years in excess of a contractual baseline.</w:t>
      </w:r>
    </w:p>
    <w:p>
      <w:pPr>
        <w:spacing w:after="0" w:line="2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also purchased the real estate assets of Plainridge Park Casino ("Plainridge Park") from PENN and added this property to the Amended Pinnacle Master Lease. The Amended Pinnacle Master Lease was assumed by PENN at the consummation of the PENN-Pinnacle Merger.</w:t>
      </w:r>
    </w:p>
    <w:p>
      <w:pPr>
        <w:spacing w:after="0" w:line="177"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7"/>
          <w:szCs w:val="17"/>
          <w:color w:val="auto"/>
        </w:rPr>
        <w:t>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w:t>
      </w:r>
    </w:p>
    <w:p>
      <w:pPr>
        <w:spacing w:after="0" w:line="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Belterra Park in satisfaction of the Belterra Park Loan, subject to a long-term lease (the "Belterra Park Lease") with a Boyd affiliate operating the property. The Belterra Park Lease rent terms are consistent with the Boyd Master 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 February 12, 2025, Boyd exercised its first 5-year renewal option on both the Boyd Master Lease and the Belterra Park Lease and therefore, both leases now expire on April 30, 2031.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Amended and Restated Caesars Master Lease</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October 1, 2018, the Company entered into a master lease with Caesars, which expires on September 30, 2038, with no purchase option, with four separate renewal options of 5 years each, exercisable at the tenant's option, on the same terms and conditions (as amended, the "Amended and Restated Caesars Master Lease"). The annual rent increases by 1.75% in the seventh and eighth lease years and 2% in the ninth lease year and each lease year thereafter.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Horseshoe St. Louis Lease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has a single property lease with Caesars for the real estate assets of Horseshoe St. Louis (the "Horseshoe St. Louis Lease") which became effective on September 29, 2020, with no purchase option, whose initial term expires on October 31, 2033, with four separate renewal options of five years each, exercisable at the tenant's option. The Horseshoe St. Louis Lease annual rent increases by 1.25% for the second through fifth lease years, increasing to 1.75% for the sixth and seventh lease years and thereafter increasing by 2.0% for the remainder of the lease.</w:t>
      </w:r>
    </w:p>
    <w:p>
      <w:pPr>
        <w:spacing w:after="0" w:line="193"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7"/>
          <w:szCs w:val="17"/>
          <w:i w:val="1"/>
          <w:iCs w:val="1"/>
          <w:color w:val="auto"/>
        </w:rPr>
        <w:t>Bally's Master Lease, Bally's Chicago Land Lease, Bally's Master Lease II, the Amended and Restated Casino Queen Master Lease and the Tropicana Las Vegas Lease</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has several leases and development agreements with Bally's. The first lease was entered into on June 3, 2021 and subsequent to this date several additional real estate assets of Bally's have been added to this lease such that it now contains 8 real estate assets of Bally's (the "Bally's Master Lease"). The annual rent on the Bally's Master Lease is subject to contractual escalations based on the Consumer Price Index ("CPI") with a 1% floor and a 2% ceiling, subject to the CPI meeting a 0.5% threshold. The Bally's Master Lease has an initial term of 15 years, with no purchase option, followed by four 5 year renewal options (exercisable by the tenant) on the same terms and conditions.</w:t>
      </w:r>
    </w:p>
    <w:p>
      <w:pPr>
        <w:spacing w:after="0" w:line="200" w:lineRule="exact"/>
        <w:rPr>
          <w:sz w:val="20"/>
          <w:szCs w:val="20"/>
          <w:color w:val="auto"/>
        </w:rPr>
      </w:pPr>
    </w:p>
    <w:p>
      <w:pPr>
        <w:ind w:right="280" w:firstLine="619"/>
        <w:spacing w:after="0" w:line="270" w:lineRule="auto"/>
        <w:rPr>
          <w:sz w:val="20"/>
          <w:szCs w:val="20"/>
          <w:color w:val="auto"/>
        </w:rPr>
      </w:pPr>
      <w:r>
        <w:rPr>
          <w:rFonts w:ascii="Times New Roman" w:cs="Times New Roman" w:eastAsia="Times New Roman" w:hAnsi="Times New Roman"/>
          <w:sz w:val="17"/>
          <w:szCs w:val="17"/>
          <w:color w:val="auto"/>
        </w:rPr>
        <w:t>The Company intends to fund real estate construction costs of up to $940.0 million for the planned Bally's Chicago Casino Resort ("Bally's Chicago"). This development funding is expected to extend into 2027. The Company would own all funded improvements, which would be leased to Bally’s with rent commencing as advances are made. As of March 31, 2025, no amounts have been funded by the Company.</w:t>
      </w:r>
    </w:p>
    <w:p>
      <w:pPr>
        <w:spacing w:after="0" w:line="19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On September 11, 2024, the Company assumed the ground lease between the existing third party and Bally's for approximately $250 million. The ground lease was amended such that the Company receives initial annual rent of $20 million (the "Bally's Chicago Land Lease"). The Bally's Chicago Land Lease is cross-defaulted with the construction development funding agreement. Rental income on the land and development funding is being deferred until the project is substantially completed and ready for its intended use.</w:t>
      </w:r>
    </w:p>
    <w:p>
      <w:pPr>
        <w:spacing w:after="0" w:line="197"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On December 16, 2024, the Company completed the purchase of the real property assets of both Bally’s Kansas City and Bally’s Shreveport. The two properties are in a new master lease that is cross-defaulted with the existing Bally’s Master Lease (the "Bally's Master Lease II"). The annual rent is subject to contractual escalations based on CPI with a 1% floor and a 2% ceiling, subject to CPI meeting a 0.5% threshold. Bally's Master Lease II has an initial term of 15 years, with no purchase option, followed by four 5 year renewal options (exercisable by the tenant) on the same terms and conditions.</w:t>
      </w:r>
    </w:p>
    <w:p>
      <w:pPr>
        <w:spacing w:after="0" w:line="197"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The Company continues to have the option, subject to receipt by Bally's of required consents, to acquire the real property assets of Bally's Twin River Lincoln Casino Resort ("Bally's Lincoln") prior to December 31, 2026 for a purchase price of $735 million and additional rent of $58.8 million The Company has also been granted a call right to acquire the property, subject only to regulatory approval, beginning on October 1, 2026 at the same terms.</w:t>
      </w:r>
    </w:p>
    <w:p>
      <w:pPr>
        <w:spacing w:after="0" w:line="191" w:lineRule="exact"/>
        <w:rPr>
          <w:sz w:val="20"/>
          <w:szCs w:val="20"/>
          <w:color w:val="auto"/>
        </w:rPr>
      </w:pPr>
    </w:p>
    <w:p>
      <w:pPr>
        <w:ind w:right="760" w:firstLine="619"/>
        <w:spacing w:after="0" w:line="287" w:lineRule="auto"/>
        <w:rPr>
          <w:sz w:val="20"/>
          <w:szCs w:val="20"/>
          <w:color w:val="auto"/>
        </w:rPr>
      </w:pPr>
      <w:r>
        <w:rPr>
          <w:rFonts w:ascii="Times New Roman" w:cs="Times New Roman" w:eastAsia="Times New Roman" w:hAnsi="Times New Roman"/>
          <w:sz w:val="17"/>
          <w:szCs w:val="17"/>
          <w:color w:val="auto"/>
        </w:rPr>
        <w:t>On February 7, 2025, Bally's completed its merger transactions with Standard General and its affiliates, and pursuant to the terms of the merger agreement, Casino Queen is now a subsidiary of Bally's.</w:t>
      </w:r>
    </w:p>
    <w:p>
      <w:pPr>
        <w:spacing w:after="0" w:line="17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has a master lease with Casino Queen which became effective December 17, 2021 (the "Amended and Restated Casino Queen Master Lease"). The lease has an initial term of 15 years, with no purchase option, with four separate five year renewal options exercisable by the tenant on the same terms and conditions. Annual rent increases by 0.5% for the first six years. Beginning with the seventh lease year through the remainder of the lease term, if the CPI increases by at least 0.25% for any lease year then annual rent shall be increased by 1.25%, and if the CPI is less than 0.25% then rent will remain unchanged for such lease year.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June 3, 2024, the Company announced that it agreed to fund and oversee a landside move and hotel renovation of The Belle for Casino Queen. GLPI committed to provide up to approximately $111 million of funding for the project, of which $43.5 million has been funded as of March 31, 2025. The landside development is expected to be completed in the fourth quarter of 2025, whereas the hotel opened to the public on March 31, 2025. GLPI will own the new facility and Casino Queen will pay an incremental rental yield of 9% on the development funding beginning a year from the initial disbursement of funds, which occurred on May 30, 2024. Rent will be deferred on the landside development project until it is ready for its intended use.</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September 26, 2022, Bally’s acquired both GLPI’s building assets and PENN's outstanding equity interests in Tropicana Las Vegas for an aggregate cash acquisition price, net of fees and expenses, of approximately $145 million. GLPI retained ownership of the land and concurrently entered into a ground lease for an initial term of 50 years (with a maximum term of 99 years inclusive of tenant renewal options) (as amended, the "Tropicana Las Vegas Lease"). All rent is subject to contractual escalations based on the CPI, with a 1% floor and 2% ceiling, subject to the CPI meeting a 0.5% threshold. The Tropicana Las Vegas Lease is supported by a Bally’s corporate guarantee.</w:t>
      </w:r>
    </w:p>
    <w:p>
      <w:pPr>
        <w:spacing w:after="0" w:line="200"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On May 13, 2023, the Company, Tropicana Las Vegas, Inc., a Nevada corporation and wholly owned subsidiary of Bally’s, and Athletics Holdings LLC (“Athletics”), which owns the Major League Baseball team currently known as the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w:t>
      </w:r>
    </w:p>
    <w:p>
      <w:pPr>
        <w:spacing w:after="0" w:line="200" w:lineRule="exact"/>
        <w:rPr>
          <w:sz w:val="20"/>
          <w:szCs w:val="20"/>
          <w:color w:val="auto"/>
        </w:rPr>
      </w:pPr>
    </w:p>
    <w:p>
      <w:pPr>
        <w:spacing w:after="0" w:line="21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late August 2024, the Company funded $48.5 million to Bally's that was used to pay for the demolition costs of the Tropicana Las Vegas as part of the development plans for the Stadium and annual rent was increased by $4.1 million as a result. The change in rent terms resulted in a lease reconsideration event that resulted in the lease being classified as a sales type lease, whereas previously it was accounted for as an operating lease.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Morgantown Lease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October 1, 2020, the Company and PENN closed on their previously announced transaction whereby GLPI acquired the land under PENN's gaming facility under construction in Morgantown, Pennsylvania. The Company is leasing the land back to an affiliate of PENN for an initial term of 20 years with no purchase option, followed by six 5-year renewal options exercisable by the tenant (the "Morgantown Lease"). If the CPI increase is at least 0.5% for any lease year, the rent for such lease year shall increase by 1.25% of rent as of the immediately preceding lease year, and if the CPI increase is less than 0.5% for such lease year, then rent shall not increase for such lease year.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Maryland Live! Lease and Pennsylvania Live! Master Lease</w:t>
      </w:r>
    </w:p>
    <w:p>
      <w:pPr>
        <w:spacing w:after="0" w:line="23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 &amp; Hotel Philadelphia and Live! Casino Pittsburgh and leased back the real estate to Cordish pursuant to a new triple net master lease with Cordish (as amended from time to time, the "Pennsylvania Live! Master Lease"). The Pennsylvania Live! Master Lease and the Maryland Live! Lease each have initial lease terms of 39 years, with a maximum term of 60 years inclusive of tenant renewal options. Annual rent increases by 1.75% upon the second anniversary of both leases commencement through their remaining terms.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Rockford Lease and Rockford Loan</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August 29, 2023, the Company acquired the land associated with a casino development project in Rockford, IL, that opened in late August 2024 and is managed by a subsidiary of Hard Rock, from an affiliate of 815 Entertainment, LLC ("815 Entertainment"). Simultaneously with the land acquisition, GLPI entered into a ground lease with 815 Entertainment for a 99 year term (the "Rockford Lease"). The initial annual rent is subject to 2% annual escalations for the entirety of its term.</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addition to the Rockford Lease, the Company committed to provide development funding via a senior secured delayed draw term loan (the "Rockford Loan"). Borrowings under the Rockford Loan were subject to an interest rate of 10% with a 5-year initial term. On January 1, 2025, the Company amended the terms of the Rockford Loan to reduce the interest rate to 8% with a maturity date of June 30, 2026, subject to a 6-month extension. As of March 31, 2025, $150 million was advanced and outstanding under the Rockford Loan. Additionally, the Company also received a right of first refusal on the building improvements of the Hard Rock Casino in Rockford, IL if there is a future decision to sell them once completed.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Tioga Downs Lease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February 6, 2024, the Company acquired the real estate assets of Tioga Downs Casino Resort ("Tioga Downs") in Nichols, NY from American Racing. Simultaneous with the acquisition, GLPI and American Racing entered into a triple-net lease agreement for an initial 30-year term, with no purchase option, followed by two renewal options of 10 years each and a third renewal option of approximately 12 years and ten months (the "Tioga Downs Lease"). The initial annual rent is subject to 1.75% annual escalations beginning with the first anniversary which increases to 2% beginning in year fifteen of the lease through the remainder of its initial term.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Gaming Leases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May 16, 2024, the Company acquired the real estate assets of Silverado Franklin Hotel &amp; Gaming Complex ("Silverado"), the Deadwood Mountain Grand ("DMG") casino, and Baldini's Casino ("Baldini's") from Strategic. Simultaneous with the acquisition, GLPI Capital and affiliates of Strategic entered into two cross-defaulted triple-net lease agreements, each for an initial 25-year term with no purchase option and two ten-year renewal periods (exercisable by the tenant) (the "Strategic Gaming Leases"). The initial annual rent is subject to a 2% annual escalation beginning in year three of the lease and a CPI-based annual escalation beginning in year eleven of the lease, at the greater of 2% or CPI capped at 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Ione Loan</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September 2024, the Company entered into a $110 million delayed draw term loan facility with the Ione Band of Miwok Indians (the "Ione Loan") to provide the tribe funding on a new casino development near Sacramento, California. Ione has an option at the end of the Ione Loan term to satisfy the loan obligation by converting the outstanding principal into a long-term triple net lease with an initial term of twenty-five years and a maximum term of forty-five years. These agreements were entered into subsequent to receiving a declination letter from the National Indian Gaming Commission covering the transaction documents, including the long-term lease. As of March 31, 2025, $18.4 million was advanced and outstanding under the Ione Loan which has a 5-year term.</w:t>
      </w:r>
    </w:p>
    <w:p>
      <w:pPr>
        <w:spacing w:after="0" w:line="19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Basis of Presentation</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footnotes required by GAAP for complete consolidated financial statements. In the opinion of management, all normal recurring adjustments considered necessary for a fair presentation have been included.</w:t>
      </w:r>
    </w:p>
    <w:p>
      <w:pPr>
        <w:spacing w:after="0" w:line="17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GLPI and its subsidiaries as well as the Company's operating partnership, which is a variable interest entity ("VIE") in which the Company is the primary beneficiary.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 as a separate component of equity, separate from GLPI's stockholders' equity. All intercompany accounts and transactions have been eliminated in consolidation. The Company’s net income or loss is allocated to noncontrolling interests based on the respective ownership or voting percentage in the Operating Partnership associated with such noncontrolling interests and is removed from consolidated income or loss on the Condensed Consolidated Statements of Operations in order to derive net income or loss attributable to common stockholders. The noncontrolling ownership percentage is calculated by dividing the aggregate number of LTIP Units and OP Units by the total number of units and shares outstanding.</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Operating results for the three months ended March 31, 2025 are not necessarily indicative of the results that may be expected for the year ending December 31, 2025. The consolidated financial statements contained in our Annual Report on Form 10-K for the year ended December 31, 2024 (our "Annual Report") should be read in conjunction with these condensed consolidated financial statements. The December 31, 2024 financial information has been derived from the Company’s audited consolidated financial statements.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Investment in leases, net</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Certain of the Company's leases are recorded as an Investment in leases, financing receivables, net, as the sale lease back transactions were accounted for as failed sale leasebacks due to the leases' significant initial lease terms. Additionally in 2024, the Company reassessed the Tropicana Las Vegas Lease which resulted in the lease being classified as a sales type lease. The following is a summary of the balances of the Company's Investment in leases, financing receivables and investment in leases, sales type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00" w:type="dxa"/>
            <w:vAlign w:val="bottom"/>
          </w:tcPr>
          <w:p>
            <w:pPr>
              <w:spacing w:after="0"/>
              <w:rPr>
                <w:sz w:val="13"/>
                <w:szCs w:val="13"/>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00" w:type="dxa"/>
            <w:vAlign w:val="bottom"/>
          </w:tcPr>
          <w:p>
            <w:pPr>
              <w:spacing w:after="0"/>
              <w:rPr>
                <w:sz w:val="13"/>
                <w:szCs w:val="13"/>
                <w:color w:val="auto"/>
              </w:rPr>
            </w:pPr>
          </w:p>
        </w:tc>
        <w:tc>
          <w:tcPr>
            <w:tcW w:w="162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80" w:type="dxa"/>
            <w:vAlign w:val="bottom"/>
          </w:tcPr>
          <w:p>
            <w:pPr>
              <w:spacing w:after="0"/>
              <w:rPr>
                <w:sz w:val="13"/>
                <w:szCs w:val="13"/>
                <w:color w:val="auto"/>
              </w:rPr>
            </w:pPr>
          </w:p>
        </w:tc>
        <w:tc>
          <w:tcPr>
            <w:tcW w:w="15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87"/>
        </w:trPr>
        <w:tc>
          <w:tcPr>
            <w:tcW w:w="2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28"/>
        </w:trPr>
        <w:tc>
          <w:tcPr>
            <w:tcW w:w="226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b w:val="1"/>
                <w:bCs w:val="1"/>
                <w:color w:val="auto"/>
              </w:rPr>
              <w:t>Investment in leases, sales</w:t>
            </w:r>
          </w:p>
        </w:tc>
        <w:tc>
          <w:tcPr>
            <w:tcW w:w="200" w:type="dxa"/>
            <w:vAlign w:val="bottom"/>
            <w:shd w:val="clear" w:color="auto" w:fill="CCEEFF"/>
          </w:tcPr>
          <w:p>
            <w:pPr>
              <w:spacing w:after="0"/>
              <w:rPr>
                <w:sz w:val="11"/>
                <w:szCs w:val="11"/>
                <w:color w:val="auto"/>
              </w:rPr>
            </w:pPr>
          </w:p>
        </w:tc>
        <w:tc>
          <w:tcPr>
            <w:tcW w:w="1580" w:type="dxa"/>
            <w:vAlign w:val="bottom"/>
            <w:shd w:val="clear" w:color="auto" w:fill="CCEEFF"/>
          </w:tcPr>
          <w:p>
            <w:pPr>
              <w:jc w:val="center"/>
              <w:ind w:right="101"/>
              <w:spacing w:after="0" w:line="128" w:lineRule="exact"/>
              <w:rPr>
                <w:sz w:val="20"/>
                <w:szCs w:val="20"/>
                <w:color w:val="auto"/>
              </w:rPr>
            </w:pPr>
            <w:r>
              <w:rPr>
                <w:rFonts w:ascii="Times New Roman" w:cs="Times New Roman" w:eastAsia="Times New Roman" w:hAnsi="Times New Roman"/>
                <w:sz w:val="14"/>
                <w:szCs w:val="14"/>
                <w:b w:val="1"/>
                <w:bCs w:val="1"/>
                <w:color w:val="auto"/>
                <w:w w:val="97"/>
              </w:rPr>
              <w:t>Investment in leases,</w:t>
            </w: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jc w:val="center"/>
              <w:ind w:right="21"/>
              <w:spacing w:after="0" w:line="128" w:lineRule="exact"/>
              <w:rPr>
                <w:sz w:val="20"/>
                <w:szCs w:val="20"/>
                <w:color w:val="auto"/>
              </w:rPr>
            </w:pPr>
            <w:r>
              <w:rPr>
                <w:rFonts w:ascii="Times New Roman" w:cs="Times New Roman" w:eastAsia="Times New Roman" w:hAnsi="Times New Roman"/>
                <w:sz w:val="14"/>
                <w:szCs w:val="14"/>
                <w:b w:val="1"/>
                <w:bCs w:val="1"/>
                <w:color w:val="auto"/>
                <w:w w:val="98"/>
              </w:rPr>
              <w:t>Investment in leases, sales</w:t>
            </w:r>
          </w:p>
        </w:tc>
        <w:tc>
          <w:tcPr>
            <w:tcW w:w="180" w:type="dxa"/>
            <w:vAlign w:val="bottom"/>
            <w:shd w:val="clear" w:color="auto" w:fill="CCEEFF"/>
          </w:tcPr>
          <w:p>
            <w:pPr>
              <w:spacing w:after="0"/>
              <w:rPr>
                <w:sz w:val="11"/>
                <w:szCs w:val="11"/>
                <w:color w:val="auto"/>
              </w:rPr>
            </w:pPr>
          </w:p>
        </w:tc>
        <w:tc>
          <w:tcPr>
            <w:tcW w:w="1520" w:type="dxa"/>
            <w:vAlign w:val="bottom"/>
            <w:shd w:val="clear" w:color="auto" w:fill="CCEEFF"/>
          </w:tcPr>
          <w:p>
            <w:pPr>
              <w:jc w:val="center"/>
              <w:ind w:right="81"/>
              <w:spacing w:after="0" w:line="128" w:lineRule="exact"/>
              <w:rPr>
                <w:sz w:val="20"/>
                <w:szCs w:val="20"/>
                <w:color w:val="auto"/>
              </w:rPr>
            </w:pPr>
            <w:r>
              <w:rPr>
                <w:rFonts w:ascii="Times New Roman" w:cs="Times New Roman" w:eastAsia="Times New Roman" w:hAnsi="Times New Roman"/>
                <w:sz w:val="14"/>
                <w:szCs w:val="14"/>
                <w:b w:val="1"/>
                <w:bCs w:val="1"/>
                <w:color w:val="auto"/>
                <w:w w:val="97"/>
              </w:rPr>
              <w:t>Investment in leases,</w:t>
            </w: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type</w:t>
            </w: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8"/>
              </w:rPr>
              <w:t>financing receivables</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3"/>
              </w:rPr>
              <w:t>type</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8"/>
              </w:rPr>
              <w:t>financing receivables</w:t>
            </w:r>
          </w:p>
        </w:tc>
        <w:tc>
          <w:tcPr>
            <w:tcW w:w="0" w:type="dxa"/>
            <w:vAlign w:val="bottom"/>
          </w:tcPr>
          <w:p>
            <w:pPr>
              <w:spacing w:after="0"/>
              <w:rPr>
                <w:sz w:val="1"/>
                <w:szCs w:val="1"/>
                <w:color w:val="auto"/>
              </w:rPr>
            </w:pPr>
          </w:p>
        </w:tc>
      </w:tr>
      <w:tr>
        <w:trPr>
          <w:trHeight w:val="168"/>
        </w:trPr>
        <w:tc>
          <w:tcPr>
            <w:tcW w:w="22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Minimum lease payments</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704,746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9,766,133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708,456</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9,806,998</w:t>
            </w:r>
          </w:p>
        </w:tc>
        <w:tc>
          <w:tcPr>
            <w:tcW w:w="0" w:type="dxa"/>
            <w:vAlign w:val="bottom"/>
          </w:tcPr>
          <w:p>
            <w:pPr>
              <w:spacing w:after="0"/>
              <w:rPr>
                <w:sz w:val="1"/>
                <w:szCs w:val="1"/>
                <w:color w:val="auto"/>
              </w:rPr>
            </w:pPr>
          </w:p>
        </w:tc>
      </w:tr>
      <w:tr>
        <w:trPr>
          <w:trHeight w:val="168"/>
        </w:trPr>
        <w:tc>
          <w:tcPr>
            <w:tcW w:w="22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Estimated residual values of</w:t>
            </w: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property (unguaranteed)</w:t>
            </w:r>
          </w:p>
        </w:tc>
        <w:tc>
          <w:tcPr>
            <w:tcW w:w="3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278,500</w:t>
            </w:r>
          </w:p>
        </w:tc>
        <w:tc>
          <w:tcPr>
            <w:tcW w:w="2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1,276,674</w:t>
            </w:r>
          </w:p>
        </w:tc>
        <w:tc>
          <w:tcPr>
            <w:tcW w:w="10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278,500</w:t>
            </w: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1,276,674</w:t>
            </w:r>
          </w:p>
        </w:tc>
        <w:tc>
          <w:tcPr>
            <w:tcW w:w="0" w:type="dxa"/>
            <w:vAlign w:val="bottom"/>
          </w:tcPr>
          <w:p>
            <w:pPr>
              <w:spacing w:after="0"/>
              <w:rPr>
                <w:sz w:val="1"/>
                <w:szCs w:val="1"/>
                <w:color w:val="auto"/>
              </w:rPr>
            </w:pPr>
          </w:p>
        </w:tc>
      </w:tr>
      <w:tr>
        <w:trPr>
          <w:trHeight w:val="21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983,246</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11,042,807</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986,956</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11,083,672</w:t>
            </w:r>
          </w:p>
        </w:tc>
        <w:tc>
          <w:tcPr>
            <w:tcW w:w="0" w:type="dxa"/>
            <w:vAlign w:val="bottom"/>
          </w:tcPr>
          <w:p>
            <w:pPr>
              <w:spacing w:after="0"/>
              <w:rPr>
                <w:sz w:val="1"/>
                <w:szCs w:val="1"/>
                <w:color w:val="auto"/>
              </w:rPr>
            </w:pPr>
          </w:p>
        </w:tc>
      </w:tr>
      <w:tr>
        <w:trPr>
          <w:trHeight w:val="21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Unearned income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(704,747)</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(8,668,729)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(708,454)</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(8,716,493)</w:t>
            </w:r>
          </w:p>
        </w:tc>
        <w:tc>
          <w:tcPr>
            <w:tcW w:w="0" w:type="dxa"/>
            <w:vAlign w:val="bottom"/>
          </w:tcPr>
          <w:p>
            <w:pPr>
              <w:spacing w:after="0"/>
              <w:rPr>
                <w:sz w:val="1"/>
                <w:szCs w:val="1"/>
                <w:color w:val="auto"/>
              </w:rPr>
            </w:pPr>
          </w:p>
        </w:tc>
      </w:tr>
      <w:tr>
        <w:trPr>
          <w:trHeight w:val="168"/>
        </w:trPr>
        <w:tc>
          <w:tcPr>
            <w:tcW w:w="22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Less: Allowance for credit</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losses</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(32,838)</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(60,922)</w:t>
            </w: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(23,681)</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(34,065)</w:t>
            </w: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Investment in leases - financing</w:t>
            </w:r>
          </w:p>
        </w:tc>
        <w:tc>
          <w:tcPr>
            <w:tcW w:w="32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245,661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2,313,156</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254,821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2,333,114</w:t>
            </w:r>
          </w:p>
        </w:tc>
        <w:tc>
          <w:tcPr>
            <w:tcW w:w="0" w:type="dxa"/>
            <w:vAlign w:val="bottom"/>
          </w:tcPr>
          <w:p>
            <w:pPr>
              <w:spacing w:after="0"/>
              <w:rPr>
                <w:sz w:val="1"/>
                <w:szCs w:val="1"/>
                <w:color w:val="auto"/>
              </w:rPr>
            </w:pPr>
          </w:p>
        </w:tc>
      </w:tr>
      <w:tr>
        <w:trPr>
          <w:trHeight w:val="226"/>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present value of the net investment in the lease payment receivable and unguaranteed residual value at March 31, 2025 for the Company's Investment in leases, financing receivables was $2,295.1 million and $78.9 million compared to $2,290.0 million and $77.1 million at December 31, 2024. The present value of the net investment in the lease payment receivable and unguaranteed residual value at March 31, 2025 for the Company's Investment in leases, sales type was $256.2 million and $22.3 million compared to $256.7 million million and $21.8 million at December 31, 2024.</w:t>
      </w:r>
    </w:p>
    <w:p>
      <w:pPr>
        <w:spacing w:after="0" w:line="200" w:lineRule="exact"/>
        <w:rPr>
          <w:sz w:val="20"/>
          <w:szCs w:val="20"/>
          <w:color w:val="auto"/>
        </w:rPr>
      </w:pPr>
    </w:p>
    <w:p>
      <w:pPr>
        <w:spacing w:after="0" w:line="281"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At March 31, 2025, minimum lease payments owed to us for each of the five succeeding years under the Company's investment in leases were as follows (in thousands):</w:t>
      </w:r>
    </w:p>
    <w:p>
      <w:pPr>
        <w:spacing w:after="0" w:line="97" w:lineRule="exact"/>
        <w:rPr>
          <w:sz w:val="20"/>
          <w:szCs w:val="20"/>
          <w:color w:val="auto"/>
        </w:rPr>
      </w:pPr>
    </w:p>
    <w:tbl>
      <w:tblPr>
        <w:tblLayout w:type="fixed"/>
        <w:tblInd w:w="3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Future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Future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gridSpan w:val="3"/>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71"/>
              </w:rPr>
              <w:t>Minimum</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top w:val="single" w:sz="8" w:color="auto"/>
            </w:tcBorders>
            <w:gridSpan w:val="3"/>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w w:val="84"/>
              </w:rPr>
              <w:t>Minimum</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4"/>
          </w:tcPr>
          <w:p>
            <w:pPr>
              <w:jc w:val="center"/>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Lease</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gridSpan w:val="2"/>
            <w:shd w:val="clear" w:color="auto" w:fill="000000"/>
          </w:tcPr>
          <w:p>
            <w:pPr>
              <w:spacing w:after="0"/>
              <w:rPr>
                <w:sz w:val="2"/>
                <w:szCs w:val="2"/>
                <w:color w:val="auto"/>
              </w:rPr>
            </w:pPr>
          </w:p>
        </w:tc>
        <w:tc>
          <w:tcPr>
            <w:tcW w:w="14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gridSpan w:val="3"/>
            <w:vMerge w:val="restart"/>
          </w:tcPr>
          <w:p>
            <w:pPr>
              <w:jc w:val="right"/>
              <w:ind w:right="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3"/>
          </w:tcPr>
          <w:p>
            <w:pPr>
              <w:jc w:val="center"/>
              <w:ind w:right="140"/>
              <w:spacing w:after="0" w:line="96" w:lineRule="exact"/>
              <w:rPr>
                <w:sz w:val="20"/>
                <w:szCs w:val="20"/>
                <w:color w:val="auto"/>
              </w:rPr>
            </w:pPr>
            <w:r>
              <w:rPr>
                <w:rFonts w:ascii="Times New Roman" w:cs="Times New Roman" w:eastAsia="Times New Roman" w:hAnsi="Times New Roman"/>
                <w:sz w:val="11"/>
                <w:szCs w:val="11"/>
                <w:b w:val="1"/>
                <w:bCs w:val="1"/>
                <w:color w:val="auto"/>
              </w:rPr>
              <w:t>Lease</w:t>
            </w:r>
          </w:p>
        </w:tc>
        <w:tc>
          <w:tcPr>
            <w:tcW w:w="1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auto"/>
            </w:tcBorders>
            <w:gridSpan w:val="3"/>
          </w:tcPr>
          <w:p>
            <w:pPr>
              <w:spacing w:after="0" w:line="96" w:lineRule="exact"/>
              <w:rPr>
                <w:sz w:val="20"/>
                <w:szCs w:val="20"/>
                <w:color w:val="auto"/>
              </w:rPr>
            </w:pPr>
            <w:r>
              <w:rPr>
                <w:rFonts w:ascii="Times New Roman" w:cs="Times New Roman" w:eastAsia="Times New Roman" w:hAnsi="Times New Roman"/>
                <w:sz w:val="11"/>
                <w:szCs w:val="11"/>
                <w:b w:val="1"/>
                <w:bCs w:val="1"/>
                <w:color w:val="auto"/>
                <w:w w:val="95"/>
              </w:rPr>
              <w:t>Payments</w:t>
            </w:r>
          </w:p>
        </w:tc>
        <w:tc>
          <w:tcPr>
            <w:tcW w:w="180" w:type="dxa"/>
            <w:vAlign w:val="bottom"/>
            <w:tcBorders>
              <w:bottom w:val="single" w:sz="8" w:color="auto"/>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gridSpan w:val="3"/>
            <w:vMerge w:val="restart"/>
          </w:tcPr>
          <w:p>
            <w:pPr>
              <w:jc w:val="right"/>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line="20" w:lineRule="exact"/>
              <w:rPr>
                <w:sz w:val="1"/>
                <w:szCs w:val="1"/>
                <w:color w:val="auto"/>
              </w:rPr>
            </w:pPr>
          </w:p>
        </w:tc>
        <w:tc>
          <w:tcPr>
            <w:tcW w:w="780" w:type="dxa"/>
            <w:vAlign w:val="bottom"/>
            <w:gridSpan w:val="7"/>
            <w:vMerge w:val="restart"/>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0" w:type="dxa"/>
            <w:vAlign w:val="bottom"/>
          </w:tcPr>
          <w:p>
            <w:pPr>
              <w:spacing w:after="0"/>
              <w:rPr>
                <w:sz w:val="8"/>
                <w:szCs w:val="8"/>
                <w:color w:val="auto"/>
              </w:rPr>
            </w:pPr>
          </w:p>
        </w:tc>
        <w:tc>
          <w:tcPr>
            <w:tcW w:w="520" w:type="dxa"/>
            <w:vAlign w:val="bottom"/>
            <w:gridSpan w:val="4"/>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Payments</w:t>
            </w:r>
          </w:p>
        </w:tc>
        <w:tc>
          <w:tcPr>
            <w:tcW w:w="28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22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tcBorders>
            <w:gridSpan w:val="5"/>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Sales Type</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top w:val="single" w:sz="8" w:color="auto"/>
            </w:tcBorders>
            <w:gridSpan w:val="6"/>
          </w:tcPr>
          <w:p>
            <w:pPr>
              <w:jc w:val="center"/>
              <w:ind w:right="40"/>
              <w:spacing w:after="0" w:line="96" w:lineRule="exact"/>
              <w:rPr>
                <w:sz w:val="20"/>
                <w:szCs w:val="20"/>
                <w:color w:val="auto"/>
              </w:rPr>
            </w:pPr>
            <w:r>
              <w:rPr>
                <w:rFonts w:ascii="Times New Roman" w:cs="Times New Roman" w:eastAsia="Times New Roman" w:hAnsi="Times New Roman"/>
                <w:sz w:val="11"/>
                <w:szCs w:val="11"/>
                <w:b w:val="1"/>
                <w:bCs w:val="1"/>
                <w:color w:val="auto"/>
              </w:rPr>
              <w:t>Receivables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 (remainder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11,128</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123,237</w:t>
            </w:r>
          </w:p>
        </w:tc>
        <w:tc>
          <w:tcPr>
            <w:tcW w:w="0" w:type="dxa"/>
            <w:vAlign w:val="bottom"/>
          </w:tcPr>
          <w:p>
            <w:pPr>
              <w:spacing w:after="0"/>
              <w:rPr>
                <w:sz w:val="1"/>
                <w:szCs w:val="1"/>
                <w:color w:val="auto"/>
              </w:rPr>
            </w:pPr>
          </w:p>
        </w:tc>
      </w:tr>
      <w:tr>
        <w:trPr>
          <w:trHeight w:val="219"/>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7"/>
          </w:tcPr>
          <w:p>
            <w:pPr>
              <w:jc w:val="right"/>
              <w:ind w:right="40"/>
              <w:spacing w:after="0"/>
              <w:rPr>
                <w:sz w:val="20"/>
                <w:szCs w:val="20"/>
                <w:color w:val="auto"/>
              </w:rPr>
            </w:pPr>
            <w:r>
              <w:rPr>
                <w:rFonts w:ascii="Times New Roman" w:cs="Times New Roman" w:eastAsia="Times New Roman" w:hAnsi="Times New Roman"/>
                <w:sz w:val="17"/>
                <w:szCs w:val="17"/>
                <w:color w:val="auto"/>
              </w:rPr>
              <w:t>14,837</w:t>
            </w:r>
          </w:p>
        </w:tc>
        <w:tc>
          <w:tcPr>
            <w:tcW w:w="220" w:type="dxa"/>
            <w:vAlign w:val="bottom"/>
          </w:tcPr>
          <w:p>
            <w:pPr>
              <w:spacing w:after="0"/>
              <w:rPr>
                <w:sz w:val="19"/>
                <w:szCs w:val="19"/>
                <w:color w:val="auto"/>
              </w:rPr>
            </w:pPr>
          </w:p>
        </w:tc>
        <w:tc>
          <w:tcPr>
            <w:tcW w:w="780" w:type="dxa"/>
            <w:vAlign w:val="bottom"/>
            <w:gridSpan w:val="7"/>
          </w:tcPr>
          <w:p>
            <w:pPr>
              <w:jc w:val="right"/>
              <w:ind w:right="60"/>
              <w:spacing w:after="0"/>
              <w:rPr>
                <w:sz w:val="20"/>
                <w:szCs w:val="20"/>
                <w:color w:val="auto"/>
              </w:rPr>
            </w:pPr>
            <w:r>
              <w:rPr>
                <w:rFonts w:ascii="Times New Roman" w:cs="Times New Roman" w:eastAsia="Times New Roman" w:hAnsi="Times New Roman"/>
                <w:sz w:val="17"/>
                <w:szCs w:val="17"/>
                <w:color w:val="auto"/>
              </w:rPr>
              <w:t>166,917</w:t>
            </w:r>
          </w:p>
        </w:tc>
        <w:tc>
          <w:tcPr>
            <w:tcW w:w="0" w:type="dxa"/>
            <w:vAlign w:val="bottom"/>
          </w:tcPr>
          <w:p>
            <w:pPr>
              <w:spacing w:after="0"/>
              <w:rPr>
                <w:sz w:val="1"/>
                <w:szCs w:val="1"/>
                <w:color w:val="auto"/>
              </w:rPr>
            </w:pPr>
          </w:p>
        </w:tc>
      </w:tr>
      <w:tr>
        <w:trPr>
          <w:trHeight w:val="219"/>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14,837</w:t>
            </w:r>
          </w:p>
        </w:tc>
        <w:tc>
          <w:tcPr>
            <w:tcW w:w="220" w:type="dxa"/>
            <w:vAlign w:val="bottom"/>
            <w:tcBorders>
              <w:right w:val="single" w:sz="8" w:color="CCEEFF"/>
            </w:tcBorders>
            <w:shd w:val="clear" w:color="auto" w:fill="CCEEFF"/>
          </w:tcPr>
          <w:p>
            <w:pPr>
              <w:spacing w:after="0"/>
              <w:rPr>
                <w:sz w:val="19"/>
                <w:szCs w:val="19"/>
                <w:color w:val="auto"/>
              </w:rPr>
            </w:pPr>
          </w:p>
        </w:tc>
        <w:tc>
          <w:tcPr>
            <w:tcW w:w="7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169,858</w:t>
            </w:r>
          </w:p>
        </w:tc>
        <w:tc>
          <w:tcPr>
            <w:tcW w:w="0" w:type="dxa"/>
            <w:vAlign w:val="bottom"/>
          </w:tcPr>
          <w:p>
            <w:pPr>
              <w:spacing w:after="0"/>
              <w:rPr>
                <w:sz w:val="1"/>
                <w:szCs w:val="1"/>
                <w:color w:val="auto"/>
              </w:rPr>
            </w:pPr>
          </w:p>
        </w:tc>
      </w:tr>
      <w:tr>
        <w:trPr>
          <w:trHeight w:val="219"/>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7"/>
          </w:tcPr>
          <w:p>
            <w:pPr>
              <w:jc w:val="right"/>
              <w:ind w:right="40"/>
              <w:spacing w:after="0"/>
              <w:rPr>
                <w:sz w:val="20"/>
                <w:szCs w:val="20"/>
                <w:color w:val="auto"/>
              </w:rPr>
            </w:pPr>
            <w:r>
              <w:rPr>
                <w:rFonts w:ascii="Times New Roman" w:cs="Times New Roman" w:eastAsia="Times New Roman" w:hAnsi="Times New Roman"/>
                <w:sz w:val="17"/>
                <w:szCs w:val="17"/>
                <w:color w:val="auto"/>
              </w:rPr>
              <w:t>14,837</w:t>
            </w:r>
          </w:p>
        </w:tc>
        <w:tc>
          <w:tcPr>
            <w:tcW w:w="220" w:type="dxa"/>
            <w:vAlign w:val="bottom"/>
          </w:tcPr>
          <w:p>
            <w:pPr>
              <w:spacing w:after="0"/>
              <w:rPr>
                <w:sz w:val="19"/>
                <w:szCs w:val="19"/>
                <w:color w:val="auto"/>
              </w:rPr>
            </w:pPr>
          </w:p>
        </w:tc>
        <w:tc>
          <w:tcPr>
            <w:tcW w:w="780" w:type="dxa"/>
            <w:vAlign w:val="bottom"/>
            <w:gridSpan w:val="7"/>
          </w:tcPr>
          <w:p>
            <w:pPr>
              <w:jc w:val="right"/>
              <w:ind w:right="60"/>
              <w:spacing w:after="0"/>
              <w:rPr>
                <w:sz w:val="20"/>
                <w:szCs w:val="20"/>
                <w:color w:val="auto"/>
              </w:rPr>
            </w:pPr>
            <w:r>
              <w:rPr>
                <w:rFonts w:ascii="Times New Roman" w:cs="Times New Roman" w:eastAsia="Times New Roman" w:hAnsi="Times New Roman"/>
                <w:sz w:val="17"/>
                <w:szCs w:val="17"/>
                <w:color w:val="auto"/>
              </w:rPr>
              <w:t>172,851</w:t>
            </w:r>
          </w:p>
        </w:tc>
        <w:tc>
          <w:tcPr>
            <w:tcW w:w="0" w:type="dxa"/>
            <w:vAlign w:val="bottom"/>
          </w:tcPr>
          <w:p>
            <w:pPr>
              <w:spacing w:after="0"/>
              <w:rPr>
                <w:sz w:val="1"/>
                <w:szCs w:val="1"/>
                <w:color w:val="auto"/>
              </w:rPr>
            </w:pPr>
          </w:p>
        </w:tc>
      </w:tr>
      <w:tr>
        <w:trPr>
          <w:trHeight w:val="219"/>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14,837</w:t>
            </w:r>
          </w:p>
        </w:tc>
        <w:tc>
          <w:tcPr>
            <w:tcW w:w="220" w:type="dxa"/>
            <w:vAlign w:val="bottom"/>
            <w:tcBorders>
              <w:right w:val="single" w:sz="8" w:color="CCEEFF"/>
            </w:tcBorders>
            <w:shd w:val="clear" w:color="auto" w:fill="CCEEFF"/>
          </w:tcPr>
          <w:p>
            <w:pPr>
              <w:spacing w:after="0"/>
              <w:rPr>
                <w:sz w:val="19"/>
                <w:szCs w:val="19"/>
                <w:color w:val="auto"/>
              </w:rPr>
            </w:pPr>
          </w:p>
        </w:tc>
        <w:tc>
          <w:tcPr>
            <w:tcW w:w="7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175,897</w:t>
            </w:r>
          </w:p>
        </w:tc>
        <w:tc>
          <w:tcPr>
            <w:tcW w:w="0" w:type="dxa"/>
            <w:vAlign w:val="bottom"/>
          </w:tcPr>
          <w:p>
            <w:pPr>
              <w:spacing w:after="0"/>
              <w:rPr>
                <w:sz w:val="1"/>
                <w:szCs w:val="1"/>
                <w:color w:val="auto"/>
              </w:rPr>
            </w:pPr>
          </w:p>
        </w:tc>
      </w:tr>
      <w:tr>
        <w:trPr>
          <w:trHeight w:val="219"/>
        </w:trPr>
        <w:tc>
          <w:tcPr>
            <w:tcW w:w="22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7"/>
                <w:szCs w:val="17"/>
                <w:color w:val="auto"/>
              </w:rPr>
              <w:t>634,270</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7"/>
                <w:szCs w:val="17"/>
                <w:color w:val="auto"/>
              </w:rPr>
              <w:t>8,957,373</w:t>
            </w: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704,746</w:t>
            </w:r>
          </w:p>
        </w:tc>
        <w:tc>
          <w:tcPr>
            <w:tcW w:w="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9,766,133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follows ASC 326 “Credit Losses”, which requires that the Company measure and record current expected credit losses (“CECL”), the scope of which includes our Investment in leases, financing receivables, net, as well as the Company's Real estate loans which are discussed in Note 5. The Company has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estimated credit losses over the life of the lease or loan. The Company then records a CECL allowance based on the expected loss rate multiplied by the outstanding investment.</w:t>
      </w:r>
    </w:p>
    <w:p>
      <w:pPr>
        <w:spacing w:after="0" w:line="306"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Expected losses within our cash flows are determined by estimating the probability of default (“PD”) and loss given default (“LGD”) of our instruments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will monitor the credit risk related to its instruments subject to CECL by obtaining the applicable rent and interest coverage on a periodic basis. The Company also monitors legislative changes to assess whether it would have an impact on the underlying performance of its tenant. We are unable to use our historical data to estimate losses as the Company has no loss history to date on its lease portfolio. Our tenants were current on all of their rental obligations as of March 31, 2025 and December 31, 2024.</w:t>
      </w:r>
    </w:p>
    <w:p>
      <w:pPr>
        <w:spacing w:after="0" w:line="200" w:lineRule="exact"/>
        <w:rPr>
          <w:sz w:val="20"/>
          <w:szCs w:val="20"/>
          <w:color w:val="auto"/>
        </w:rPr>
      </w:pPr>
    </w:p>
    <w:p>
      <w:pPr>
        <w:spacing w:after="0" w:line="2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change in the allowance for credit losses for the Company's investment in leases is illustrated below (in thousands):</w:t>
      </w:r>
    </w:p>
    <w:p>
      <w:pPr>
        <w:spacing w:after="0" w:line="257" w:lineRule="exact"/>
        <w:rPr>
          <w:sz w:val="20"/>
          <w:szCs w:val="20"/>
          <w:color w:val="auto"/>
        </w:rPr>
      </w:pPr>
    </w:p>
    <w:tbl>
      <w:tblPr>
        <w:tblLayout w:type="fixed"/>
        <w:tblInd w:w="1240" w:type="dxa"/>
        <w:tblCellMar>
          <w:top w:w="0" w:type="dxa"/>
          <w:left w:w="0" w:type="dxa"/>
          <w:bottom w:w="0" w:type="dxa"/>
          <w:right w:w="0" w:type="dxa"/>
        </w:tblCellMar>
      </w:tblPr>
      <w:tr>
        <w:trPr>
          <w:trHeight w:val="195"/>
        </w:trPr>
        <w:tc>
          <w:tcPr>
            <w:tcW w:w="356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Balance at December 31,</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Balance at March 31,</w:t>
            </w:r>
          </w:p>
        </w:tc>
      </w:tr>
      <w:tr>
        <w:trPr>
          <w:trHeight w:val="232"/>
        </w:trPr>
        <w:tc>
          <w:tcPr>
            <w:tcW w:w="35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9"/>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Maryland Live! Lease</w:t>
            </w: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8,732</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5,696</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14,428</w:t>
            </w:r>
          </w:p>
        </w:tc>
      </w:tr>
      <w:tr>
        <w:trPr>
          <w:trHeight w:val="21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Pennsylvania Live! Master Lease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18,471</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12,286</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30,757</w:t>
            </w:r>
          </w:p>
        </w:tc>
      </w:tr>
      <w:tr>
        <w:trPr>
          <w:trHeight w:val="219"/>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Rockford Lease</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3,077</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2,041</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5,118</w:t>
            </w:r>
          </w:p>
        </w:tc>
      </w:tr>
      <w:tr>
        <w:trPr>
          <w:trHeight w:val="21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Tioga Downs Lease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6,418</w:t>
            </w:r>
          </w:p>
        </w:tc>
      </w:tr>
      <w:tr>
        <w:trPr>
          <w:trHeight w:val="219"/>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Lease</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3,067</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4,201</w:t>
            </w:r>
          </w:p>
        </w:tc>
      </w:tr>
      <w:tr>
        <w:trPr>
          <w:trHeight w:val="21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Tropicana LV Lease</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23,681</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9,157</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32,838</w:t>
            </w:r>
          </w:p>
        </w:tc>
      </w:tr>
      <w:tr>
        <w:trPr>
          <w:trHeight w:val="212"/>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Totals</w:t>
            </w: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57,746</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36,014</w:t>
            </w: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93,760</w:t>
            </w:r>
          </w:p>
        </w:tc>
      </w:tr>
      <w:tr>
        <w:trPr>
          <w:trHeight w:val="20"/>
        </w:trPr>
        <w:tc>
          <w:tcPr>
            <w:tcW w:w="3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tbl>
      <w:tblPr>
        <w:tblLayout w:type="fixed"/>
        <w:tblInd w:w="1560" w:type="dxa"/>
        <w:tblCellMar>
          <w:top w:w="0" w:type="dxa"/>
          <w:left w:w="0" w:type="dxa"/>
          <w:bottom w:w="0" w:type="dxa"/>
          <w:right w:w="0" w:type="dxa"/>
        </w:tblCellMar>
      </w:tblPr>
      <w:tr>
        <w:trPr>
          <w:trHeight w:val="195"/>
        </w:trPr>
        <w:tc>
          <w:tcPr>
            <w:tcW w:w="354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Balance at December 31,</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Balance at March 31,</w:t>
            </w:r>
          </w:p>
        </w:tc>
      </w:tr>
      <w:tr>
        <w:trPr>
          <w:trHeight w:val="227"/>
        </w:trPr>
        <w:tc>
          <w:tcPr>
            <w:tcW w:w="3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9"/>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Maryland Live! Lease</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5,661</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7,094</w:t>
            </w:r>
          </w:p>
        </w:tc>
        <w:tc>
          <w:tcPr>
            <w:tcW w:w="4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12,755</w:t>
            </w:r>
          </w:p>
        </w:tc>
      </w:tr>
      <w:tr>
        <w:trPr>
          <w:trHeight w:val="21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Pennsylvania Live! Master Lease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13,636</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12,949</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26,585</w:t>
            </w:r>
          </w:p>
        </w:tc>
      </w:tr>
      <w:tr>
        <w:trPr>
          <w:trHeight w:val="219"/>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Rockford Lease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2,674</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3,256</w:t>
            </w:r>
          </w:p>
        </w:tc>
      </w:tr>
      <w:tr>
        <w:trPr>
          <w:trHeight w:val="21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Tioga Downs Lease</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w:t>
            </w:r>
          </w:p>
        </w:tc>
      </w:tr>
      <w:tr>
        <w:trPr>
          <w:trHeight w:val="212"/>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Totals</w:t>
            </w: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21,971</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22,204</w:t>
            </w:r>
          </w:p>
        </w:tc>
        <w:tc>
          <w:tcPr>
            <w:tcW w:w="4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44,175</w:t>
            </w:r>
          </w:p>
        </w:tc>
      </w:tr>
      <w:tr>
        <w:trPr>
          <w:trHeight w:val="20"/>
        </w:trPr>
        <w:tc>
          <w:tcPr>
            <w:tcW w:w="3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The amortized cost basis of the Company's investment in leases, financing receivables by year of origination is shown below as of March 31, 2025 (in thousands):</w:t>
      </w:r>
    </w:p>
    <w:p>
      <w:pPr>
        <w:spacing w:after="0" w:line="191" w:lineRule="exact"/>
        <w:rPr>
          <w:sz w:val="20"/>
          <w:szCs w:val="20"/>
          <w:color w:val="auto"/>
        </w:rPr>
      </w:pPr>
    </w:p>
    <w:tbl>
      <w:tblPr>
        <w:tblLayout w:type="fixed"/>
        <w:tblInd w:w="1620" w:type="dxa"/>
        <w:tblCellMar>
          <w:top w:w="0" w:type="dxa"/>
          <w:left w:w="0" w:type="dxa"/>
          <w:bottom w:w="0" w:type="dxa"/>
          <w:right w:w="0" w:type="dxa"/>
        </w:tblCellMar>
      </w:tblPr>
      <w:tr>
        <w:trPr>
          <w:trHeight w:val="195"/>
        </w:trPr>
        <w:tc>
          <w:tcPr>
            <w:tcW w:w="1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Allowance as a</w:t>
            </w:r>
          </w:p>
        </w:tc>
        <w:tc>
          <w:tcPr>
            <w:tcW w:w="0" w:type="dxa"/>
            <w:vAlign w:val="bottom"/>
          </w:tcPr>
          <w:p>
            <w:pPr>
              <w:spacing w:after="0"/>
              <w:rPr>
                <w:sz w:val="1"/>
                <w:szCs w:val="1"/>
                <w:color w:val="auto"/>
              </w:rPr>
            </w:pPr>
          </w:p>
        </w:tc>
      </w:tr>
      <w:tr>
        <w:trPr>
          <w:trHeight w:val="173"/>
        </w:trPr>
        <w:tc>
          <w:tcPr>
            <w:tcW w:w="162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Investment in leases,</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Allowance for</w:t>
            </w:r>
          </w:p>
        </w:tc>
        <w:tc>
          <w:tcPr>
            <w:tcW w:w="168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Amortized cost basis</w:t>
            </w:r>
          </w:p>
        </w:tc>
        <w:tc>
          <w:tcPr>
            <w:tcW w:w="162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percentage of</w:t>
            </w:r>
          </w:p>
        </w:tc>
        <w:tc>
          <w:tcPr>
            <w:tcW w:w="0" w:type="dxa"/>
            <w:vAlign w:val="bottom"/>
          </w:tcPr>
          <w:p>
            <w:pPr>
              <w:spacing w:after="0"/>
              <w:rPr>
                <w:sz w:val="1"/>
                <w:szCs w:val="1"/>
                <w:color w:val="auto"/>
              </w:rPr>
            </w:pPr>
          </w:p>
        </w:tc>
      </w:tr>
      <w:tr>
        <w:trPr>
          <w:trHeight w:val="175"/>
        </w:trPr>
        <w:tc>
          <w:tcPr>
            <w:tcW w:w="1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Origination year</w:t>
            </w:r>
          </w:p>
        </w:tc>
        <w:tc>
          <w:tcPr>
            <w:tcW w:w="158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1680" w:type="dxa"/>
            <w:vAlign w:val="bottom"/>
            <w:gridSpan w:val="3"/>
            <w:vMerge w:val="continue"/>
            <w:shd w:val="clear" w:color="auto" w:fill="CCEEFF"/>
          </w:tcPr>
          <w:p>
            <w:pPr>
              <w:spacing w:after="0"/>
              <w:rPr>
                <w:sz w:val="15"/>
                <w:szCs w:val="15"/>
                <w:color w:val="auto"/>
              </w:rPr>
            </w:pPr>
          </w:p>
        </w:tc>
        <w:tc>
          <w:tcPr>
            <w:tcW w:w="16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9"/>
              </w:rPr>
              <w:t>outstanding</w:t>
            </w:r>
          </w:p>
        </w:tc>
        <w:tc>
          <w:tcPr>
            <w:tcW w:w="0" w:type="dxa"/>
            <w:vAlign w:val="bottom"/>
          </w:tcPr>
          <w:p>
            <w:pPr>
              <w:spacing w:after="0"/>
              <w:rPr>
                <w:sz w:val="1"/>
                <w:szCs w:val="1"/>
                <w:color w:val="auto"/>
              </w:rPr>
            </w:pPr>
          </w:p>
        </w:tc>
      </w:tr>
      <w:tr>
        <w:trPr>
          <w:trHeight w:val="219"/>
        </w:trPr>
        <w:tc>
          <w:tcPr>
            <w:tcW w:w="1620" w:type="dxa"/>
            <w:vAlign w:val="bottom"/>
            <w:vMerge w:val="continue"/>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receivables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March 31, 2025</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financing receivable</w:t>
            </w:r>
          </w:p>
        </w:tc>
        <w:tc>
          <w:tcPr>
            <w:tcW w:w="0" w:type="dxa"/>
            <w:vAlign w:val="bottom"/>
          </w:tcPr>
          <w:p>
            <w:pPr>
              <w:spacing w:after="0"/>
              <w:rPr>
                <w:sz w:val="1"/>
                <w:szCs w:val="1"/>
                <w:color w:val="auto"/>
              </w:rPr>
            </w:pPr>
          </w:p>
        </w:tc>
      </w:tr>
      <w:tr>
        <w:trPr>
          <w:trHeight w:val="219"/>
        </w:trPr>
        <w:tc>
          <w:tcPr>
            <w:tcW w:w="1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296,540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(10,619)</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285,921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0" w:type="dxa"/>
            <w:vAlign w:val="bottom"/>
          </w:tcPr>
          <w:p>
            <w:pPr>
              <w:spacing w:after="0"/>
              <w:rPr>
                <w:sz w:val="1"/>
                <w:szCs w:val="1"/>
                <w:color w:val="auto"/>
              </w:rPr>
            </w:pPr>
          </w:p>
        </w:tc>
      </w:tr>
      <w:tr>
        <w:trPr>
          <w:trHeight w:val="219"/>
        </w:trPr>
        <w:tc>
          <w:tcPr>
            <w:tcW w:w="16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103,368</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(5,118)</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98,250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0" w:type="dxa"/>
            <w:vAlign w:val="bottom"/>
          </w:tcPr>
          <w:p>
            <w:pPr>
              <w:spacing w:after="0"/>
              <w:rPr>
                <w:sz w:val="1"/>
                <w:szCs w:val="1"/>
                <w:color w:val="auto"/>
              </w:rPr>
            </w:pPr>
          </w:p>
        </w:tc>
      </w:tr>
      <w:tr>
        <w:trPr>
          <w:trHeight w:val="219"/>
        </w:trPr>
        <w:tc>
          <w:tcPr>
            <w:tcW w:w="1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715,936</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(30,757)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685,179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0" w:type="dxa"/>
            <w:vAlign w:val="bottom"/>
          </w:tcPr>
          <w:p>
            <w:pPr>
              <w:spacing w:after="0"/>
              <w:rPr>
                <w:sz w:val="1"/>
                <w:szCs w:val="1"/>
                <w:color w:val="auto"/>
              </w:rPr>
            </w:pPr>
          </w:p>
        </w:tc>
      </w:tr>
      <w:tr>
        <w:trPr>
          <w:trHeight w:val="219"/>
        </w:trPr>
        <w:tc>
          <w:tcPr>
            <w:tcW w:w="16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7"/>
                <w:szCs w:val="17"/>
                <w:b w:val="1"/>
                <w:bCs w:val="1"/>
                <w:color w:val="auto"/>
              </w:rPr>
              <w:t>2021</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1,258,234</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(14,428)</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1,243,806</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2,374,078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(60,922)</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2,313,156</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amortized cost basis of the Company's investment in leases, sales type by year of origination is shown below as of March 31, 2025 (in thousands):</w:t>
      </w:r>
    </w:p>
    <w:p>
      <w:pPr>
        <w:spacing w:after="0" w:line="257" w:lineRule="exact"/>
        <w:rPr>
          <w:sz w:val="20"/>
          <w:szCs w:val="20"/>
          <w:color w:val="auto"/>
        </w:rPr>
      </w:pPr>
    </w:p>
    <w:tbl>
      <w:tblPr>
        <w:tblLayout w:type="fixed"/>
        <w:tblInd w:w="1920" w:type="dxa"/>
        <w:tblCellMar>
          <w:top w:w="0" w:type="dxa"/>
          <w:left w:w="0" w:type="dxa"/>
          <w:bottom w:w="0" w:type="dxa"/>
          <w:right w:w="0" w:type="dxa"/>
        </w:tblCellMar>
      </w:tblPr>
      <w:tr>
        <w:trPr>
          <w:trHeight w:val="195"/>
        </w:trPr>
        <w:tc>
          <w:tcPr>
            <w:tcW w:w="1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Allowance as a</w:t>
            </w:r>
          </w:p>
        </w:tc>
        <w:tc>
          <w:tcPr>
            <w:tcW w:w="0" w:type="dxa"/>
            <w:vAlign w:val="bottom"/>
          </w:tcPr>
          <w:p>
            <w:pPr>
              <w:spacing w:after="0"/>
              <w:rPr>
                <w:sz w:val="1"/>
                <w:szCs w:val="1"/>
                <w:color w:val="auto"/>
              </w:rPr>
            </w:pPr>
          </w:p>
        </w:tc>
      </w:tr>
      <w:tr>
        <w:trPr>
          <w:trHeight w:val="168"/>
        </w:trPr>
        <w:tc>
          <w:tcPr>
            <w:tcW w:w="162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Investment in leases,</w:t>
            </w:r>
          </w:p>
        </w:tc>
        <w:tc>
          <w:tcPr>
            <w:tcW w:w="1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Allowance for</w:t>
            </w: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Amortized cost basis</w:t>
            </w:r>
          </w:p>
        </w:tc>
        <w:tc>
          <w:tcPr>
            <w:tcW w:w="166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percentage of</w:t>
            </w:r>
          </w:p>
        </w:tc>
        <w:tc>
          <w:tcPr>
            <w:tcW w:w="0" w:type="dxa"/>
            <w:vAlign w:val="bottom"/>
          </w:tcPr>
          <w:p>
            <w:pPr>
              <w:spacing w:after="0"/>
              <w:rPr>
                <w:sz w:val="1"/>
                <w:szCs w:val="1"/>
                <w:color w:val="auto"/>
              </w:rPr>
            </w:pPr>
          </w:p>
        </w:tc>
      </w:tr>
      <w:tr>
        <w:trPr>
          <w:trHeight w:val="168"/>
        </w:trPr>
        <w:tc>
          <w:tcPr>
            <w:tcW w:w="1620" w:type="dxa"/>
            <w:vAlign w:val="bottom"/>
            <w:vMerge w:val="restart"/>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Origination year</w:t>
            </w:r>
          </w:p>
        </w:tc>
        <w:tc>
          <w:tcPr>
            <w:tcW w:w="15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1660" w:type="dxa"/>
            <w:vAlign w:val="bottom"/>
            <w:gridSpan w:val="2"/>
            <w:vMerge w:val="continue"/>
            <w:shd w:val="clear" w:color="auto" w:fill="CCEEFF"/>
          </w:tcPr>
          <w:p>
            <w:pPr>
              <w:spacing w:after="0"/>
              <w:rPr>
                <w:sz w:val="14"/>
                <w:szCs w:val="14"/>
                <w:color w:val="auto"/>
              </w:rPr>
            </w:pPr>
          </w:p>
        </w:tc>
        <w:tc>
          <w:tcPr>
            <w:tcW w:w="166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outstanding</w:t>
            </w:r>
          </w:p>
        </w:tc>
        <w:tc>
          <w:tcPr>
            <w:tcW w:w="0" w:type="dxa"/>
            <w:vAlign w:val="bottom"/>
          </w:tcPr>
          <w:p>
            <w:pPr>
              <w:spacing w:after="0"/>
              <w:rPr>
                <w:sz w:val="1"/>
                <w:szCs w:val="1"/>
                <w:color w:val="auto"/>
              </w:rPr>
            </w:pPr>
          </w:p>
        </w:tc>
      </w:tr>
      <w:tr>
        <w:trPr>
          <w:trHeight w:val="232"/>
        </w:trPr>
        <w:tc>
          <w:tcPr>
            <w:tcW w:w="162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sales type</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at March 31, 2025</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financing receivable</w:t>
            </w:r>
          </w:p>
        </w:tc>
        <w:tc>
          <w:tcPr>
            <w:tcW w:w="0" w:type="dxa"/>
            <w:vAlign w:val="bottom"/>
          </w:tcPr>
          <w:p>
            <w:pPr>
              <w:spacing w:after="0"/>
              <w:rPr>
                <w:sz w:val="1"/>
                <w:szCs w:val="1"/>
                <w:color w:val="auto"/>
              </w:rPr>
            </w:pPr>
          </w:p>
        </w:tc>
      </w:tr>
      <w:tr>
        <w:trPr>
          <w:trHeight w:val="219"/>
        </w:trPr>
        <w:tc>
          <w:tcPr>
            <w:tcW w:w="162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278,499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(32,838)</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245,661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2025, the Company recorded a provision for credit losses, net of $36.0 million on the Investment in leases, financing receivables and sales types. The reason for the increase was primarily due to a more pessimistic forward looking economic forecast at March 31, 2025 compared to what was utilized at December 31, 2024.</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During the three months ended March 31, 2024, the Company recorded a provision for credit losses, net of $22.2 million on the Investment in leases, financing receivables. This was primarily due to a decline in the estimated real estate values underlying the Company's Investment in leases, financing receivables. These values are estimated based on the actual and long term projections of the Commercial Real Estate Price Index which, as of March 31, 2024, declined relative to December 31, 2023.</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Additionally, a provision for credit losses of $3.2 million and $1.1 million was recorded during the three months ended March 31, 2025 and March 31, 2024, respectively, on the Company's real estate loans and related loan commitment (See Note 5 for further details).</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reason for differences in the allowance as a percentage of outstanding financing receivable for leases originated in each calendar year in the table above depends on various factors for the leases such as, but not limited to expected rent coverage ratios and loan to value ratios. Future changes in economic projections, probability factors, changes in the estimated value of our real estate property and earnings assumptions at the underlying facilities may result in non-cash provisions or recoveries in future periods that could materially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Real Estate Investments, Net</w:t>
      </w:r>
    </w:p>
    <w:p>
      <w:pPr>
        <w:spacing w:after="0" w:line="247"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Real estate investments, net, represent investments in rental properties and the corporate headquarters building (excluding our investments in transactions accounted for as real estate loans and investment in leases, financing receivables and investment in leases, sales-type that are described in Notes 5 and 3, respectively) and is summarized as follows:</w:t>
      </w:r>
    </w:p>
    <w:p>
      <w:pPr>
        <w:spacing w:after="0" w:line="177"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18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6"/>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jc w:val="right"/>
              <w:ind w:right="91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improvements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3,583,793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3,583,793</w:t>
            </w:r>
          </w:p>
        </w:tc>
      </w:tr>
      <w:tr>
        <w:trPr>
          <w:trHeight w:val="219"/>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6,960,243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6,962,126</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39,542</w:t>
            </w:r>
          </w:p>
        </w:tc>
      </w:tr>
      <w:tr>
        <w:trPr>
          <w:trHeight w:val="212"/>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real estate investments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10,596,450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10,585,461</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(2,499,381)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(2,436,742)</w:t>
            </w:r>
          </w:p>
        </w:tc>
      </w:tr>
      <w:tr>
        <w:trPr>
          <w:trHeight w:val="212"/>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investments, net</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8,097,069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8,148,719</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Construction in progress primarily represents development funding along with related capitalized interest on the Company's development projects.</w:t>
      </w:r>
    </w:p>
    <w:p>
      <w:pPr>
        <w:spacing w:after="0" w:line="23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Real estate loans, net</w:t>
      </w:r>
    </w:p>
    <w:p>
      <w:pPr>
        <w:spacing w:after="0" w:line="24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The Company entered into the Rockford Loan to fund the construction of the Hard Rock Casino Rockford in Rockford, Illinois. As of March 31, 2025 and December 31, 2024, the entire $150 million commitment was drawn. On January 1, 2025, the Company amended the terms of the Rockford Loan to reduce the interest rate to 8% from 10% with a maturity date of June 30, 2026, subject to a 6 month extension.</w:t>
      </w:r>
    </w:p>
    <w:p>
      <w:pPr>
        <w:spacing w:after="0" w:line="191"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The Company also entered into the Ione Loan for up to $110 million, of which $18.4 million and $15.2 million was drawn as of March 31, 2025 and December 31, 2024, respectively. The following is a summary of the balances of the Company's Real estate loans, net.</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2960" w:type="dxa"/>
            <w:vAlign w:val="bottom"/>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4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181"/>
        </w:trPr>
        <w:tc>
          <w:tcPr>
            <w:tcW w:w="2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80" w:type="dxa"/>
            <w:vAlign w:val="bottom"/>
          </w:tcPr>
          <w:p>
            <w:pPr>
              <w:spacing w:after="0"/>
              <w:rPr>
                <w:sz w:val="15"/>
                <w:szCs w:val="15"/>
                <w:color w:val="auto"/>
              </w:rPr>
            </w:pPr>
          </w:p>
        </w:tc>
      </w:tr>
      <w:tr>
        <w:trPr>
          <w:trHeight w:val="22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loans</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165,160</w:t>
            </w:r>
          </w:p>
        </w:tc>
      </w:tr>
      <w:tr>
        <w:trPr>
          <w:trHeight w:val="219"/>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3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(4,570)</w:t>
            </w: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loans, net</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160,793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160,590</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change in the allowance for credit losses for the Company's Real estate loans is shown below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tcBorders>
              <w:right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Rockford Loan</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Ione Loan</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20" w:type="dxa"/>
            <w:vAlign w:val="bottom"/>
          </w:tcPr>
          <w:p>
            <w:pPr>
              <w:spacing w:after="0"/>
              <w:rPr>
                <w:sz w:val="17"/>
                <w:szCs w:val="17"/>
                <w:color w:val="auto"/>
              </w:rPr>
            </w:pPr>
          </w:p>
        </w:tc>
      </w:tr>
      <w:tr>
        <w:trPr>
          <w:trHeight w:val="219"/>
        </w:trPr>
        <w:tc>
          <w:tcPr>
            <w:tcW w:w="6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(4,487)</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(4,570)</w:t>
            </w:r>
          </w:p>
        </w:tc>
        <w:tc>
          <w:tcPr>
            <w:tcW w:w="2620" w:type="dxa"/>
            <w:vAlign w:val="bottom"/>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(3,006)</w:t>
            </w:r>
          </w:p>
        </w:tc>
        <w:tc>
          <w:tcPr>
            <w:tcW w:w="2620" w:type="dxa"/>
            <w:vAlign w:val="bottom"/>
          </w:tcPr>
          <w:p>
            <w:pPr>
              <w:spacing w:after="0"/>
              <w:rPr>
                <w:sz w:val="19"/>
                <w:szCs w:val="19"/>
                <w:color w:val="auto"/>
              </w:rPr>
            </w:pPr>
          </w:p>
        </w:tc>
      </w:tr>
      <w:tr>
        <w:trPr>
          <w:trHeight w:val="212"/>
        </w:trPr>
        <w:tc>
          <w:tcPr>
            <w:tcW w:w="62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at March 31, 2025</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(7,426)</w:t>
            </w: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(7,576)</w:t>
            </w:r>
          </w:p>
        </w:tc>
        <w:tc>
          <w:tcPr>
            <w:tcW w:w="2620" w:type="dxa"/>
            <w:vAlign w:val="bottom"/>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572"/>
        </w:trPr>
        <w:tc>
          <w:tcPr>
            <w:tcW w:w="6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06"/>
        </w:trPr>
        <w:tc>
          <w:tcPr>
            <w:tcW w:w="620" w:type="dxa"/>
            <w:vAlign w:val="bottom"/>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tcBorders>
              <w:right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rPr>
              <w:t>Rockford Loan</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19"/>
        </w:trPr>
        <w:tc>
          <w:tcPr>
            <w:tcW w:w="6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12"/>
        </w:trPr>
        <w:tc>
          <w:tcPr>
            <w:tcW w:w="62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at March 31, 2024</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(1,693)</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817"/>
        </w:trPr>
        <w:tc>
          <w:tcPr>
            <w:tcW w:w="6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16</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08"/>
        </w:trPr>
        <w:tc>
          <w:tcPr>
            <w:tcW w:w="62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580" w:firstLine="619"/>
        <w:spacing w:after="0" w:line="287" w:lineRule="auto"/>
        <w:rPr>
          <w:sz w:val="20"/>
          <w:szCs w:val="20"/>
          <w:color w:val="auto"/>
        </w:rPr>
      </w:pPr>
      <w:r>
        <w:rPr>
          <w:rFonts w:ascii="Times New Roman" w:cs="Times New Roman" w:eastAsia="Times New Roman" w:hAnsi="Times New Roman"/>
          <w:sz w:val="17"/>
          <w:szCs w:val="17"/>
          <w:color w:val="auto"/>
        </w:rPr>
        <w:t>The amortized cost basis of the Company's real estate loans, financing receivables by year of origination is shown below as of March 31, 2025 (in thousands):</w:t>
      </w:r>
    </w:p>
    <w:p>
      <w:pPr>
        <w:spacing w:after="0" w:line="191" w:lineRule="exact"/>
        <w:rPr>
          <w:sz w:val="20"/>
          <w:szCs w:val="20"/>
          <w:color w:val="auto"/>
        </w:rPr>
      </w:pPr>
    </w:p>
    <w:tbl>
      <w:tblPr>
        <w:tblLayout w:type="fixed"/>
        <w:tblInd w:w="1620" w:type="dxa"/>
        <w:tblCellMar>
          <w:top w:w="0" w:type="dxa"/>
          <w:left w:w="0" w:type="dxa"/>
          <w:bottom w:w="0" w:type="dxa"/>
          <w:right w:w="0" w:type="dxa"/>
        </w:tblCellMar>
      </w:tblPr>
      <w:tr>
        <w:trPr>
          <w:trHeight w:val="195"/>
        </w:trPr>
        <w:tc>
          <w:tcPr>
            <w:tcW w:w="1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Allowance as a</w:t>
            </w:r>
          </w:p>
        </w:tc>
        <w:tc>
          <w:tcPr>
            <w:tcW w:w="0" w:type="dxa"/>
            <w:vAlign w:val="bottom"/>
          </w:tcPr>
          <w:p>
            <w:pPr>
              <w:spacing w:after="0"/>
              <w:rPr>
                <w:sz w:val="1"/>
                <w:szCs w:val="1"/>
                <w:color w:val="auto"/>
              </w:rPr>
            </w:pPr>
          </w:p>
        </w:tc>
      </w:tr>
      <w:tr>
        <w:trPr>
          <w:trHeight w:val="173"/>
        </w:trPr>
        <w:tc>
          <w:tcPr>
            <w:tcW w:w="16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Allowance for</w:t>
            </w:r>
          </w:p>
        </w:tc>
        <w:tc>
          <w:tcPr>
            <w:tcW w:w="17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Amortized cost basis</w:t>
            </w:r>
          </w:p>
        </w:tc>
        <w:tc>
          <w:tcPr>
            <w:tcW w:w="162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percentage of</w:t>
            </w:r>
          </w:p>
        </w:tc>
        <w:tc>
          <w:tcPr>
            <w:tcW w:w="0" w:type="dxa"/>
            <w:vAlign w:val="bottom"/>
          </w:tcPr>
          <w:p>
            <w:pPr>
              <w:spacing w:after="0"/>
              <w:rPr>
                <w:sz w:val="1"/>
                <w:szCs w:val="1"/>
                <w:color w:val="auto"/>
              </w:rPr>
            </w:pPr>
          </w:p>
        </w:tc>
      </w:tr>
      <w:tr>
        <w:trPr>
          <w:trHeight w:val="175"/>
        </w:trPr>
        <w:tc>
          <w:tcPr>
            <w:tcW w:w="1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Origination year</w:t>
            </w:r>
          </w:p>
        </w:tc>
        <w:tc>
          <w:tcPr>
            <w:tcW w:w="15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Real estate loans, net</w:t>
            </w:r>
          </w:p>
        </w:tc>
        <w:tc>
          <w:tcPr>
            <w:tcW w:w="18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700" w:type="dxa"/>
            <w:vAlign w:val="bottom"/>
            <w:gridSpan w:val="3"/>
            <w:vMerge w:val="continue"/>
            <w:shd w:val="clear" w:color="auto" w:fill="CCEEFF"/>
          </w:tcPr>
          <w:p>
            <w:pPr>
              <w:spacing w:after="0"/>
              <w:rPr>
                <w:sz w:val="15"/>
                <w:szCs w:val="15"/>
                <w:color w:val="auto"/>
              </w:rPr>
            </w:pPr>
          </w:p>
        </w:tc>
        <w:tc>
          <w:tcPr>
            <w:tcW w:w="16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9"/>
              </w:rPr>
              <w:t>outstanding real</w:t>
            </w:r>
          </w:p>
        </w:tc>
        <w:tc>
          <w:tcPr>
            <w:tcW w:w="0" w:type="dxa"/>
            <w:vAlign w:val="bottom"/>
          </w:tcPr>
          <w:p>
            <w:pPr>
              <w:spacing w:after="0"/>
              <w:rPr>
                <w:sz w:val="1"/>
                <w:szCs w:val="1"/>
                <w:color w:val="auto"/>
              </w:rPr>
            </w:pPr>
          </w:p>
        </w:tc>
      </w:tr>
      <w:tr>
        <w:trPr>
          <w:trHeight w:val="219"/>
        </w:trPr>
        <w:tc>
          <w:tcPr>
            <w:tcW w:w="1620" w:type="dxa"/>
            <w:vAlign w:val="bottom"/>
            <w:vMerge w:val="continue"/>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at March 31, 2025</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estate loans</w:t>
            </w:r>
          </w:p>
        </w:tc>
        <w:tc>
          <w:tcPr>
            <w:tcW w:w="0" w:type="dxa"/>
            <w:vAlign w:val="bottom"/>
          </w:tcPr>
          <w:p>
            <w:pPr>
              <w:spacing w:after="0"/>
              <w:rPr>
                <w:sz w:val="1"/>
                <w:szCs w:val="1"/>
                <w:color w:val="auto"/>
              </w:rPr>
            </w:pPr>
          </w:p>
        </w:tc>
      </w:tr>
      <w:tr>
        <w:trPr>
          <w:trHeight w:val="219"/>
        </w:trPr>
        <w:tc>
          <w:tcPr>
            <w:tcW w:w="1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0" w:type="dxa"/>
            <w:vAlign w:val="bottom"/>
          </w:tcPr>
          <w:p>
            <w:pPr>
              <w:spacing w:after="0"/>
              <w:rPr>
                <w:sz w:val="1"/>
                <w:szCs w:val="1"/>
                <w:color w:val="auto"/>
              </w:rPr>
            </w:pPr>
          </w:p>
        </w:tc>
      </w:tr>
      <w:tr>
        <w:trPr>
          <w:trHeight w:val="219"/>
        </w:trPr>
        <w:tc>
          <w:tcPr>
            <w:tcW w:w="16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(7,426)</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142,574</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(7,576)</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160,793</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40" w:firstLine="619"/>
        <w:spacing w:after="0" w:line="260" w:lineRule="auto"/>
        <w:rPr>
          <w:sz w:val="20"/>
          <w:szCs w:val="20"/>
          <w:color w:val="auto"/>
        </w:rPr>
      </w:pPr>
      <w:r>
        <w:rPr>
          <w:rFonts w:ascii="Times New Roman" w:cs="Times New Roman" w:eastAsia="Times New Roman" w:hAnsi="Times New Roman"/>
          <w:sz w:val="17"/>
          <w:szCs w:val="17"/>
          <w:color w:val="auto"/>
        </w:rPr>
        <w:t>The real estate loans are subject to CECL, which is described in Note 3. The Company recorded provision for credit losses of $3.0 million and $0.7 million for the three month period ended March 31, 2025 and March 31, 2024 on the Company's real estate loans, respectively. Additionally, the Company recorded a provision of $0.2 million and $0.4 million during the three month period ended March 31, 2025 and March 31, 2024 on unfunded loan commitments. The reserves for the unfunded loan commitment are recorded in other liabilities on the Condensed Consolidated Balance Sheets and totaled $0.7 million and $0.5 million at March 31, 2025 and December 31, 2024, respectively. The Company's borrowers were current on their loan obligations as of March 31, 2025 and December 31, 2024.</w:t>
      </w:r>
    </w:p>
    <w:p>
      <w:pPr>
        <w:spacing w:after="0" w:line="195" w:lineRule="exact"/>
        <w:rPr>
          <w:sz w:val="20"/>
          <w:szCs w:val="20"/>
          <w:color w:val="auto"/>
        </w:rPr>
      </w:pPr>
    </w:p>
    <w:p>
      <w:pPr>
        <w:ind w:right="8460" w:firstLine="3"/>
        <w:spacing w:after="0" w:line="540" w:lineRule="auto"/>
        <w:tabs>
          <w:tab w:leader="none" w:pos="301"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 Assets and Lease Liabilities Lease Assets</w:t>
      </w:r>
    </w:p>
    <w:p>
      <w:pPr>
        <w:spacing w:after="0" w:line="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2038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sheets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sheets in conjunction with the Company's assumption of below market leases at the time it acquired the related land and building assets, the Company is required to report the right-of-use assets and land rights in the aggregate on the condensed consolidated balance sheets.</w:t>
      </w:r>
    </w:p>
    <w:p>
      <w:pPr>
        <w:spacing w:after="0" w:line="24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Components of the Company's right-of use assets and land rights, net are detailed below (in thousands):</w:t>
      </w:r>
    </w:p>
    <w:p>
      <w:pPr>
        <w:spacing w:after="0" w:line="41"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5"/>
                <w:szCs w:val="15"/>
                <w:color w:val="auto"/>
              </w:rPr>
            </w:pPr>
          </w:p>
        </w:tc>
        <w:tc>
          <w:tcPr>
            <w:tcW w:w="16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3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 use assets - operating leases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243,920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244,594</w:t>
            </w:r>
          </w:p>
        </w:tc>
      </w:tr>
      <w:tr>
        <w:trPr>
          <w:trHeight w:val="219"/>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Land rights, net</w:t>
            </w: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842,919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847,189</w:t>
            </w:r>
          </w:p>
        </w:tc>
      </w:tr>
      <w:tr>
        <w:trPr>
          <w:trHeight w:val="23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and land rights, net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1,086,839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1,091,783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Land Rights</w:t>
      </w:r>
    </w:p>
    <w:p>
      <w:pPr>
        <w:spacing w:after="0" w:line="247"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color w:val="auto"/>
        </w:rPr>
        <w:t>The land rights are amortized over the individual lease term of the related ground lease, including all renewal options, which ranged from 10 years to 92 years at their respective acquisition dates. Land rights net, consist of the following:</w:t>
      </w:r>
    </w:p>
    <w:tbl>
      <w:tblPr>
        <w:tblLayout w:type="fixed"/>
        <w:tblInd w:w="620" w:type="dxa"/>
        <w:tblCellMar>
          <w:top w:w="0" w:type="dxa"/>
          <w:left w:w="0" w:type="dxa"/>
          <w:bottom w:w="0" w:type="dxa"/>
          <w:right w:w="0" w:type="dxa"/>
        </w:tblCellMar>
      </w:tblPr>
      <w:tr>
        <w:trPr>
          <w:trHeight w:val="142"/>
        </w:trPr>
        <w:tc>
          <w:tcPr>
            <w:tcW w:w="7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200" w:type="dxa"/>
            <w:vAlign w:val="bottom"/>
          </w:tcPr>
          <w:p>
            <w:pPr>
              <w:spacing w:after="0"/>
              <w:rPr>
                <w:sz w:val="12"/>
                <w:szCs w:val="12"/>
                <w:color w:val="auto"/>
              </w:rPr>
            </w:pPr>
          </w:p>
        </w:tc>
        <w:tc>
          <w:tcPr>
            <w:tcW w:w="124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87"/>
        </w:trPr>
        <w:tc>
          <w:tcPr>
            <w:tcW w:w="7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6"/>
        </w:trPr>
        <w:tc>
          <w:tcPr>
            <w:tcW w:w="7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center"/>
              <w:ind w:left="403"/>
              <w:spacing w:after="0"/>
              <w:rPr>
                <w:sz w:val="20"/>
                <w:szCs w:val="20"/>
                <w:color w:val="auto"/>
              </w:rPr>
            </w:pPr>
            <w:r>
              <w:rPr>
                <w:rFonts w:ascii="Times New Roman" w:cs="Times New Roman" w:eastAsia="Times New Roman" w:hAnsi="Times New Roman"/>
                <w:sz w:val="17"/>
                <w:szCs w:val="17"/>
                <w:color w:val="auto"/>
                <w:w w:val="97"/>
              </w:rPr>
              <w:t>948,303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rPr>
              <w:t>948,303</w:t>
            </w:r>
          </w:p>
        </w:tc>
      </w:tr>
      <w:tr>
        <w:trPr>
          <w:trHeight w:val="21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383"/>
              <w:spacing w:after="0"/>
              <w:rPr>
                <w:sz w:val="20"/>
                <w:szCs w:val="20"/>
                <w:color w:val="auto"/>
              </w:rPr>
            </w:pPr>
            <w:r>
              <w:rPr>
                <w:rFonts w:ascii="Times New Roman" w:cs="Times New Roman" w:eastAsia="Times New Roman" w:hAnsi="Times New Roman"/>
                <w:sz w:val="17"/>
                <w:szCs w:val="17"/>
                <w:color w:val="auto"/>
              </w:rPr>
              <w:t>(105,384)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421"/>
              <w:spacing w:after="0"/>
              <w:rPr>
                <w:sz w:val="20"/>
                <w:szCs w:val="20"/>
                <w:color w:val="auto"/>
              </w:rPr>
            </w:pPr>
            <w:r>
              <w:rPr>
                <w:rFonts w:ascii="Times New Roman" w:cs="Times New Roman" w:eastAsia="Times New Roman" w:hAnsi="Times New Roman"/>
                <w:sz w:val="17"/>
                <w:szCs w:val="17"/>
                <w:color w:val="auto"/>
                <w:w w:val="99"/>
              </w:rPr>
              <w:t>(101,114)</w:t>
            </w: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 net</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center"/>
              <w:ind w:left="403"/>
              <w:spacing w:after="0"/>
              <w:rPr>
                <w:sz w:val="20"/>
                <w:szCs w:val="20"/>
                <w:color w:val="auto"/>
              </w:rPr>
            </w:pPr>
            <w:r>
              <w:rPr>
                <w:rFonts w:ascii="Times New Roman" w:cs="Times New Roman" w:eastAsia="Times New Roman" w:hAnsi="Times New Roman"/>
                <w:sz w:val="17"/>
                <w:szCs w:val="17"/>
                <w:color w:val="auto"/>
                <w:w w:val="97"/>
              </w:rPr>
              <w:t>842,919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rPr>
              <w:t>847,189</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March 31, 2025, estimated future amortization expense related to the Company’s land rights by fiscal year is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5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36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360" w:type="dxa"/>
            <w:vAlign w:val="bottom"/>
            <w:tcBorders>
              <w:right w:val="single" w:sz="8" w:color="CCEEFF"/>
            </w:tcBorders>
          </w:tcPr>
          <w:p>
            <w:pPr>
              <w:spacing w:after="0"/>
              <w:rPr>
                <w:sz w:val="19"/>
                <w:szCs w:val="19"/>
                <w:color w:val="auto"/>
              </w:rPr>
            </w:pPr>
          </w:p>
        </w:tc>
        <w:tc>
          <w:tcPr>
            <w:tcW w:w="5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 (remainder of year)</w:t>
            </w:r>
          </w:p>
        </w:tc>
        <w:tc>
          <w:tcPr>
            <w:tcW w:w="420" w:type="dxa"/>
            <w:vAlign w:val="bottom"/>
            <w:shd w:val="clear" w:color="auto" w:fill="CCEEFF"/>
          </w:tcPr>
          <w:p>
            <w:pPr>
              <w:spacing w:after="0"/>
              <w:rPr>
                <w:sz w:val="19"/>
                <w:szCs w:val="19"/>
                <w:color w:val="auto"/>
              </w:rPr>
            </w:pPr>
          </w:p>
        </w:tc>
        <w:tc>
          <w:tcPr>
            <w:tcW w:w="2440" w:type="dxa"/>
            <w:vAlign w:val="bottom"/>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12,810</w:t>
            </w: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17,079</w:t>
            </w:r>
          </w:p>
        </w:tc>
        <w:tc>
          <w:tcPr>
            <w:tcW w:w="0" w:type="dxa"/>
            <w:vAlign w:val="bottom"/>
          </w:tcPr>
          <w:p>
            <w:pPr>
              <w:spacing w:after="0"/>
              <w:rPr>
                <w:sz w:val="1"/>
                <w:szCs w:val="1"/>
                <w:color w:val="auto"/>
              </w:rPr>
            </w:pPr>
          </w:p>
        </w:tc>
      </w:tr>
      <w:tr>
        <w:trPr>
          <w:trHeight w:val="219"/>
        </w:trPr>
        <w:tc>
          <w:tcPr>
            <w:tcW w:w="1360" w:type="dxa"/>
            <w:vAlign w:val="bottom"/>
            <w:tcBorders>
              <w:right w:val="single" w:sz="8" w:color="CCEEFF"/>
            </w:tcBorders>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Borders>
              <w:right w:val="single" w:sz="8" w:color="CCEEFF"/>
            </w:tcBorders>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17,079</w:t>
            </w: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17,079</w:t>
            </w:r>
          </w:p>
        </w:tc>
        <w:tc>
          <w:tcPr>
            <w:tcW w:w="0" w:type="dxa"/>
            <w:vAlign w:val="bottom"/>
          </w:tcPr>
          <w:p>
            <w:pPr>
              <w:spacing w:after="0"/>
              <w:rPr>
                <w:sz w:val="1"/>
                <w:szCs w:val="1"/>
                <w:color w:val="auto"/>
              </w:rPr>
            </w:pPr>
          </w:p>
        </w:tc>
      </w:tr>
      <w:tr>
        <w:trPr>
          <w:trHeight w:val="219"/>
        </w:trPr>
        <w:tc>
          <w:tcPr>
            <w:tcW w:w="1360" w:type="dxa"/>
            <w:vAlign w:val="bottom"/>
            <w:tcBorders>
              <w:right w:val="single" w:sz="8" w:color="CCEEFF"/>
            </w:tcBorders>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140" w:type="dxa"/>
            <w:vAlign w:val="bottom"/>
            <w:tcBorders>
              <w:right w:val="single" w:sz="8" w:color="CCEEFF"/>
            </w:tcBorders>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17,079</w:t>
            </w: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54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color w:val="auto"/>
              </w:rPr>
              <w:t>Thereafter</w:t>
            </w:r>
          </w:p>
        </w:tc>
        <w:tc>
          <w:tcPr>
            <w:tcW w:w="4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761,793</w:t>
            </w:r>
          </w:p>
        </w:tc>
        <w:tc>
          <w:tcPr>
            <w:tcW w:w="0" w:type="dxa"/>
            <w:vAlign w:val="bottom"/>
          </w:tcPr>
          <w:p>
            <w:pPr>
              <w:spacing w:after="0"/>
              <w:rPr>
                <w:sz w:val="1"/>
                <w:szCs w:val="1"/>
                <w:color w:val="auto"/>
              </w:rPr>
            </w:pPr>
          </w:p>
        </w:tc>
      </w:tr>
      <w:tr>
        <w:trPr>
          <w:trHeight w:val="212"/>
        </w:trPr>
        <w:tc>
          <w:tcPr>
            <w:tcW w:w="1360" w:type="dxa"/>
            <w:vAlign w:val="bottom"/>
            <w:tcBorders>
              <w:right w:val="single" w:sz="8" w:color="CCEEFF"/>
            </w:tcBorders>
          </w:tcPr>
          <w:p>
            <w:pPr>
              <w:spacing w:after="0"/>
              <w:rPr>
                <w:sz w:val="18"/>
                <w:szCs w:val="18"/>
                <w:color w:val="auto"/>
              </w:rPr>
            </w:pPr>
          </w:p>
        </w:tc>
        <w:tc>
          <w:tcPr>
            <w:tcW w:w="54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842,919</w:t>
            </w:r>
          </w:p>
        </w:tc>
        <w:tc>
          <w:tcPr>
            <w:tcW w:w="0" w:type="dxa"/>
            <w:vAlign w:val="bottom"/>
          </w:tcPr>
          <w:p>
            <w:pPr>
              <w:spacing w:after="0"/>
              <w:rPr>
                <w:sz w:val="1"/>
                <w:szCs w:val="1"/>
                <w:color w:val="auto"/>
              </w:rPr>
            </w:pPr>
          </w:p>
        </w:tc>
      </w:tr>
      <w:tr>
        <w:trPr>
          <w:trHeight w:val="20"/>
        </w:trPr>
        <w:tc>
          <w:tcPr>
            <w:tcW w:w="136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Lease Liabilities</w:t>
            </w: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800" w:type="dxa"/>
            <w:vAlign w:val="bottom"/>
            <w:gridSpan w:val="5"/>
            <w:vMerge w:val="continue"/>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9660" w:type="dxa"/>
            <w:vAlign w:val="bottom"/>
            <w:gridSpan w:val="9"/>
          </w:tcPr>
          <w:p>
            <w:pPr>
              <w:jc w:val="right"/>
              <w:ind w:right="1454"/>
              <w:spacing w:after="0"/>
              <w:rPr>
                <w:sz w:val="20"/>
                <w:szCs w:val="20"/>
                <w:color w:val="auto"/>
              </w:rPr>
            </w:pPr>
            <w:r>
              <w:rPr>
                <w:rFonts w:ascii="Times New Roman" w:cs="Times New Roman" w:eastAsia="Times New Roman" w:hAnsi="Times New Roman"/>
                <w:sz w:val="17"/>
                <w:szCs w:val="17"/>
                <w:color w:val="auto"/>
              </w:rPr>
              <w:t>At March 31, 2025, payments under the Company's operating lease liabilities were as follows (in thousands):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Borders>
              <w:right w:val="single" w:sz="8" w:color="CCEEFF"/>
            </w:tcBorders>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 (remainder of year)</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12,910</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gridSpan w:val="3"/>
          </w:tcPr>
          <w:p>
            <w:pPr>
              <w:spacing w:after="0"/>
              <w:rPr>
                <w:sz w:val="19"/>
                <w:szCs w:val="19"/>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17,289</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tcBorders>
              <w:right w:val="single" w:sz="8" w:color="CCEEFF"/>
            </w:tcBorders>
            <w:gridSpan w:val="3"/>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16,785</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gridSpan w:val="3"/>
          </w:tcPr>
          <w:p>
            <w:pPr>
              <w:spacing w:after="0"/>
              <w:rPr>
                <w:sz w:val="19"/>
                <w:szCs w:val="19"/>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16,672</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tcBorders>
              <w:right w:val="single" w:sz="8" w:color="CCEEFF"/>
            </w:tcBorders>
            <w:gridSpan w:val="3"/>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16,709</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787,924</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Borders>
              <w:right w:val="single" w:sz="8" w:color="CCEEFF"/>
            </w:tcBorders>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868,289</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Less: interest</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(623,975)</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right w:val="single" w:sz="8" w:color="CCEEFF"/>
            </w:tcBorders>
          </w:tcPr>
          <w:p>
            <w:pPr>
              <w:spacing w:after="0"/>
              <w:rPr>
                <w:sz w:val="20"/>
                <w:szCs w:val="20"/>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244,314</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Expense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Operating lease costs represent the entire amount of expense recognized for operating leases that are recorded on the condensed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lease expense were as follows (in thousands):</w:t>
      </w:r>
    </w:p>
    <w:p>
      <w:pPr>
        <w:spacing w:after="0" w:line="5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p>
      <w:pPr>
        <w:spacing w:after="0" w:line="31" w:lineRule="exact"/>
        <w:rPr>
          <w:sz w:val="20"/>
          <w:szCs w:val="20"/>
          <w:color w:val="auto"/>
        </w:rPr>
      </w:pPr>
    </w:p>
    <w:tbl>
      <w:tblPr>
        <w:tblLayout w:type="fixed"/>
        <w:tblInd w:w="2320" w:type="dxa"/>
        <w:tblCellMar>
          <w:top w:w="0" w:type="dxa"/>
          <w:left w:w="0" w:type="dxa"/>
          <w:bottom w:w="0" w:type="dxa"/>
          <w:right w:w="0" w:type="dxa"/>
        </w:tblCellMar>
      </w:tblPr>
      <w:tr>
        <w:trPr>
          <w:trHeight w:val="192"/>
        </w:trPr>
        <w:tc>
          <w:tcPr>
            <w:tcW w:w="34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1180" w:type="dxa"/>
            <w:vAlign w:val="bottom"/>
            <w:shd w:val="clear" w:color="auto" w:fill="CCEEFF"/>
          </w:tcPr>
          <w:p>
            <w:pPr>
              <w:jc w:val="right"/>
              <w:ind w:right="10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3,629</w:t>
            </w:r>
          </w:p>
        </w:tc>
      </w:tr>
      <w:tr>
        <w:trPr>
          <w:trHeight w:val="219"/>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Variable lease cost</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4,913</w:t>
            </w:r>
          </w:p>
        </w:tc>
      </w:tr>
      <w:tr>
        <w:trPr>
          <w:trHeight w:val="21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land right assets</w:t>
            </w: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3,276</w:t>
            </w:r>
          </w:p>
        </w:tc>
      </w:tr>
      <w:tr>
        <w:trPr>
          <w:trHeight w:val="212"/>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Total lease cost</w:t>
            </w:r>
          </w:p>
        </w:tc>
        <w:tc>
          <w:tcPr>
            <w:tcW w:w="1180" w:type="dxa"/>
            <w:vAlign w:val="bottom"/>
            <w:tcBorders>
              <w:bottom w:val="single" w:sz="8" w:color="auto"/>
            </w:tcBorders>
          </w:tcPr>
          <w:p>
            <w:pPr>
              <w:jc w:val="right"/>
              <w:ind w:right="10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13,555</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11,818</w:t>
            </w:r>
          </w:p>
        </w:tc>
      </w:tr>
      <w:tr>
        <w:trPr>
          <w:trHeight w:val="20"/>
        </w:trPr>
        <w:tc>
          <w:tcPr>
            <w:tcW w:w="3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8" w:name="page19"/>
    <w:bookmarkEnd w:id="18"/>
    <w:p>
      <w:pPr>
        <w:ind w:firstLine="619"/>
        <w:spacing w:after="0" w:line="287" w:lineRule="auto"/>
        <w:rPr>
          <w:sz w:val="20"/>
          <w:szCs w:val="20"/>
          <w:color w:val="auto"/>
        </w:rPr>
      </w:pPr>
      <w:r>
        <w:rPr>
          <w:rFonts w:ascii="Times New Roman" w:cs="Times New Roman" w:eastAsia="Times New Roman" w:hAnsi="Times New Roman"/>
          <w:sz w:val="17"/>
          <w:szCs w:val="17"/>
          <w:color w:val="auto"/>
        </w:rPr>
        <w:t>Amortization expense related to the land right intangibles, as well as variable lease costs and the Company's operating lease costs are recorded within land rights and ground lease expense in the condensed consolidated statements of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Disclosures Related to Leases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Supplemental balance sheet information related to the Company's operating leases was as follows:</w:t>
      </w:r>
    </w:p>
    <w:p>
      <w:pPr>
        <w:spacing w:after="0" w:line="41"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148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jc w:val="center"/>
              <w:ind w:left="267"/>
              <w:spacing w:after="0"/>
              <w:rPr>
                <w:sz w:val="20"/>
                <w:szCs w:val="20"/>
                <w:color w:val="auto"/>
              </w:rPr>
            </w:pPr>
            <w:r>
              <w:rPr>
                <w:rFonts w:ascii="Times New Roman" w:cs="Times New Roman" w:eastAsia="Times New Roman" w:hAnsi="Times New Roman"/>
                <w:sz w:val="14"/>
                <w:szCs w:val="14"/>
                <w:b w:val="1"/>
                <w:bCs w:val="1"/>
                <w:color w:val="auto"/>
                <w:w w:val="96"/>
              </w:rPr>
              <w:t>March 31, 2025</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2"/>
        </w:trPr>
        <w:tc>
          <w:tcPr>
            <w:tcW w:w="1480" w:type="dxa"/>
            <w:vAlign w:val="bottom"/>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2"/>
        </w:trPr>
        <w:tc>
          <w:tcPr>
            <w:tcW w:w="14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 operating leases</w:t>
            </w: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87"/>
              <w:spacing w:after="0"/>
              <w:rPr>
                <w:sz w:val="20"/>
                <w:szCs w:val="20"/>
                <w:color w:val="auto"/>
              </w:rPr>
            </w:pPr>
            <w:r>
              <w:rPr>
                <w:rFonts w:ascii="Times New Roman" w:cs="Times New Roman" w:eastAsia="Times New Roman" w:hAnsi="Times New Roman"/>
                <w:sz w:val="17"/>
                <w:szCs w:val="17"/>
                <w:color w:val="auto"/>
              </w:rPr>
              <w:t>52.96 years</w:t>
            </w:r>
          </w:p>
        </w:tc>
        <w:tc>
          <w:tcPr>
            <w:tcW w:w="4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23"/>
        </w:trPr>
        <w:tc>
          <w:tcPr>
            <w:tcW w:w="14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 - operating leases</w:t>
            </w:r>
          </w:p>
        </w:tc>
        <w:tc>
          <w:tcPr>
            <w:tcW w:w="1500" w:type="dxa"/>
            <w:vAlign w:val="bottom"/>
            <w:gridSpan w:val="2"/>
          </w:tcPr>
          <w:p>
            <w:pPr>
              <w:jc w:val="center"/>
              <w:ind w:left="334"/>
              <w:spacing w:after="0"/>
              <w:rPr>
                <w:sz w:val="20"/>
                <w:szCs w:val="20"/>
                <w:color w:val="auto"/>
              </w:rPr>
            </w:pPr>
            <w:r>
              <w:rPr>
                <w:rFonts w:ascii="Times New Roman" w:cs="Times New Roman" w:eastAsia="Times New Roman" w:hAnsi="Times New Roman"/>
                <w:sz w:val="17"/>
                <w:szCs w:val="17"/>
                <w:color w:val="auto"/>
              </w:rPr>
              <w:t>6.26%</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525"/>
        </w:trPr>
        <w:tc>
          <w:tcPr>
            <w:tcW w:w="7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Supplemental cash flow information related to the Company's operating leases was as follows:</w:t>
            </w: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28"/>
        </w:trPr>
        <w:tc>
          <w:tcPr>
            <w:tcW w:w="14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14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148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Borders>
              <w:top w:val="single" w:sz="8" w:color="auto"/>
            </w:tcBorders>
          </w:tcPr>
          <w:p>
            <w:pPr>
              <w:jc w:val="right"/>
              <w:ind w:right="70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6985</wp:posOffset>
            </wp:positionV>
            <wp:extent cx="13836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ind w:left="86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-121285</wp:posOffset>
            </wp:positionV>
            <wp:extent cx="5403215"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03215" cy="139065"/>
                    </a:xfrm>
                    <a:prstGeom prst="rect">
                      <a:avLst/>
                    </a:prstGeom>
                    <a:noFill/>
                  </pic:spPr>
                </pic:pic>
              </a:graphicData>
            </a:graphic>
          </wp:anchor>
        </w:drawing>
      </w:r>
    </w:p>
    <w:p>
      <w:pPr>
        <w:spacing w:after="0" w:line="8" w:lineRule="exact"/>
        <w:rPr>
          <w:sz w:val="20"/>
          <w:szCs w:val="20"/>
          <w:color w:val="auto"/>
        </w:rPr>
      </w:pPr>
    </w:p>
    <w:p>
      <w:pPr>
        <w:ind w:left="1780"/>
        <w:spacing w:after="0"/>
        <w:tabs>
          <w:tab w:leader="none" w:pos="7920" w:val="left"/>
          <w:tab w:leader="none" w:pos="8600" w:val="left"/>
          <w:tab w:leader="none" w:pos="9060" w:val="left"/>
          <w:tab w:leader="none" w:pos="9760" w:val="left"/>
        </w:tabs>
        <w:rPr>
          <w:sz w:val="20"/>
          <w:szCs w:val="20"/>
          <w:color w:val="auto"/>
        </w:rPr>
      </w:pPr>
      <w:r>
        <w:rPr>
          <w:rFonts w:ascii="Times New Roman" w:cs="Times New Roman" w:eastAsia="Times New Roman" w:hAnsi="Times New Roman"/>
          <w:sz w:val="17"/>
          <w:szCs w:val="17"/>
          <w:color w:val="auto"/>
        </w:rPr>
        <w:t xml:space="preserve">Operating cash flows from operating leases </w:t>
      </w:r>
      <w:r>
        <w:rPr>
          <w:rFonts w:ascii="Times New Roman" w:cs="Times New Roman" w:eastAsia="Times New Roman" w:hAnsi="Times New Roman"/>
          <w:sz w:val="22"/>
          <w:szCs w:val="22"/>
          <w:color w:val="auto"/>
          <w:vertAlign w:val="superscript"/>
        </w:rPr>
        <w:t>(1)</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415</w:t>
        <w:tab/>
        <w:t>$</w:t>
      </w:r>
      <w:r>
        <w:rPr>
          <w:sz w:val="20"/>
          <w:szCs w:val="20"/>
          <w:color w:val="auto"/>
        </w:rPr>
        <w:tab/>
      </w:r>
      <w:r>
        <w:rPr>
          <w:rFonts w:ascii="Times New Roman" w:cs="Times New Roman" w:eastAsia="Times New Roman" w:hAnsi="Times New Roman"/>
          <w:sz w:val="16"/>
          <w:szCs w:val="16"/>
          <w:color w:val="auto"/>
        </w:rPr>
        <w:t>414</w:t>
      </w:r>
    </w:p>
    <w:p>
      <w:pPr>
        <w:spacing w:after="0" w:line="259" w:lineRule="exact"/>
        <w:rPr>
          <w:sz w:val="20"/>
          <w:szCs w:val="20"/>
          <w:color w:val="auto"/>
        </w:rPr>
      </w:pPr>
    </w:p>
    <w:p>
      <w:pPr>
        <w:jc w:val="both"/>
        <w:ind w:firstLine="622"/>
        <w:spacing w:after="0" w:line="284" w:lineRule="auto"/>
        <w:tabs>
          <w:tab w:leader="none" w:pos="777"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condensed consolidated financial statements under ASC 842.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Lease Liabilities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connection with the acquisition of certain real property assets included in the Maryland Live! Lease and the Strategic Gaming Leases, the Company acquired the rights to land subject to long-term ground leases which expire in June 2111 and April 2062, respectively. As these leases were accounted for as Investment in leases, financing receivables, the underlying ground leases were accounted for as Financing lease liabilities on the Condensed Consolidated Balance Sheets. In accordance with ASC 842, the Company records revenue for the ground lease rent paid by its tenant with an offsetting expense in interest expense as the Company has concluded that as the lessee it is the primary obligor under the ground leases. The Company's weighted average discount rate on the fixed minimum annual payments was 5.07% to arrive at the initial lease obligations. At March 31, 2025, payments under the Company's financing lease liabilities were as follows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1860" w:type="dxa"/>
        <w:tblCellMar>
          <w:top w:w="0" w:type="dxa"/>
          <w:left w:w="0" w:type="dxa"/>
          <w:bottom w:w="0" w:type="dxa"/>
          <w:right w:w="0" w:type="dxa"/>
        </w:tblCellMar>
      </w:tblP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 (remainder of year)</w:t>
            </w: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w:t>
            </w:r>
          </w:p>
        </w:tc>
      </w:tr>
      <w:tr>
        <w:trPr>
          <w:trHeight w:val="219"/>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2,712</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w:t>
            </w:r>
          </w:p>
        </w:tc>
      </w:tr>
      <w:tr>
        <w:trPr>
          <w:trHeight w:val="219"/>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2,758</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2,782</w:t>
            </w:r>
          </w:p>
        </w:tc>
      </w:tr>
      <w:tr>
        <w:trPr>
          <w:trHeight w:val="21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7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311,040</w:t>
            </w:r>
          </w:p>
        </w:tc>
      </w:tr>
      <w:tr>
        <w:trPr>
          <w:trHeight w:val="21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324,048</w:t>
            </w:r>
          </w:p>
        </w:tc>
      </w:tr>
      <w:tr>
        <w:trPr>
          <w:trHeight w:val="21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Interest</w:t>
            </w:r>
          </w:p>
        </w:tc>
        <w:tc>
          <w:tcPr>
            <w:tcW w:w="7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(263,162)</w:t>
            </w: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finance lease liability</w:t>
            </w: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60,886</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9" w:name="page20"/>
    <w:bookmarkEnd w:id="19"/>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Long-term Debt</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Long-term debt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6"/>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Unsecured $2,090 million revolver due December 2028</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332,455</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Credit Facility due September 2027</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$850 million 5.250% senior unsecured notes due June 2025</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$975 million 5.375% senior unsecured notes due April 2026</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$500 million 5.750% senior unsecured notes due June 2028</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$750 million 5.300% senior unsecured notes due January 2029</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$700 million 4.000% senior unsecured notes due January 2030</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$700 million 4.000% senior unsecured notes due January 2031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$800 million 3.250% senior unsecured notes due January 2032</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$400 million 6.750% senior unsecured notes due December 2033</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$800 million 5.625%% senior unsecured notes due September 2034</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$400 million 6.250%% senior unsecured notes due September 2054</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long-term debt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6,957,679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7,807,732</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unamortized debt issuance costs, bond premiums and original issuance discounts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(71,855)</w:t>
            </w: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long-term debt, net of unamortized debt issuance costs, bond premiums and original issuance discounts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6,889,064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7,735,877</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schedule of future minimum repayments of long-term debt as of March 31, 2025 (in thousands):</w:t>
      </w:r>
    </w:p>
    <w:p>
      <w:pPr>
        <w:spacing w:after="0" w:line="285" w:lineRule="exact"/>
        <w:rPr>
          <w:sz w:val="20"/>
          <w:szCs w:val="20"/>
          <w:color w:val="auto"/>
        </w:rPr>
      </w:pPr>
    </w:p>
    <w:tbl>
      <w:tblPr>
        <w:tblLayout w:type="fixed"/>
        <w:tblInd w:w="2140" w:type="dxa"/>
        <w:tblCellMar>
          <w:top w:w="0" w:type="dxa"/>
          <w:left w:w="0" w:type="dxa"/>
          <w:bottom w:w="0" w:type="dxa"/>
          <w:right w:w="0" w:type="dxa"/>
        </w:tblCellMar>
      </w:tblP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2025</w:t>
            </w:r>
          </w:p>
        </w:tc>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year)</w:t>
            </w:r>
          </w:p>
        </w:tc>
        <w:tc>
          <w:tcPr>
            <w:tcW w:w="4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1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2026</w:t>
            </w:r>
          </w:p>
        </w:tc>
        <w:tc>
          <w:tcPr>
            <w:tcW w:w="5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975,114</w:t>
            </w: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2027</w:t>
            </w:r>
          </w:p>
        </w:tc>
        <w:tc>
          <w:tcPr>
            <w:tcW w:w="5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1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2028</w:t>
            </w:r>
          </w:p>
        </w:tc>
        <w:tc>
          <w:tcPr>
            <w:tcW w:w="5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832,455</w:t>
            </w: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2029</w:t>
            </w:r>
          </w:p>
        </w:tc>
        <w:tc>
          <w:tcPr>
            <w:tcW w:w="5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w:t>
            </w:r>
          </w:p>
        </w:tc>
      </w:tr>
      <w:tr>
        <w:trPr>
          <w:trHeight w:val="219"/>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Over 5 years</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3,800,000</w:t>
            </w:r>
          </w:p>
        </w:tc>
      </w:tr>
      <w:tr>
        <w:trPr>
          <w:trHeight w:val="237"/>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minimum payments</w:t>
            </w:r>
          </w:p>
        </w:tc>
        <w:tc>
          <w:tcPr>
            <w:tcW w:w="48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6,957,679</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Unsecured Amended Credit Agreement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has a Senior Unsecured Amended Credit Agreement (the "Amended Credit Agreement") providing for a revolving commitment capacity of $2.09 billion with a maturity date of December 2, 2028 (the "Revolver"). GLP Capital is the primary obligor under the Senior Unsecured Credit Agreement, which is guaranteed by GLPI.</w:t>
      </w:r>
    </w:p>
    <w:p>
      <w:pPr>
        <w:spacing w:after="0" w:line="19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At March 31, 2025, $332.5 million was outstanding under the Company's Revolver. After giving effect to contingent obligations under letters of credit with face amounts aggregating approximately $0.4 million, the Company had $1,757.2 million of available borrowing capacity under the Revolver as of March 31, 2025. The weighted average interest rate under the Revolver and term loan credit facility at March 31, 2025 was 5.62%.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Term Loan Credit Facility</w:t>
      </w:r>
    </w:p>
    <w:p>
      <w:pPr>
        <w:spacing w:after="0" w:line="14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On September 2, 2022, GLP Capital entered into a term loan credit agreement with Wells Fargo Bank, National Association, as administrative agent and the other agents and lenders party thereto from time to time, providing for a $600 million delayed draw credit facility with a maturity date of September 2, 2027 (the "Term Loan Credit Facility"). The Term Loan Credit Facility is guaranteed by GLPI. The Company drew down the entire $600 million Term Loan Credit Facility in connection with the acquisition of the real property assets of Bally's Biloxi and Bally's Tiverton.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Unsecured Notes</w:t>
      </w:r>
    </w:p>
    <w:p>
      <w:pPr>
        <w:spacing w:after="0" w:line="247"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At March 31, 2025, the Company had $6,025.0 million of outstanding senior unsecured notes (the "Senior Notes"). During the three months ended March 31, 2025, the Company redeemed its $850 million, 5.250% senior unsecured notes due June 2025. The notes were redeemed with cash on hand.</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March 31, 2025, the Company was in compliance with all required financial covenants on its debt obligations.</w:t>
      </w:r>
    </w:p>
    <w:p>
      <w:pPr>
        <w:spacing w:after="0" w:line="22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tab/>
        <w:t>Fair Value of Financial Assets and Liabilities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200" w:lineRule="exact"/>
        <w:rPr>
          <w:sz w:val="20"/>
          <w:szCs w:val="20"/>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such as quoted prices in active markets for identical assets or liabilities.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reflect the reporting entity's own assumptions, as there is little, if any, related market activity.</w:t>
      </w:r>
    </w:p>
    <w:p>
      <w:pPr>
        <w:spacing w:after="0" w:line="243" w:lineRule="exact"/>
        <w:rPr>
          <w:sz w:val="20"/>
          <w:szCs w:val="20"/>
          <w:color w:val="auto"/>
        </w:rPr>
      </w:pPr>
    </w:p>
    <w:p>
      <w:pPr>
        <w:jc w:val="both"/>
        <w:ind w:firstLine="194"/>
        <w:spacing w:after="0" w:line="287" w:lineRule="auto"/>
        <w:rPr>
          <w:sz w:val="20"/>
          <w:szCs w:val="20"/>
          <w:color w:val="auto"/>
        </w:rPr>
      </w:pPr>
      <w:r>
        <w:rPr>
          <w:rFonts w:ascii="Times New Roman" w:cs="Times New Roman" w:eastAsia="Times New Roman" w:hAnsi="Times New Roman"/>
          <w:sz w:val="17"/>
          <w:szCs w:val="17"/>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methods and assumptions are used to estimate the fair value of each class of financial instruments for which it is practicable to estimate.</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 of the Company’s cash and cash equivalents approximates the carrying value of the Company’s cash and cash equivalents, due to the short maturity of the cash equivalents.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Investment securities held to maturity</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fair value of the investment (which approximated its carrying value) is based on quoted prices in active markets and as such is a Level 1 measurement as defined in ASC 820. In August 2024, the Company purchased zero coupon United States Treasury Bills of approximately $550 million which matured in January 2025 for $563 million.</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Investment in leases, financing receivables, net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fair value of the Company's investment in leases, financing receivables, net is based on the value of the underlying real estate property the Company owns under these leases. The initial fair value was the price paid by the Company to acquire the real estate. The initial fair value is then adjusted for changes in the commercial real estate price index and as such is a Level 3 measurement as defined under ASC 820.</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1" w:name="page22"/>
    <w:bookmarkEnd w:id="21"/>
    <w:p>
      <w:pPr>
        <w:ind w:left="620"/>
        <w:spacing w:after="0"/>
        <w:rPr>
          <w:sz w:val="20"/>
          <w:szCs w:val="20"/>
          <w:color w:val="auto"/>
        </w:rPr>
      </w:pPr>
      <w:r>
        <w:rPr>
          <w:rFonts w:ascii="Times New Roman" w:cs="Times New Roman" w:eastAsia="Times New Roman" w:hAnsi="Times New Roman"/>
          <w:sz w:val="17"/>
          <w:szCs w:val="17"/>
          <w:i w:val="1"/>
          <w:iCs w:val="1"/>
          <w:color w:val="auto"/>
        </w:rPr>
        <w:t>Investment in leases, sales type, net</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fair value of the Company's investment in leases, sales type, net was initially based on a third party valuation report which utilized both market based and income based valuation approaches to value the underlying land related to the applicable lease at the lease reassessment date. Subsequent changes in the fair value from this date are based on changes in the commercial real estate price index. As such, this was determined to be a Level 3 measurement as defined under ASC 820.</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Deferred Compensation Plan Assets</w:t>
      </w:r>
    </w:p>
    <w:p>
      <w:pPr>
        <w:spacing w:after="0" w:line="247"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3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Real Estate Loans, net</w:t>
      </w:r>
    </w:p>
    <w:p>
      <w:pPr>
        <w:spacing w:after="0" w:line="234" w:lineRule="exact"/>
        <w:rPr>
          <w:sz w:val="20"/>
          <w:szCs w:val="20"/>
          <w:color w:val="auto"/>
        </w:rPr>
      </w:pPr>
    </w:p>
    <w:p>
      <w:pPr>
        <w:ind w:right="320" w:firstLine="619"/>
        <w:spacing w:after="0" w:line="254" w:lineRule="auto"/>
        <w:rPr>
          <w:sz w:val="20"/>
          <w:szCs w:val="20"/>
          <w:color w:val="auto"/>
        </w:rPr>
      </w:pPr>
      <w:r>
        <w:rPr>
          <w:rFonts w:ascii="Times New Roman" w:cs="Times New Roman" w:eastAsia="Times New Roman" w:hAnsi="Times New Roman"/>
          <w:sz w:val="17"/>
          <w:szCs w:val="17"/>
          <w:color w:val="auto"/>
        </w:rPr>
        <w:t>The fair value of the Company's real estate loans are estimated based on the present value of the loans' future cash flows using a discounted cash flow analysis. The fair value of the loans is subject to fluctuations from changes in market interest rates at each reporting period and the fair value measurement is considered a Level 3 measurement as defined in ASC 820.</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Long-term Debt</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 of the Senior Notes are estimated based on quoted prices in active markets and as such is a Level 1 measurement as defined under ASC 820. The fair value of the obligations in our Amended Credit Agreement is based on indicative pricing from market information (Level 2 inputs).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estimated fair values of the Company’s financial instruments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00" w:type="dxa"/>
            <w:vAlign w:val="bottom"/>
          </w:tcPr>
          <w:p>
            <w:pPr>
              <w:spacing w:after="0"/>
              <w:rPr>
                <w:sz w:val="15"/>
                <w:szCs w:val="15"/>
                <w:color w:val="auto"/>
              </w:rPr>
            </w:pPr>
          </w:p>
        </w:tc>
      </w:tr>
      <w:tr>
        <w:trPr>
          <w:trHeight w:val="22"/>
        </w:trPr>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22"/>
        </w:trPr>
        <w:tc>
          <w:tcPr>
            <w:tcW w:w="5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60"/>
              <w:spacing w:after="0" w:line="12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4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398"/>
              <w:spacing w:after="0" w:line="122"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400"/>
              <w:spacing w:after="0" w:line="12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5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498"/>
              <w:spacing w:after="0" w:line="122"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80" w:type="dxa"/>
            <w:vAlign w:val="bottom"/>
          </w:tcPr>
          <w:p>
            <w:pPr>
              <w:spacing w:after="0"/>
              <w:rPr>
                <w:sz w:val="16"/>
                <w:szCs w:val="16"/>
                <w:color w:val="auto"/>
              </w:rPr>
            </w:pPr>
          </w:p>
        </w:tc>
        <w:tc>
          <w:tcPr>
            <w:tcW w:w="10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40" w:type="dxa"/>
            <w:vAlign w:val="bottom"/>
          </w:tcPr>
          <w:p>
            <w:pPr>
              <w:spacing w:after="0"/>
              <w:rPr>
                <w:sz w:val="16"/>
                <w:szCs w:val="16"/>
                <w:color w:val="auto"/>
              </w:rPr>
            </w:pPr>
          </w:p>
        </w:tc>
        <w:tc>
          <w:tcPr>
            <w:tcW w:w="90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w w:val="91"/>
              </w:rPr>
              <w:t>Value</w:t>
            </w:r>
          </w:p>
        </w:tc>
      </w:tr>
      <w:tr>
        <w:trPr>
          <w:trHeight w:val="205"/>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58"/>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168,875</w:t>
            </w:r>
          </w:p>
        </w:tc>
        <w:tc>
          <w:tcPr>
            <w:tcW w:w="100" w:type="dxa"/>
            <w:vAlign w:val="bottom"/>
          </w:tcPr>
          <w:p>
            <w:pPr>
              <w:spacing w:after="0"/>
              <w:rPr>
                <w:sz w:val="22"/>
                <w:szCs w:val="22"/>
                <w:color w:val="auto"/>
              </w:rPr>
            </w:pP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168,875</w:t>
            </w:r>
          </w:p>
        </w:tc>
        <w:tc>
          <w:tcPr>
            <w:tcW w:w="100" w:type="dxa"/>
            <w:vAlign w:val="bottom"/>
          </w:tcPr>
          <w:p>
            <w:pPr>
              <w:spacing w:after="0"/>
              <w:rPr>
                <w:sz w:val="22"/>
                <w:szCs w:val="22"/>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462,632</w:t>
            </w:r>
          </w:p>
        </w:tc>
        <w:tc>
          <w:tcPr>
            <w:tcW w:w="100" w:type="dxa"/>
            <w:vAlign w:val="bottom"/>
          </w:tcPr>
          <w:p>
            <w:pPr>
              <w:spacing w:after="0"/>
              <w:rPr>
                <w:sz w:val="22"/>
                <w:szCs w:val="22"/>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462,632</w:t>
            </w: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Investment securities held to maturity</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560,832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561,154</w:t>
            </w:r>
          </w:p>
        </w:tc>
      </w:tr>
      <w:tr>
        <w:trPr>
          <w:trHeight w:val="219"/>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Investment in leases, financing receivables,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2,313,156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2,077,927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2,333,114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2,087,705</w:t>
            </w: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Investment in leases, sales type,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245,661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280,970</w:t>
            </w:r>
          </w:p>
        </w:tc>
      </w:tr>
      <w:tr>
        <w:trPr>
          <w:trHeight w:val="258"/>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Real estate loans, net</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160,793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168,551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160,590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164,750</w:t>
            </w: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compensation plan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38,948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38,948</w:t>
            </w: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Long-term debt: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Amended Credit Agreement and Term Loan Credit Facility</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932,455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932,455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932,455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932,455</w:t>
            </w:r>
          </w:p>
        </w:tc>
      </w:tr>
      <w:tr>
        <w:trPr>
          <w:trHeight w:val="219"/>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Senior Notes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6,025,000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5,861,537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6,875,000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6,665,565</w:t>
            </w:r>
          </w:p>
        </w:tc>
      </w:tr>
    </w:tbl>
    <w:p>
      <w:pPr>
        <w:spacing w:after="0" w:line="2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Nonrecurring Basis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assets or liabilities measured at fair value on a nonrecurring basis during the three months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2" w:name="page23"/>
    <w:bookmarkEnd w:id="22"/>
    <w:p>
      <w:pPr>
        <w:ind w:right="8500" w:firstLine="3"/>
        <w:spacing w:after="0" w:line="524" w:lineRule="auto"/>
        <w:tabs>
          <w:tab w:leader="none" w:pos="301"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Litigation</w:t>
      </w:r>
    </w:p>
    <w:p>
      <w:pPr>
        <w:spacing w:after="0" w:line="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The majority of these matters are subject to indemnification and defense obligations of our tenants.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results of operations or liquidity. Further, no assurance can be given that the amount or scope of existing insurance coverage will be sufficient to cover losses arising from such matters.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commitments</w:t>
      </w:r>
    </w:p>
    <w:p>
      <w:pPr>
        <w:spacing w:after="0" w:line="2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March 31, 2025, we have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 See Note 1 in the Notes to the Condensed Consolidated Financial Statements for further details.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Pr>
          <w:p>
            <w:pPr>
              <w:spacing w:after="0"/>
              <w:rPr>
                <w:sz w:val="17"/>
                <w:szCs w:val="17"/>
                <w:color w:val="auto"/>
              </w:rPr>
            </w:pPr>
          </w:p>
        </w:tc>
        <w:tc>
          <w:tcPr>
            <w:tcW w:w="13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Maximum</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Amount funded at</w:t>
            </w:r>
          </w:p>
        </w:tc>
        <w:tc>
          <w:tcPr>
            <w:tcW w:w="0" w:type="dxa"/>
            <w:vAlign w:val="bottom"/>
          </w:tcPr>
          <w:p>
            <w:pPr>
              <w:spacing w:after="0"/>
              <w:rPr>
                <w:sz w:val="1"/>
                <w:szCs w:val="1"/>
                <w:color w:val="auto"/>
              </w:rPr>
            </w:pPr>
          </w:p>
        </w:tc>
      </w:tr>
      <w:tr>
        <w:trPr>
          <w:trHeight w:val="168"/>
        </w:trPr>
        <w:tc>
          <w:tcPr>
            <w:tcW w:w="8100" w:type="dxa"/>
            <w:vAlign w:val="bottom"/>
          </w:tcPr>
          <w:p>
            <w:pPr>
              <w:spacing w:after="0"/>
              <w:rPr>
                <w:sz w:val="14"/>
                <w:szCs w:val="14"/>
                <w:color w:val="auto"/>
              </w:rPr>
            </w:pPr>
          </w:p>
        </w:tc>
        <w:tc>
          <w:tcPr>
            <w:tcW w:w="1300" w:type="dxa"/>
            <w:vAlign w:val="bottom"/>
          </w:tcPr>
          <w:p>
            <w:pPr>
              <w:jc w:val="center"/>
              <w:ind w:right="54"/>
              <w:spacing w:after="0" w:line="167" w:lineRule="exact"/>
              <w:rPr>
                <w:sz w:val="20"/>
                <w:szCs w:val="20"/>
                <w:color w:val="auto"/>
              </w:rPr>
            </w:pPr>
            <w:r>
              <w:rPr>
                <w:rFonts w:ascii="Times New Roman" w:cs="Times New Roman" w:eastAsia="Times New Roman" w:hAnsi="Times New Roman"/>
                <w:sz w:val="17"/>
                <w:szCs w:val="17"/>
                <w:color w:val="auto"/>
              </w:rPr>
              <w:t>Commitment</w:t>
            </w: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10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7"/>
                <w:szCs w:val="17"/>
                <w:color w:val="auto"/>
              </w:rPr>
              <w:t>Description</w:t>
            </w:r>
          </w:p>
        </w:tc>
        <w:tc>
          <w:tcPr>
            <w:tcW w:w="13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color w:val="auto"/>
              </w:rPr>
              <w:t>amount</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March 31, 2025</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Relocation of Hollywood Casino Aurora</w:t>
            </w:r>
          </w:p>
        </w:tc>
        <w:tc>
          <w:tcPr>
            <w:tcW w:w="130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7"/>
                <w:szCs w:val="17"/>
                <w:color w:val="auto"/>
              </w:rPr>
              <w:t>$225 million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Relocation of Hollywood Casino Joliet, construction of a hotel at Hollywood Casino Columbus and a hotel tower at</w:t>
            </w:r>
          </w:p>
        </w:tc>
        <w:tc>
          <w:tcPr>
            <w:tcW w:w="1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M Resort</w:t>
            </w:r>
          </w:p>
        </w:tc>
        <w:tc>
          <w:tcPr>
            <w:tcW w:w="13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$350 million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improvements at Ameristar Casino Council Bluffs</w:t>
            </w:r>
          </w:p>
        </w:tc>
        <w:tc>
          <w:tcPr>
            <w:tcW w:w="130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7"/>
                <w:szCs w:val="17"/>
                <w:color w:val="auto"/>
              </w:rPr>
              <w:t>(1)</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Potential transaction at the former Tropicana Las Vegas site with Bally's</w:t>
            </w:r>
          </w:p>
        </w:tc>
        <w:tc>
          <w:tcPr>
            <w:tcW w:w="13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$175 million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$48.5 million</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construction costs for Bally's Chicago</w:t>
            </w:r>
          </w:p>
        </w:tc>
        <w:tc>
          <w:tcPr>
            <w:tcW w:w="130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7"/>
                <w:szCs w:val="17"/>
                <w:color w:val="auto"/>
              </w:rPr>
              <w:t>$940 million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Funding and oversight of a landside move and hotel renovation at The Belle</w:t>
            </w:r>
          </w:p>
        </w:tc>
        <w:tc>
          <w:tcPr>
            <w:tcW w:w="13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$111 million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$43.5 million</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costs for a landside development project at Casino Queen Marquette</w:t>
            </w:r>
          </w:p>
        </w:tc>
        <w:tc>
          <w:tcPr>
            <w:tcW w:w="130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7"/>
                <w:szCs w:val="17"/>
                <w:color w:val="auto"/>
              </w:rPr>
              <w:t>$16.5 million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$0.7 million</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Ione Loan to fund a new casino development near Sacramento, California</w:t>
            </w:r>
          </w:p>
        </w:tc>
        <w:tc>
          <w:tcPr>
            <w:tcW w:w="13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$110 million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$18.4 million</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Call right to acquire Bally's Lincoln</w:t>
            </w:r>
          </w:p>
        </w:tc>
        <w:tc>
          <w:tcPr>
            <w:tcW w:w="130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7"/>
                <w:szCs w:val="17"/>
                <w:color w:val="auto"/>
              </w:rPr>
              <w:t>$735 million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3"/>
        <w:spacing w:after="0" w:line="271" w:lineRule="auto"/>
        <w:tabs>
          <w:tab w:leader="none" w:pos="24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agreed to fund, if requested by PENN at their sole discretion, on or before March 1, 2029, construction improvements in an amount not to exceed the greater of (i) the hard costs associated with the project and (ii) $150.0 million.</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10.</w:t>
        <w:tab/>
        <w:t>Revenue Recognition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 terms</w:t>
      </w:r>
    </w:p>
    <w:p>
      <w:pPr>
        <w:spacing w:after="0" w:line="288"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color w:val="auto"/>
        </w:rPr>
        <w:t>Under ASC 842, the Company is required at lease inception (and if applicable at a lease reassessment date) to determine the term of the lease. This requires concluding whether it is reasonably assured that our tenants will exercise their renewal options contained within the lease. The initial lease term is a key judgment that is utilized in the lease classification test to determine whether the lease is an operating lease, sales type lease or direct financing lease. The Company currently has not included tenant renewal options in its determination of the initial lease term. The Company assesses whether to include tenant renewal options in its calculation of the lease term based on several factors, including but not limited to, whether its tenants' leases represent substantially all of the tenants' earnings and revenues, the ability of its tenants to sell their leased operations for fair value and whether the initial term of its leases is for a significant period of time.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3" w:name="page24"/>
    <w:bookmarkEnd w:id="23"/>
    <w:p>
      <w:pPr>
        <w:ind w:left="620"/>
        <w:spacing w:after="0"/>
        <w:rPr>
          <w:sz w:val="20"/>
          <w:szCs w:val="20"/>
          <w:color w:val="auto"/>
        </w:rPr>
      </w:pPr>
      <w:r>
        <w:rPr>
          <w:rFonts w:ascii="Times New Roman" w:cs="Times New Roman" w:eastAsia="Times New Roman" w:hAnsi="Times New Roman"/>
          <w:sz w:val="17"/>
          <w:szCs w:val="17"/>
          <w:color w:val="auto"/>
        </w:rPr>
        <w:t>Details of the Company's income from real estate for the three months ended March 31, 2025 was as follows (in thousands):</w:t>
      </w:r>
    </w:p>
    <w:p>
      <w:pPr>
        <w:spacing w:after="0" w:line="22" w:lineRule="exact"/>
        <w:rPr>
          <w:sz w:val="20"/>
          <w:szCs w:val="20"/>
          <w:color w:val="auto"/>
        </w:rPr>
      </w:pPr>
    </w:p>
    <w:tbl>
      <w:tblPr>
        <w:tblLayout w:type="fixed"/>
        <w:tblInd w:w="308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r>
      <w:tr>
        <w:trPr>
          <w:trHeight w:val="187"/>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March 31, 2025</w:t>
            </w:r>
          </w:p>
        </w:tc>
      </w:tr>
      <w:tr>
        <w:trPr>
          <w:trHeight w:val="217"/>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 base rent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299,507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9"/>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Land base rent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49,523</w:t>
            </w:r>
          </w:p>
        </w:tc>
        <w:tc>
          <w:tcPr>
            <w:tcW w:w="120" w:type="dxa"/>
            <w:vAlign w:val="bottom"/>
          </w:tcPr>
          <w:p>
            <w:pPr>
              <w:spacing w:after="0"/>
              <w:rPr>
                <w:sz w:val="19"/>
                <w:szCs w:val="19"/>
                <w:color w:val="auto"/>
              </w:rPr>
            </w:pPr>
          </w:p>
        </w:tc>
      </w:tr>
      <w:tr>
        <w:trPr>
          <w:trHeight w:val="21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Percentage rent and other rental revenue</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18,109</w:t>
            </w:r>
          </w:p>
        </w:tc>
        <w:tc>
          <w:tcPr>
            <w:tcW w:w="120" w:type="dxa"/>
            <w:vAlign w:val="bottom"/>
            <w:shd w:val="clear" w:color="auto" w:fill="CCEEFF"/>
          </w:tcPr>
          <w:p>
            <w:pPr>
              <w:spacing w:after="0"/>
              <w:rPr>
                <w:sz w:val="19"/>
                <w:szCs w:val="19"/>
                <w:color w:val="auto"/>
              </w:rPr>
            </w:pPr>
          </w:p>
        </w:tc>
      </w:tr>
      <w:tr>
        <w:trPr>
          <w:trHeight w:val="219"/>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Interest income on real estate loans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120" w:type="dxa"/>
            <w:vAlign w:val="bottom"/>
            <w:tcBorders>
              <w:bottom w:val="single" w:sz="8" w:color="CCEEFF"/>
            </w:tcBorders>
          </w:tcPr>
          <w:p>
            <w:pPr>
              <w:spacing w:after="0"/>
              <w:rPr>
                <w:sz w:val="19"/>
                <w:szCs w:val="19"/>
                <w:color w:val="auto"/>
              </w:rPr>
            </w:pPr>
          </w:p>
        </w:tc>
      </w:tr>
      <w:tr>
        <w:trPr>
          <w:trHeight w:val="21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cash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370,598</w:t>
            </w:r>
          </w:p>
        </w:tc>
        <w:tc>
          <w:tcPr>
            <w:tcW w:w="120" w:type="dxa"/>
            <w:vAlign w:val="bottom"/>
            <w:shd w:val="clear" w:color="auto" w:fill="CCEEFF"/>
          </w:tcPr>
          <w:p>
            <w:pPr>
              <w:spacing w:after="0"/>
              <w:rPr>
                <w:sz w:val="18"/>
                <w:szCs w:val="18"/>
                <w:color w:val="auto"/>
              </w:rPr>
            </w:pPr>
          </w:p>
        </w:tc>
      </w:tr>
      <w:tr>
        <w:trPr>
          <w:trHeight w:val="219"/>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Straight-line rent adjustments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8,412</w:t>
            </w:r>
          </w:p>
        </w:tc>
        <w:tc>
          <w:tcPr>
            <w:tcW w:w="120" w:type="dxa"/>
            <w:vAlign w:val="bottom"/>
          </w:tcPr>
          <w:p>
            <w:pPr>
              <w:spacing w:after="0"/>
              <w:rPr>
                <w:sz w:val="19"/>
                <w:szCs w:val="19"/>
                <w:color w:val="auto"/>
              </w:rPr>
            </w:pPr>
          </w:p>
        </w:tc>
      </w:tr>
      <w:tr>
        <w:trPr>
          <w:trHeight w:val="21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Ground rent in revenue</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9,329</w:t>
            </w:r>
          </w:p>
        </w:tc>
        <w:tc>
          <w:tcPr>
            <w:tcW w:w="120" w:type="dxa"/>
            <w:vAlign w:val="bottom"/>
            <w:shd w:val="clear" w:color="auto" w:fill="CCEEFF"/>
          </w:tcPr>
          <w:p>
            <w:pPr>
              <w:spacing w:after="0"/>
              <w:rPr>
                <w:sz w:val="19"/>
                <w:szCs w:val="19"/>
                <w:color w:val="auto"/>
              </w:rPr>
            </w:pPr>
          </w:p>
        </w:tc>
      </w:tr>
      <w:tr>
        <w:trPr>
          <w:trHeight w:val="219"/>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Accretion on financing receivables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6,896</w:t>
            </w:r>
          </w:p>
        </w:tc>
        <w:tc>
          <w:tcPr>
            <w:tcW w:w="120" w:type="dxa"/>
            <w:vAlign w:val="bottom"/>
            <w:tcBorders>
              <w:bottom w:val="single" w:sz="8" w:color="CCEEFF"/>
            </w:tcBorders>
          </w:tcPr>
          <w:p>
            <w:pPr>
              <w:spacing w:after="0"/>
              <w:rPr>
                <w:sz w:val="19"/>
                <w:szCs w:val="19"/>
                <w:color w:val="auto"/>
              </w:rPr>
            </w:pPr>
          </w:p>
        </w:tc>
      </w:tr>
      <w:tr>
        <w:trPr>
          <w:trHeight w:val="237"/>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income from real estate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395,235</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As of March 31, 2025, the future minimum rental income from the Company's rental properties under non-cancelable operating leases, including any reasonably assured renewal periods, was as follows (in thousands):</w:t>
      </w:r>
    </w:p>
    <w:p>
      <w:pPr>
        <w:spacing w:after="0" w:line="9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Future Rental</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Straight-Line Rent</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Future Base Ground</w:t>
            </w:r>
          </w:p>
        </w:tc>
        <w:tc>
          <w:tcPr>
            <w:tcW w:w="100" w:type="dxa"/>
            <w:vAlign w:val="bottom"/>
          </w:tcPr>
          <w:p>
            <w:pPr>
              <w:spacing w:after="0"/>
              <w:rPr>
                <w:sz w:val="13"/>
                <w:szCs w:val="13"/>
                <w:color w:val="auto"/>
              </w:rPr>
            </w:pPr>
          </w:p>
        </w:tc>
        <w:tc>
          <w:tcPr>
            <w:tcW w:w="14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6"/>
              </w:rPr>
              <w:t>Future Income to be</w:t>
            </w:r>
          </w:p>
        </w:tc>
        <w:tc>
          <w:tcPr>
            <w:tcW w:w="0" w:type="dxa"/>
            <w:vAlign w:val="bottom"/>
          </w:tcPr>
          <w:p>
            <w:pPr>
              <w:spacing w:after="0"/>
              <w:rPr>
                <w:sz w:val="1"/>
                <w:szCs w:val="1"/>
                <w:color w:val="auto"/>
              </w:rPr>
            </w:pPr>
          </w:p>
        </w:tc>
      </w:tr>
      <w:tr>
        <w:trPr>
          <w:trHeight w:val="14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19"/>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Recognized Related to</w:t>
            </w: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138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Payments Receivable</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w w:val="97"/>
              </w:rPr>
              <w:t>Adjustments (1)</w:t>
            </w:r>
          </w:p>
        </w:tc>
        <w:tc>
          <w:tcPr>
            <w:tcW w:w="100" w:type="dxa"/>
            <w:vAlign w:val="bottom"/>
          </w:tcPr>
          <w:p>
            <w:pPr>
              <w:spacing w:after="0"/>
              <w:rPr>
                <w:sz w:val="12"/>
                <w:szCs w:val="12"/>
                <w:color w:val="auto"/>
              </w:rPr>
            </w:pPr>
          </w:p>
        </w:tc>
        <w:tc>
          <w:tcPr>
            <w:tcW w:w="12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Rents Receivable</w:t>
            </w:r>
          </w:p>
        </w:tc>
        <w:tc>
          <w:tcPr>
            <w:tcW w:w="100" w:type="dxa"/>
            <w:vAlign w:val="bottom"/>
          </w:tcPr>
          <w:p>
            <w:pPr>
              <w:spacing w:after="0"/>
              <w:rPr>
                <w:sz w:val="12"/>
                <w:szCs w:val="12"/>
                <w:color w:val="auto"/>
              </w:rPr>
            </w:pPr>
          </w:p>
        </w:tc>
        <w:tc>
          <w:tcPr>
            <w:tcW w:w="1400" w:type="dxa"/>
            <w:vAlign w:val="bottom"/>
          </w:tcPr>
          <w:p>
            <w:pPr>
              <w:jc w:val="center"/>
              <w:ind w:right="19"/>
              <w:spacing w:after="0" w:line="122" w:lineRule="exact"/>
              <w:rPr>
                <w:sz w:val="20"/>
                <w:szCs w:val="20"/>
                <w:color w:val="auto"/>
              </w:rPr>
            </w:pPr>
            <w:r>
              <w:rPr>
                <w:rFonts w:ascii="Times New Roman" w:cs="Times New Roman" w:eastAsia="Times New Roman" w:hAnsi="Times New Roman"/>
                <w:sz w:val="14"/>
                <w:szCs w:val="14"/>
                <w:b w:val="1"/>
                <w:bCs w:val="1"/>
                <w:color w:val="auto"/>
                <w:w w:val="97"/>
              </w:rPr>
              <w:t>Operating Leases</w:t>
            </w:r>
          </w:p>
        </w:tc>
        <w:tc>
          <w:tcPr>
            <w:tcW w:w="0" w:type="dxa"/>
            <w:vAlign w:val="bottom"/>
          </w:tcPr>
          <w:p>
            <w:pPr>
              <w:spacing w:after="0"/>
              <w:rPr>
                <w:sz w:val="1"/>
                <w:szCs w:val="1"/>
                <w:color w:val="auto"/>
              </w:rPr>
            </w:pPr>
          </w:p>
        </w:tc>
      </w:tr>
      <w:tr>
        <w:trPr>
          <w:trHeight w:val="32"/>
        </w:trPr>
        <w:tc>
          <w:tcPr>
            <w:tcW w:w="1540" w:type="dxa"/>
            <w:vAlign w:val="bottom"/>
            <w:tcBorders>
              <w:top w:val="single" w:sz="8" w:color="auto"/>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 (remainder of year)</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957,065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1,000,871</w:t>
            </w:r>
          </w:p>
        </w:tc>
        <w:tc>
          <w:tcPr>
            <w:tcW w:w="0" w:type="dxa"/>
            <w:vAlign w:val="bottom"/>
          </w:tcPr>
          <w:p>
            <w:pPr>
              <w:spacing w:after="0"/>
              <w:rPr>
                <w:sz w:val="1"/>
                <w:szCs w:val="1"/>
                <w:color w:val="auto"/>
              </w:rPr>
            </w:pPr>
          </w:p>
        </w:tc>
      </w:tr>
      <w:tr>
        <w:trPr>
          <w:trHeight w:val="219"/>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1,250,162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1,313,065</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2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1,240,426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1,301,771</w:t>
            </w:r>
          </w:p>
        </w:tc>
        <w:tc>
          <w:tcPr>
            <w:tcW w:w="0" w:type="dxa"/>
            <w:vAlign w:val="bottom"/>
          </w:tcPr>
          <w:p>
            <w:pPr>
              <w:spacing w:after="0"/>
              <w:rPr>
                <w:sz w:val="1"/>
                <w:szCs w:val="1"/>
                <w:color w:val="auto"/>
              </w:rPr>
            </w:pPr>
          </w:p>
        </w:tc>
      </w:tr>
      <w:tr>
        <w:trPr>
          <w:trHeight w:val="219"/>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1,242,572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1,296,910</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2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1,224,533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1,273,193</w:t>
            </w: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4,818,413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73,552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4,899,009</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10,733,171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205,590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146,058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11,084,819</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620" w:hanging="617"/>
        <w:spacing w:after="0" w:line="229" w:lineRule="auto"/>
        <w:tabs>
          <w:tab w:leader="none" w:pos="369"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 $3.6 million tenant improvement allowance that is being amortized over the life of a tenant lease and excludes deferred income on the Bally's Chicago Land Lease as the facility is under development and as such is not ready for its intended use.</w:t>
      </w:r>
    </w:p>
    <w:p>
      <w:pPr>
        <w:spacing w:after="0" w:line="12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See Note 3 for the future contractual cash receipts to be received by the Company under its Investment in leases.</w:t>
      </w:r>
    </w:p>
    <w:p>
      <w:pPr>
        <w:spacing w:after="0" w:line="1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may periodically loan funds to casino owner-operators for the purchase of real estate. Interest income related to real estate loans is recorded as revenue from real estate within the Company's consolidated statements of income in the period earned. See Note 5 for further details.</w:t>
      </w:r>
    </w:p>
    <w:p>
      <w:pPr>
        <w:spacing w:after="0" w:line="30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tab/>
        <w:t>Earnings Per Share</w:t>
      </w:r>
    </w:p>
    <w:p>
      <w:pPr>
        <w:spacing w:after="0" w:line="21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The Company calculates earnings per share ("EPS") in accordance with ASC 260 -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xml:space="preserve"> ("ASC 260"</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Basic EPS is computed by dividing net income applicable to common stock by the weighted-average number of common shares outstanding during the period, excluding net income attributable to participating securities. The Company's participating securities are related to certain employee equity awards that receive non-forfeitable dividends. Specifically, time based restricted stock awards receive non-forfeitable dividends equivalent to what common shareholders receive during these awards vesting periods. Diluted EPS for the Company's common stock is computed using the more dilutive of the two-class method or the treasury stock method. Diluted EPS reflects the additional dilution for all potentially-dilutive securities. The effect of the conversion of the LTIP Units and OP Units to common shares is excluded from the computation of basic and diluted earnings per share because the exchange of LTIP Units and OP Units into common stock is on a one-for-one basis and all net income attributable to the non-controlling interest holders are recorded as income attributable to non-controlling interests and thus is excluded from net income available to common shareholders. In accordance with ASC 260, the Company includes all</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auto"/>
        </w:rPr>
        <w:t>performance-based restricted shares that would have vested based upon the Company’s performance at quarter-end in the calculation of diluted EPS.</w:t>
      </w:r>
    </w:p>
    <w:p>
      <w:pPr>
        <w:spacing w:after="0" w:line="243" w:lineRule="exact"/>
        <w:rPr>
          <w:sz w:val="20"/>
          <w:szCs w:val="20"/>
          <w:color w:val="auto"/>
        </w:rPr>
      </w:pPr>
    </w:p>
    <w:p>
      <w:pPr>
        <w:ind w:firstLine="619"/>
        <w:spacing w:after="0" w:line="272" w:lineRule="auto"/>
        <w:rPr>
          <w:sz w:val="20"/>
          <w:szCs w:val="20"/>
          <w:color w:val="auto"/>
        </w:rPr>
      </w:pPr>
      <w:r>
        <w:rPr>
          <w:rFonts w:ascii="Times New Roman" w:cs="Times New Roman" w:eastAsia="Times New Roman" w:hAnsi="Times New Roman"/>
          <w:sz w:val="17"/>
          <w:szCs w:val="17"/>
          <w:color w:val="auto"/>
        </w:rPr>
        <w:t>The following table reconciles the weighted-average common shares outstanding used in the calculation of basic EPS to the weighted-average common shares outstanding used in the calculation of diluted EPS for the three months ended March 31, 2025 and 2024:</w:t>
      </w:r>
    </w:p>
    <w:tbl>
      <w:tblPr>
        <w:tblLayout w:type="fixed"/>
        <w:tblInd w:w="1680" w:type="dxa"/>
        <w:tblCellMar>
          <w:top w:w="0" w:type="dxa"/>
          <w:left w:w="0" w:type="dxa"/>
          <w:bottom w:w="0" w:type="dxa"/>
          <w:right w:w="0" w:type="dxa"/>
        </w:tblCellMar>
      </w:tblPr>
      <w:tr>
        <w:trPr>
          <w:trHeight w:val="182"/>
        </w:trPr>
        <w:tc>
          <w:tcPr>
            <w:tcW w:w="5100" w:type="dxa"/>
            <w:vAlign w:val="bottom"/>
          </w:tcPr>
          <w:p>
            <w:pPr>
              <w:spacing w:after="0"/>
              <w:rPr>
                <w:sz w:val="15"/>
                <w:szCs w:val="15"/>
                <w:color w:val="auto"/>
              </w:rPr>
            </w:pPr>
          </w:p>
        </w:tc>
        <w:tc>
          <w:tcPr>
            <w:tcW w:w="31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5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5100" w:type="dxa"/>
            <w:vAlign w:val="bottom"/>
          </w:tcPr>
          <w:p>
            <w:pPr>
              <w:spacing w:after="0"/>
              <w:rPr>
                <w:sz w:val="15"/>
                <w:szCs w:val="15"/>
                <w:color w:val="auto"/>
              </w:rPr>
            </w:pPr>
          </w:p>
        </w:tc>
        <w:tc>
          <w:tcPr>
            <w:tcW w:w="14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r>
      <w:tr>
        <w:trPr>
          <w:trHeight w:val="186"/>
        </w:trPr>
        <w:tc>
          <w:tcPr>
            <w:tcW w:w="5100" w:type="dxa"/>
            <w:vAlign w:val="bottom"/>
          </w:tcPr>
          <w:p>
            <w:pPr>
              <w:spacing w:after="0"/>
              <w:rPr>
                <w:sz w:val="16"/>
                <w:szCs w:val="16"/>
                <w:color w:val="auto"/>
              </w:rPr>
            </w:pPr>
          </w:p>
        </w:tc>
        <w:tc>
          <w:tcPr>
            <w:tcW w:w="206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Determination of shares:</w:t>
            </w: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9"/>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274,827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271,490</w:t>
            </w:r>
          </w:p>
        </w:tc>
        <w:tc>
          <w:tcPr>
            <w:tcW w:w="120" w:type="dxa"/>
            <w:vAlign w:val="bottom"/>
          </w:tcPr>
          <w:p>
            <w:pPr>
              <w:spacing w:after="0"/>
              <w:rPr>
                <w:sz w:val="19"/>
                <w:szCs w:val="19"/>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Assumed conversion of restricted stock awards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shd w:val="clear" w:color="auto" w:fill="CCEEFF"/>
          </w:tcPr>
          <w:p>
            <w:pPr>
              <w:spacing w:after="0"/>
              <w:rPr>
                <w:sz w:val="19"/>
                <w:szCs w:val="19"/>
                <w:color w:val="auto"/>
              </w:rPr>
            </w:pPr>
          </w:p>
        </w:tc>
      </w:tr>
      <w:tr>
        <w:trPr>
          <w:trHeight w:val="219"/>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Assumed conversion of performance-based restricted stock awards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20" w:type="dxa"/>
            <w:vAlign w:val="bottom"/>
          </w:tcPr>
          <w:p>
            <w:pPr>
              <w:spacing w:after="0"/>
              <w:rPr>
                <w:sz w:val="19"/>
                <w:szCs w:val="19"/>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Dilution attributable to equity forward contract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weighted-average common shares outstanding</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275,403</w:t>
            </w: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272,026</w:t>
            </w:r>
          </w:p>
        </w:tc>
        <w:tc>
          <w:tcPr>
            <w:tcW w:w="12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calculation of basic and diluted EPS for the Company’s common stock for the three months ended March 31, 2025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w:t>
      </w:r>
    </w:p>
    <w:p>
      <w:pPr>
        <w:spacing w:after="0" w:line="25" w:lineRule="exact"/>
        <w:rPr>
          <w:sz w:val="20"/>
          <w:szCs w:val="20"/>
          <w:color w:val="auto"/>
        </w:rPr>
      </w:pPr>
    </w:p>
    <w:tbl>
      <w:tblPr>
        <w:tblLayout w:type="fixed"/>
        <w:tblInd w:w="1680"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5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r>
      <w:tr>
        <w:trPr>
          <w:trHeight w:val="186"/>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Calculation of basic EPS: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165,184</w:t>
            </w:r>
          </w:p>
        </w:tc>
        <w:tc>
          <w:tcPr>
            <w:tcW w:w="1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174,464</w:t>
            </w:r>
          </w:p>
        </w:tc>
        <w:tc>
          <w:tcPr>
            <w:tcW w:w="120" w:type="dxa"/>
            <w:vAlign w:val="bottom"/>
          </w:tcPr>
          <w:p>
            <w:pPr>
              <w:spacing w:after="0"/>
              <w:rPr>
                <w:sz w:val="19"/>
                <w:szCs w:val="19"/>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allocated to participating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shd w:val="clear" w:color="auto" w:fill="CCEEFF"/>
          </w:tcPr>
          <w:p>
            <w:pPr>
              <w:spacing w:after="0"/>
              <w:rPr>
                <w:sz w:val="19"/>
                <w:szCs w:val="19"/>
                <w:color w:val="auto"/>
              </w:rPr>
            </w:pPr>
          </w:p>
        </w:tc>
      </w:tr>
      <w:tr>
        <w:trPr>
          <w:trHeight w:val="212"/>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for earnings per share purposes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165,036</w:t>
            </w:r>
          </w:p>
        </w:tc>
        <w:tc>
          <w:tcPr>
            <w:tcW w:w="12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174,389</w:t>
            </w:r>
          </w:p>
        </w:tc>
        <w:tc>
          <w:tcPr>
            <w:tcW w:w="120" w:type="dxa"/>
            <w:vAlign w:val="bottom"/>
          </w:tcPr>
          <w:p>
            <w:pPr>
              <w:spacing w:after="0"/>
              <w:rPr>
                <w:sz w:val="18"/>
                <w:szCs w:val="18"/>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271,490</w:t>
            </w:r>
          </w:p>
        </w:tc>
        <w:tc>
          <w:tcPr>
            <w:tcW w:w="120" w:type="dxa"/>
            <w:vAlign w:val="bottom"/>
            <w:shd w:val="clear" w:color="auto" w:fill="CCEEFF"/>
          </w:tcPr>
          <w:p>
            <w:pPr>
              <w:spacing w:after="0"/>
              <w:rPr>
                <w:sz w:val="19"/>
                <w:szCs w:val="19"/>
                <w:color w:val="auto"/>
              </w:rPr>
            </w:pP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EPS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1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20" w:type="dxa"/>
            <w:vAlign w:val="bottom"/>
          </w:tcPr>
          <w:p>
            <w:pPr>
              <w:spacing w:after="0"/>
              <w:rPr>
                <w:sz w:val="19"/>
                <w:szCs w:val="19"/>
                <w:color w:val="auto"/>
              </w:rPr>
            </w:pPr>
          </w:p>
        </w:tc>
      </w:tr>
      <w:tr>
        <w:trPr>
          <w:trHeight w:val="206"/>
        </w:trPr>
        <w:tc>
          <w:tcPr>
            <w:tcW w:w="5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Calculation of diluted EPS: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174,464</w:t>
            </w:r>
          </w:p>
        </w:tc>
        <w:tc>
          <w:tcPr>
            <w:tcW w:w="120" w:type="dxa"/>
            <w:vAlign w:val="bottom"/>
            <w:shd w:val="clear" w:color="auto" w:fill="CCEEFF"/>
          </w:tcPr>
          <w:p>
            <w:pPr>
              <w:spacing w:after="0"/>
              <w:rPr>
                <w:sz w:val="19"/>
                <w:szCs w:val="19"/>
                <w:color w:val="auto"/>
              </w:rPr>
            </w:pP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weighted-average common shares outstanding</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275,403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272,026</w:t>
            </w:r>
          </w:p>
        </w:tc>
        <w:tc>
          <w:tcPr>
            <w:tcW w:w="120" w:type="dxa"/>
            <w:vAlign w:val="bottom"/>
          </w:tcPr>
          <w:p>
            <w:pPr>
              <w:spacing w:after="0"/>
              <w:rPr>
                <w:sz w:val="19"/>
                <w:szCs w:val="19"/>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20" w:type="dxa"/>
            <w:vAlign w:val="bottom"/>
            <w:shd w:val="clear" w:color="auto" w:fill="CCEEFF"/>
          </w:tcPr>
          <w:p>
            <w:pPr>
              <w:spacing w:after="0"/>
              <w:rPr>
                <w:sz w:val="19"/>
                <w:szCs w:val="19"/>
                <w:color w:val="auto"/>
              </w:rPr>
            </w:pPr>
          </w:p>
        </w:tc>
      </w:tr>
      <w:tr>
        <w:trPr>
          <w:trHeight w:val="206"/>
        </w:trPr>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8"/>
        </w:trPr>
        <w:tc>
          <w:tcPr>
            <w:tcW w:w="50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Antidilutive securities excluded from the computation of diluted</w:t>
            </w: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32"/>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5" w:name="page26"/>
    <w:bookmarkEnd w:id="25"/>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12.</w:t>
        <w:tab/>
        <w:t>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issuance</w:t>
      </w:r>
    </w:p>
    <w:p>
      <w:pPr>
        <w:spacing w:after="0" w:line="247"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On December 21, 2022, the Company commenced a continuous equity offering under which the Company may sell up to an aggregate of $1.0 billion of its common stock from time to time through a sales agent in "at the market" offerings (the "2022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2022 ATM Program. The 2022 ATM Program also allows the Company to enter into forward sale agreements. In no event will the aggregate number of shares sold under the 2022 ATM Program (whether under any forward sale agreement or through a sales agent), have an aggregate sales price in excess of $1.0 billion.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cash proceeds may or may not be received or cash may be owed to the forward purchaser.</w:t>
      </w:r>
    </w:p>
    <w:p>
      <w:pPr>
        <w:spacing w:after="0" w:line="201"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In connection with the 2022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 During the three months ended March 31, 2024, the Company sold 0.2 million shares of its common stock under the 2022 ATM Program which raised net proceeds of $9.0 million. The Company has entered into a forward sale agreement to sell 8,170,387 shares for a net sales price of $409.3 million subject to certain contractual adjustments. Settlement of this forward sale agreement is expected to occur in June 2025. No amounts have been recorded on the Company's balance sheet with respect to these forward sale agreements. Reflecting the impact of these forward sale agreements, the Company had $34.2 million remaining for issuance under the 2022 ATM Program at March 31, 2025.</w:t>
      </w:r>
    </w:p>
    <w:p>
      <w:pPr>
        <w:spacing w:after="0" w:line="398"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The forward sale agreements require the Company to, at its election prior to one year from the commencement of each forward sale agreement, physically settle the transactions by issuing shares of its common stock to the forward counterparty in exchange for net proceeds at the then applicable forward sale price specified by the forward sale agreements. The forward sale</w:t>
      </w:r>
    </w:p>
    <w:p>
      <w:pPr>
        <w:ind w:right="2580"/>
        <w:spacing w:after="0" w:line="249" w:lineRule="auto"/>
        <w:rPr>
          <w:sz w:val="20"/>
          <w:szCs w:val="20"/>
          <w:color w:val="auto"/>
        </w:rPr>
      </w:pPr>
      <w:r>
        <w:rPr>
          <w:rFonts w:ascii="Times New Roman" w:cs="Times New Roman" w:eastAsia="Times New Roman" w:hAnsi="Times New Roman"/>
          <w:sz w:val="17"/>
          <w:szCs w:val="17"/>
          <w:color w:val="auto"/>
        </w:rPr>
        <w:t>price is subject to adjustment on a daily basis based on a floating interest rate factor and will decrease by other specified fixed amounts.</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Until settlement of the forward sale agreements (which contractually matures in the third quarter of 2025 but may be</w:t>
      </w:r>
    </w:p>
    <w:p>
      <w:pPr>
        <w:spacing w:after="0" w:line="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settled prior to this time period at the Company's election), earnings per share dilution resulting from the forward sale agreements will be determined under the treasury stock method. Share dilution occurs when the average market price of the Company's common stock is higher than the average forward sales price (which is reduced by the maximum specified fixed amounts in the contracts).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Non-controlling interests</w:t>
      </w:r>
    </w:p>
    <w:p>
      <w:pPr>
        <w:spacing w:after="0" w:line="234"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17"/>
          <w:szCs w:val="17"/>
          <w:color w:val="auto"/>
        </w:rPr>
        <w:t>As partial consideration for the closing of various real property assets over the past few years, the Company's operating partnership has issued OP Units. The OP Units are exchangeable for common shares of the Company on a one-for-one basis, subject to certain terms and conditions. As partial consideration for the closing of the real property assets under the Tioga Downs Lease that occurred on February 6, 2024, the Company’s operating partnership issued 434,304 newly-issued OP units to an affiliate of Tioga Downs which were valued at $19.6 million. As of March 31, 2025, the Company holds a 97.0%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Sheets. The Company paid $6.3 million and $6.1 million in distributions to the non-controlling interest holders concurrently with the dividends paid to the Company's common shareholders, during the three month periods ended March 31, 2025 and March 31, 2024, respectively.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6" w:name="page27"/>
    <w:bookmarkEnd w:id="26"/>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Company’s net income or loss is allocated to noncontrolling interests based on the respective ownership or voting percentage in the Operating Partnership associated with such noncontrolling interests and is removed from consolidated income or loss on the Condensed Consolidated Statements of Operations in order to derive net income or loss attributable to common stockholders. The noncontrolling ownership percentage is calculated by dividing the aggregate number of LTIP Units and OP Units by the total number of units and shares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lists the dividends declared and paid by the Company during the three months ended March 31, 2025 and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2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Shareholder Record Date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Dividend</w:t>
            </w:r>
          </w:p>
        </w:tc>
        <w:tc>
          <w:tcPr>
            <w:tcW w:w="1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5"/>
                <w:szCs w:val="15"/>
                <w:b w:val="1"/>
                <w:bCs w:val="1"/>
                <w:color w:val="auto"/>
              </w:rPr>
              <w:t>Period Covered</w:t>
            </w:r>
          </w:p>
        </w:tc>
        <w:tc>
          <w:tcPr>
            <w:tcW w:w="20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5"/>
                <w:szCs w:val="15"/>
                <w:b w:val="1"/>
                <w:bCs w:val="1"/>
                <w:color w:val="auto"/>
              </w:rPr>
              <w:t>Distribution Date</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Dividend Amount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Class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80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w w:val="93"/>
              </w:rPr>
              <w:t>2025</w:t>
            </w:r>
          </w:p>
        </w:tc>
        <w:tc>
          <w:tcPr>
            <w:tcW w:w="1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5"/>
                <w:szCs w:val="15"/>
                <w:color w:val="auto"/>
              </w:rPr>
              <w:t>February 13, 2025</w:t>
            </w: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March 14, 2025</w:t>
            </w:r>
          </w:p>
        </w:tc>
        <w:tc>
          <w:tcPr>
            <w:tcW w:w="104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5"/>
                <w:szCs w:val="15"/>
                <w:color w:val="auto"/>
              </w:rPr>
              <w:t>Common</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100" w:type="dxa"/>
            <w:vAlign w:val="bottom"/>
          </w:tcPr>
          <w:p>
            <w:pPr>
              <w:spacing w:after="0"/>
              <w:rPr>
                <w:sz w:val="13"/>
                <w:szCs w:val="13"/>
                <w:color w:val="auto"/>
              </w:rPr>
            </w:pP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First Quarter 2025</w:t>
            </w: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March 28, 2025</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$208,873</w:t>
            </w:r>
          </w:p>
        </w:tc>
        <w:tc>
          <w:tcPr>
            <w:tcW w:w="0" w:type="dxa"/>
            <w:vAlign w:val="bottom"/>
          </w:tcPr>
          <w:p>
            <w:pPr>
              <w:spacing w:after="0"/>
              <w:rPr>
                <w:sz w:val="1"/>
                <w:szCs w:val="1"/>
                <w:color w:val="auto"/>
              </w:rPr>
            </w:pPr>
          </w:p>
        </w:tc>
      </w:tr>
      <w:tr>
        <w:trPr>
          <w:trHeight w:val="203"/>
        </w:trPr>
        <w:tc>
          <w:tcPr>
            <w:tcW w:w="1960" w:type="dxa"/>
            <w:vAlign w:val="bottom"/>
            <w:gridSpan w:val="4"/>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Stock</w:t>
            </w: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line="168" w:lineRule="exact"/>
              <w:rPr>
                <w:sz w:val="20"/>
                <w:szCs w:val="20"/>
                <w:color w:val="auto"/>
              </w:rPr>
            </w:pPr>
            <w:r>
              <w:rPr>
                <w:rFonts w:ascii="Times New Roman" w:cs="Times New Roman" w:eastAsia="Times New Roman" w:hAnsi="Times New Roman"/>
                <w:sz w:val="15"/>
                <w:szCs w:val="15"/>
                <w:b w:val="1"/>
                <w:bCs w:val="1"/>
                <w:color w:val="auto"/>
                <w:w w:val="93"/>
              </w:rPr>
              <w:t>2024</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96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February 26, 2024</w:t>
            </w:r>
          </w:p>
        </w:tc>
        <w:tc>
          <w:tcPr>
            <w:tcW w:w="2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15, 2024</w:t>
            </w:r>
          </w:p>
        </w:tc>
        <w:tc>
          <w:tcPr>
            <w:tcW w:w="1040" w:type="dxa"/>
            <w:vAlign w:val="bottom"/>
            <w:gridSpan w:val="2"/>
            <w:shd w:val="clear" w:color="auto" w:fill="CCEEFF"/>
          </w:tcPr>
          <w:p>
            <w:pPr>
              <w:jc w:val="center"/>
              <w:ind w:right="100"/>
              <w:spacing w:after="0" w:line="165" w:lineRule="exact"/>
              <w:rPr>
                <w:sz w:val="20"/>
                <w:szCs w:val="20"/>
                <w:color w:val="auto"/>
              </w:rPr>
            </w:pPr>
            <w:r>
              <w:rPr>
                <w:rFonts w:ascii="Times New Roman" w:cs="Times New Roman" w:eastAsia="Times New Roman" w:hAnsi="Times New Roman"/>
                <w:sz w:val="15"/>
                <w:szCs w:val="15"/>
                <w:color w:val="auto"/>
              </w:rPr>
              <w:t>Common</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10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First Quarter 2024</w:t>
            </w:r>
          </w:p>
        </w:tc>
        <w:tc>
          <w:tcPr>
            <w:tcW w:w="2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29, 2024</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$206,340</w:t>
            </w:r>
          </w:p>
        </w:tc>
        <w:tc>
          <w:tcPr>
            <w:tcW w:w="0" w:type="dxa"/>
            <w:vAlign w:val="bottom"/>
          </w:tcPr>
          <w:p>
            <w:pPr>
              <w:spacing w:after="0"/>
              <w:rPr>
                <w:sz w:val="1"/>
                <w:szCs w:val="1"/>
                <w:color w:val="auto"/>
              </w:rPr>
            </w:pPr>
          </w:p>
        </w:tc>
      </w:tr>
      <w:tr>
        <w:trPr>
          <w:trHeight w:val="205"/>
        </w:trPr>
        <w:tc>
          <w:tcPr>
            <w:tcW w:w="1960" w:type="dxa"/>
            <w:vAlign w:val="bottom"/>
            <w:gridSpan w:val="4"/>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Stock</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addition, for the three months ended March 31, 2025 and March 31, 2024, dividend payments were made to GLPI restricted stock award holders in the amount of $0.2 million and $0.2 million, respectively.</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13.</w:t>
        <w:tab/>
        <w:t>Stock-Based Compensation</w:t>
      </w:r>
    </w:p>
    <w:p>
      <w:pPr>
        <w:spacing w:after="0" w:line="21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 xml:space="preserve">The Company accounts for stock compensation under ASC 718 -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and time-based LTIP awards are equivalent to the closing stock price on the day prior to grant. The Company utilizes a third party valuation firm to measure the fair value of performance-based restricted stock awards and performance-based LTIP awards at the grant date using a Monte Carlo simulation model.</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March 31, 2025, there was $7.0 million of total unrecognized compensation cost for time based restricted stock awards that will be recognized over the grants' remaining weighted average vesting period of 1.53 years. For the three months ended March 31, 2025, the Company recognized $2.2 million of compensation expense associated with these awards, compared to $4.2 million for the three months ended March 31, 2024, within general and administrative expenses on the condensed consolidated statements of income.</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time based restricted stock award activity for the three months ended March 31, 2025:</w:t>
      </w:r>
    </w:p>
    <w:p>
      <w:pPr>
        <w:spacing w:after="0" w:line="22"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Award</w:t>
            </w:r>
          </w:p>
        </w:tc>
      </w:tr>
      <w:tr>
        <w:trPr>
          <w:trHeight w:val="187"/>
        </w:trPr>
        <w:tc>
          <w:tcPr>
            <w:tcW w:w="464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r>
      <w:tr>
        <w:trPr>
          <w:trHeight w:val="21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860" w:type="dxa"/>
            <w:vAlign w:val="bottom"/>
            <w:shd w:val="clear" w:color="auto" w:fill="CCEEFF"/>
          </w:tcPr>
          <w:p>
            <w:pPr>
              <w:jc w:val="center"/>
              <w:ind w:left="1060"/>
              <w:spacing w:after="0"/>
              <w:rPr>
                <w:sz w:val="20"/>
                <w:szCs w:val="20"/>
                <w:color w:val="auto"/>
              </w:rPr>
            </w:pPr>
            <w:r>
              <w:rPr>
                <w:rFonts w:ascii="Times New Roman" w:cs="Times New Roman" w:eastAsia="Times New Roman" w:hAnsi="Times New Roman"/>
                <w:sz w:val="17"/>
                <w:szCs w:val="17"/>
                <w:color w:val="auto"/>
              </w:rPr>
              <w:t>284,843</w:t>
            </w: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860" w:type="dxa"/>
            <w:vAlign w:val="bottom"/>
          </w:tcPr>
          <w:p>
            <w:pPr>
              <w:jc w:val="center"/>
              <w:ind w:left="1060"/>
              <w:spacing w:after="0"/>
              <w:rPr>
                <w:sz w:val="20"/>
                <w:szCs w:val="20"/>
                <w:color w:val="auto"/>
              </w:rPr>
            </w:pPr>
            <w:r>
              <w:rPr>
                <w:rFonts w:ascii="Times New Roman" w:cs="Times New Roman" w:eastAsia="Times New Roman" w:hAnsi="Times New Roman"/>
                <w:sz w:val="17"/>
                <w:szCs w:val="17"/>
                <w:color w:val="auto"/>
              </w:rPr>
              <w:t>191,307</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Released</w:t>
            </w:r>
          </w:p>
        </w:tc>
        <w:tc>
          <w:tcPr>
            <w:tcW w:w="1860" w:type="dxa"/>
            <w:vAlign w:val="bottom"/>
            <w:tcBorders>
              <w:bottom w:val="single" w:sz="8" w:color="auto"/>
            </w:tcBorders>
            <w:shd w:val="clear" w:color="auto" w:fill="CCEEFF"/>
          </w:tcPr>
          <w:p>
            <w:pPr>
              <w:jc w:val="center"/>
              <w:ind w:left="1040"/>
              <w:spacing w:after="0"/>
              <w:rPr>
                <w:sz w:val="20"/>
                <w:szCs w:val="20"/>
                <w:color w:val="auto"/>
              </w:rPr>
            </w:pPr>
            <w:r>
              <w:rPr>
                <w:rFonts w:ascii="Times New Roman" w:cs="Times New Roman" w:eastAsia="Times New Roman" w:hAnsi="Times New Roman"/>
                <w:sz w:val="17"/>
                <w:szCs w:val="17"/>
                <w:color w:val="auto"/>
                <w:w w:val="99"/>
              </w:rPr>
              <w:t>(229,662)</w:t>
            </w: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March 31, 2025</w:t>
            </w:r>
          </w:p>
        </w:tc>
        <w:tc>
          <w:tcPr>
            <w:tcW w:w="1860" w:type="dxa"/>
            <w:vAlign w:val="bottom"/>
            <w:tcBorders>
              <w:bottom w:val="single" w:sz="8" w:color="auto"/>
            </w:tcBorders>
          </w:tcPr>
          <w:p>
            <w:pPr>
              <w:jc w:val="center"/>
              <w:ind w:left="1060"/>
              <w:spacing w:after="0"/>
              <w:rPr>
                <w:sz w:val="20"/>
                <w:szCs w:val="20"/>
                <w:color w:val="auto"/>
              </w:rPr>
            </w:pPr>
            <w:r>
              <w:rPr>
                <w:rFonts w:ascii="Times New Roman" w:cs="Times New Roman" w:eastAsia="Times New Roman" w:hAnsi="Times New Roman"/>
                <w:sz w:val="17"/>
                <w:szCs w:val="17"/>
                <w:color w:val="auto"/>
              </w:rPr>
              <w:t>246,488</w:t>
            </w:r>
          </w:p>
        </w:tc>
      </w:tr>
      <w:tr>
        <w:trPr>
          <w:trHeight w:val="20"/>
        </w:trPr>
        <w:tc>
          <w:tcPr>
            <w:tcW w:w="46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March 31, 2025, there was $18.2 million of total unrecognized compensation cost, which will be recognized over the performance-based restricted stock awards' remaining weighted average vesting period of 1.81 years. For the three months ended March 31, 2025,</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7" w:name="page28"/>
    <w:bookmarkEnd w:id="27"/>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recognized $3.1 million of compensation expense associated with these awards within general and administrative expenses on the condensed consolidated statements of income compared to $3.9 million for the corresponding periods in the prior year.</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performance-based restricted stock award activity for the three months ended March 31, 2025:</w:t>
      </w:r>
    </w:p>
    <w:p>
      <w:pPr>
        <w:spacing w:after="0" w:line="200" w:lineRule="exact"/>
        <w:rPr>
          <w:sz w:val="20"/>
          <w:szCs w:val="20"/>
          <w:color w:val="auto"/>
        </w:rPr>
      </w:pPr>
    </w:p>
    <w:p>
      <w:pPr>
        <w:spacing w:after="0" w:line="286"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Performance-Based Award</w:t>
            </w:r>
          </w:p>
        </w:tc>
      </w:tr>
      <w:tr>
        <w:trPr>
          <w:trHeight w:val="187"/>
        </w:trPr>
        <w:tc>
          <w:tcPr>
            <w:tcW w:w="464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1,537,000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205,000</w:t>
            </w:r>
          </w:p>
        </w:tc>
      </w:tr>
      <w:tr>
        <w:trPr>
          <w:trHeight w:val="21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Released</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(488,500)</w:t>
            </w:r>
          </w:p>
        </w:tc>
      </w:tr>
      <w:tr>
        <w:trPr>
          <w:trHeight w:val="219"/>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Canceled</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(11,500)</w:t>
            </w:r>
          </w:p>
        </w:tc>
      </w:tr>
      <w:tr>
        <w:trPr>
          <w:trHeight w:val="237"/>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March 31, 2025</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1,242,000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March 31, 2025, there was $1.3 million of total unrecognized compensation cost for time based LTIP awards that will be recognized over the grants' remaining weighted average vesting period of 2.76 years. For the three months ended March 31, 2025, the Company recognized $2.8 million of compensation expense associated with these awards within general and administrative expenses on the condensed consolidated statements of income and noncontrolling interests on the Company's condensed consolidated balance sheet.</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time based LTIP award activity for the three months ended March 31, 2025:</w:t>
      </w:r>
    </w:p>
    <w:p>
      <w:pPr>
        <w:spacing w:after="0" w:line="21"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1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Number of Time-Based LTIP</w:t>
            </w:r>
          </w:p>
        </w:tc>
      </w:tr>
      <w:tr>
        <w:trPr>
          <w:trHeight w:val="188"/>
        </w:trPr>
        <w:tc>
          <w:tcPr>
            <w:tcW w:w="414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Awards</w:t>
            </w:r>
          </w:p>
        </w:tc>
      </w:tr>
      <w:tr>
        <w:trPr>
          <w:trHeight w:val="21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85,000</w:t>
            </w: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Released</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Canceled</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March 31, 2025</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85,000</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Performance-based LTIP awards were issued in the three month period ended March 31, 2025 and have a three-year cliff vesting with the amount of LTIP awards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March 31, 2025, there was $8.6 million of total unrecognized compensation cost, which will be recognized over the performance-based LTIP awards' remaining weighted average vesting period of 2.76 years. For the three months ended March 31, 2025, the Company recognized $0.8 million of compensation expense associated with these awards within general and administrative expenses on the condensed consolidated statements of income and noncontrolling interests on the Company's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8" w:name="page29"/>
    <w:bookmarkEnd w:id="28"/>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performance-based LTIP award activity for the three months ended March 31, 2025:</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4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Number of Performance-Based LTIP</w:t>
            </w:r>
          </w:p>
        </w:tc>
        <w:tc>
          <w:tcPr>
            <w:tcW w:w="0" w:type="dxa"/>
            <w:vAlign w:val="bottom"/>
          </w:tcPr>
          <w:p>
            <w:pPr>
              <w:spacing w:after="0"/>
              <w:rPr>
                <w:sz w:val="1"/>
                <w:szCs w:val="1"/>
                <w:color w:val="auto"/>
              </w:rPr>
            </w:pPr>
          </w:p>
        </w:tc>
      </w:tr>
      <w:tr>
        <w:trPr>
          <w:trHeight w:val="187"/>
        </w:trPr>
        <w:tc>
          <w:tcPr>
            <w:tcW w:w="2100" w:type="dxa"/>
            <w:vAlign w:val="bottom"/>
          </w:tcPr>
          <w:p>
            <w:pPr>
              <w:spacing w:after="0"/>
              <w:rPr>
                <w:sz w:val="16"/>
                <w:szCs w:val="16"/>
                <w:color w:val="auto"/>
              </w:rPr>
            </w:pPr>
          </w:p>
        </w:tc>
        <w:tc>
          <w:tcPr>
            <w:tcW w:w="464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17"/>
        </w:trPr>
        <w:tc>
          <w:tcPr>
            <w:tcW w:w="21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10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340,000</w:t>
            </w:r>
          </w:p>
        </w:tc>
        <w:tc>
          <w:tcPr>
            <w:tcW w:w="0" w:type="dxa"/>
            <w:vAlign w:val="bottom"/>
          </w:tcPr>
          <w:p>
            <w:pPr>
              <w:spacing w:after="0"/>
              <w:rPr>
                <w:sz w:val="1"/>
                <w:szCs w:val="1"/>
                <w:color w:val="auto"/>
              </w:rPr>
            </w:pPr>
          </w:p>
        </w:tc>
      </w:tr>
      <w:tr>
        <w:trPr>
          <w:trHeight w:val="219"/>
        </w:trPr>
        <w:tc>
          <w:tcPr>
            <w:tcW w:w="210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Released</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100" w:type="dxa"/>
            <w:vAlign w:val="bottom"/>
          </w:tcPr>
          <w:p>
            <w:pPr>
              <w:spacing w:after="0"/>
              <w:rPr>
                <w:sz w:val="19"/>
                <w:szCs w:val="19"/>
                <w:color w:val="auto"/>
              </w:rPr>
            </w:pPr>
          </w:p>
        </w:tc>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Canceled</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10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March 31, 2025</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340,000</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14.  Supplemental Disclosures of Cash Flow Information and Noncash Activities</w:t>
            </w: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740" w:type="dxa"/>
            <w:vAlign w:val="bottom"/>
            <w:gridSpan w:val="2"/>
            <w:vMerge w:val="continue"/>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7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Supplemental disclosures of cash flow information are as follows:</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27940</wp:posOffset>
            </wp:positionV>
            <wp:extent cx="16865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5" w:lineRule="exact"/>
        <w:rPr>
          <w:sz w:val="20"/>
          <w:szCs w:val="20"/>
          <w:color w:val="auto"/>
        </w:rPr>
      </w:pPr>
    </w:p>
    <w:p>
      <w:pPr>
        <w:ind w:left="5660"/>
        <w:spacing w:after="0"/>
        <w:tabs>
          <w:tab w:leader="none" w:pos="70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27940</wp:posOffset>
            </wp:positionV>
            <wp:extent cx="17602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60220" cy="8255"/>
                    </a:xfrm>
                    <a:prstGeom prst="rect">
                      <a:avLst/>
                    </a:prstGeom>
                    <a:noFill/>
                  </pic:spPr>
                </pic:pic>
              </a:graphicData>
            </a:graphic>
          </wp:anchor>
        </w:drawing>
      </w:r>
    </w:p>
    <w:p>
      <w:pPr>
        <w:spacing w:after="0" w:line="2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0" w:lineRule="exact"/>
        <w:rPr>
          <w:sz w:val="20"/>
          <w:szCs w:val="20"/>
          <w:color w:val="auto"/>
        </w:rPr>
      </w:pPr>
    </w:p>
    <w:p>
      <w:pPr>
        <w:ind w:left="640"/>
        <w:spacing w:after="0"/>
        <w:tabs>
          <w:tab w:leader="none" w:pos="5180" w:val="left"/>
          <w:tab w:leader="none" w:pos="5780" w:val="left"/>
          <w:tab w:leader="none" w:pos="6540" w:val="left"/>
          <w:tab w:leader="none" w:pos="7260" w:val="left"/>
        </w:tabs>
        <w:rPr>
          <w:sz w:val="20"/>
          <w:szCs w:val="20"/>
          <w:color w:val="auto"/>
        </w:rPr>
      </w:pPr>
      <w:r>
        <w:rPr>
          <w:rFonts w:ascii="Times New Roman" w:cs="Times New Roman" w:eastAsia="Times New Roman" w:hAnsi="Times New Roman"/>
          <w:sz w:val="17"/>
          <w:szCs w:val="17"/>
          <w:color w:val="auto"/>
        </w:rPr>
        <w:t>Cash paid for interest</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125,872</w:t>
        <w:tab/>
        <w:t>$</w:t>
      </w:r>
      <w:r>
        <w:rPr>
          <w:sz w:val="20"/>
          <w:szCs w:val="20"/>
          <w:color w:val="auto"/>
        </w:rPr>
        <w:tab/>
      </w:r>
      <w:r>
        <w:rPr>
          <w:rFonts w:ascii="Times New Roman" w:cs="Times New Roman" w:eastAsia="Times New Roman" w:hAnsi="Times New Roman"/>
          <w:sz w:val="17"/>
          <w:szCs w:val="17"/>
          <w:color w:val="auto"/>
        </w:rPr>
        <w:t>79,034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-121285</wp:posOffset>
            </wp:positionV>
            <wp:extent cx="4650105" cy="139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50105" cy="139065"/>
                    </a:xfrm>
                    <a:prstGeom prst="rect">
                      <a:avLst/>
                    </a:prstGeom>
                    <a:noFill/>
                  </pic:spPr>
                </pic:pic>
              </a:graphicData>
            </a:graphic>
          </wp:anchor>
        </w:drawing>
      </w:r>
    </w:p>
    <w:p>
      <w:pPr>
        <w:spacing w:after="0" w:line="300"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The increase in cash paid for interest was due to increased borrowings that partially funded our recent acquisitions and prefunding the redemption for our $850 million, 5.25% senior unsecured note that occurred in March 2025.</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p>
      <w:pPr>
        <w:spacing w:after="0" w:line="226"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On February 6, 2024, as partial consideration for the closing of the real property assets under the Tioga Downs Lease, the Company’s operating partnership issued 434,304 newly-issued OP units to an affiliate of Tioga Downs which were valued at $19.6 million for accounting purposes at closing and assumed debt of $63.5 million that was repaid after closing with the offsetting increase to Investment in leases, financing receivables, net.</w:t>
      </w:r>
    </w:p>
    <w:p>
      <w:pPr>
        <w:spacing w:after="0" w:line="200" w:lineRule="exact"/>
        <w:rPr>
          <w:sz w:val="20"/>
          <w:szCs w:val="20"/>
          <w:color w:val="auto"/>
        </w:rPr>
      </w:pPr>
    </w:p>
    <w:p>
      <w:pPr>
        <w:spacing w:after="0" w:line="21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15.</w:t>
        <w:tab/>
        <w:t>Acquisitions</w:t>
      </w:r>
    </w:p>
    <w:p>
      <w:pPr>
        <w:spacing w:after="0" w:line="24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The Company accounts for its acquisitions of real estate assets as asset acquisitions under ASC 805 -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Under asset acquisition accounting, incremental transaction costs incurred to acquire the purchased assets are also included as part of the asset cost. No acquisitions closed during the three month period ended March 31, 2025.</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Prior year acquisitions</w:t>
      </w:r>
    </w:p>
    <w:p>
      <w:pPr>
        <w:spacing w:after="0" w:line="24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On February 6, 2024, the Company acquired the real estate assets of Tioga Downs, in Nichols, NY from American Racing for $175.0 million which comprised of cash, assumed debt that was repaid after closing, and OP Units. Simultaneously with the acquisition, GLPI entered into the Tioga Downs Lease. The transaction was accounted for as a failed sale leaseback and as such the purchase price, along with incremental transaction costs, was allocated to Investment in leases, financing receivables in the amount of $176.4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4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the financial position and operating results of Gaming and Leisure Properties, Inc. for the three months ended March 31, 2025 should be read in conjunction with the Financial Statements and related notes thereto and other financial information contained elsewhere in this Quarterly Report on Form 10-Q and the audited consolidated financial statements and related notes for the year ended December 31, 2024. All defined terms included herein have the same meaning as those set forth in the Notes to the Consolidated Financial Statements contained within this Quarterly Report on Form 10-Q.</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Forward-looking statements in this document are subject to known and unknown risks, uncertainties and other factors that may cause actual results, performance or achievements of Gaming and Leisure Properties, Inc. ("GLPI") and its subsidiaries (collectively with GLPI,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Forward-looking statements in this document include, but are not limited to,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239" w:lineRule="exact"/>
        <w:rPr>
          <w:sz w:val="20"/>
          <w:szCs w:val="20"/>
          <w:color w:val="auto"/>
        </w:rPr>
      </w:pPr>
    </w:p>
    <w:p>
      <w:pPr>
        <w:jc w:val="both"/>
        <w:ind w:left="620" w:hanging="307"/>
        <w:spacing w:after="0" w:line="241" w:lineRule="auto"/>
        <w:tabs>
          <w:tab w:leader="none" w:pos="61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our or our partner’s ability to successfully complete construction of various casino projects currently under development for which we have agreed to provide construction development funding, including Bally’s Chicago (as defined below), and the ability and willingness of our partners to meet and/or perform their respective obligations under the applicable construction financing and/or development documents;</w:t>
      </w:r>
    </w:p>
    <w:p>
      <w:pPr>
        <w:spacing w:after="0" w:line="215" w:lineRule="exact"/>
        <w:rPr>
          <w:rFonts w:ascii="Arial" w:cs="Arial" w:eastAsia="Arial" w:hAnsi="Arial"/>
          <w:sz w:val="21"/>
          <w:szCs w:val="21"/>
          <w:color w:val="auto"/>
        </w:rPr>
      </w:pPr>
    </w:p>
    <w:p>
      <w:pPr>
        <w:ind w:left="620" w:hanging="307"/>
        <w:spacing w:after="0" w:line="287"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that higher inflation rates and interest rates and uncertainty with respect to the future state of the economy could have on discretionary consumer spending, including the casino operations of our tenants;</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consequences related to United States ("U.S.") government, economic, monetary or trade policies and stimulus packages on inflation rates, interest rates and economic growth;</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215" w:lineRule="exact"/>
        <w:rPr>
          <w:rFonts w:ascii="Times New Roman" w:cs="Times New Roman" w:eastAsia="Times New Roman" w:hAnsi="Times New Roman"/>
          <w:sz w:val="17"/>
          <w:szCs w:val="17"/>
          <w:color w:val="auto"/>
        </w:rPr>
      </w:pPr>
    </w:p>
    <w:p>
      <w:pPr>
        <w:ind w:left="620" w:hanging="307"/>
        <w:spacing w:after="0" w:line="235" w:lineRule="auto"/>
        <w:tabs>
          <w:tab w:leader="none" w:pos="61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the availability of and the ability to identify suitable and attractive acquisition and development opportunities and the ability to acquire and lease the respective properties on favorable terms;</w:t>
      </w:r>
    </w:p>
    <w:p>
      <w:pPr>
        <w:spacing w:after="0" w:line="216" w:lineRule="exact"/>
        <w:rPr>
          <w:rFonts w:ascii="Arial" w:cs="Arial" w:eastAsia="Arial" w:hAnsi="Arial"/>
          <w:sz w:val="21"/>
          <w:szCs w:val="21"/>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and nature of our competition;</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receive, or delays in obtaining, the regulatory approvals required to own and/or operate our properties, or other delays or impediments to completing our planned acquisitions or projects;</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of a new pandemic or similar national health crisis, including its effect on the ability or desire of people to gather in large groups (including in casinos), which could impact our financial results, operations, outlooks, plans, goals, growth, cash flows, liquidity, and stock price;</w:t>
      </w:r>
    </w:p>
    <w:p>
      <w:pPr>
        <w:spacing w:after="0" w:line="17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0" w:name="page31"/>
    <w:bookmarkEnd w:id="30"/>
    <w:p>
      <w:pPr>
        <w:ind w:left="620" w:hanging="307"/>
        <w:spacing w:after="0" w:line="28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satisfaction of certain asset, income, organizational, distribution, shareholder ownership and other requirements on a continuing basis in order for the Company to maintain its REIT status;</w:t>
      </w:r>
    </w:p>
    <w:p>
      <w:pPr>
        <w:spacing w:after="0" w:line="17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and willingness of our tenants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19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to comply with laws, rules and regulations in the operation of our properties, to deliver high quality services, to attract and retain qualified personnel and to attract customers;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generate sufficient cash flows to service and comply with financial covenants under our outstanding indebtedness;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access capital through debt and equity markets in amounts and at rates and costs acceptable to GLPI, including for the satisfaction of our funding commitments to the extent drawn by our partners, acquisitions or refinancings due to maturities;</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to decline our funding commitments by seeking alternative financing solutions and/or if our tenants do elect to utilize our funding commitments, the amounts drawn and the timing of these draws may be different than what the Company assumed;</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our credit rating;</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qualified personnel and our ability to retain our key management personnel;</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U.S. tax law and other federal, state or local laws, whether or not specific to real estate, REITs or the gaming, lodging or hospitality industries;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weather or climate events or conditions, natural disasters, acts of terrorism and other international hostilities, war (including the current conflict between Russia and Ukraine and conflicts in the Middle East) or political instability;</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historical financial statements included herein do not reflect what the business, financial position or results of operations of GLPI may be in the future;</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inherent in the real estate business, including potential liability relating to environmental matters and illiquidity of real estate investments; and</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factors as discussed in the Company’s Annual Report on Form 10-K for the year ended December 31, 2024 (the "Annual Report"), in this Quarterly Report on Form 10-Q and Current Reports on Form 8-K as filed with the United States Securities and Exchange Commission.</w:t>
      </w:r>
    </w:p>
    <w:p>
      <w:pPr>
        <w:spacing w:after="0" w:line="15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Other unknown or unpredictable factors may also cause actual results to differ materially from those projected by the forward-looking statements. Most of these factors are difficult to anticipate and are generally beyond the control of the Company.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GLPI is a self-administered and self-managed REIT headquartered in Wyomissing, Pennsylvania. GLPI was incorporated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w:t>
      </w:r>
    </w:p>
    <w:p>
      <w:pPr>
        <w:spacing w:after="0" w:line="200" w:lineRule="exact"/>
        <w:rPr>
          <w:sz w:val="20"/>
          <w:szCs w:val="20"/>
          <w:color w:val="auto"/>
        </w:rPr>
      </w:pPr>
    </w:p>
    <w:p>
      <w:pPr>
        <w:spacing w:after="0" w:line="323"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Since 2021, the Company has been structured as an umbrella partnership REIT under which substantially all of our business is conducted through GLP Capital, the day-to-day management of which is exclusively controlled by GLPI. GLPI has no material assets other than its investment in GLP Capital. GLPI issues equity from time to time and is obligated to contribute the net proceeds from those offerings to GLP Capital. As of March 31, 2025, GLPI holds a 97.0% controlling financial interest in the operating partnership.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Strategy</w:t>
      </w:r>
    </w:p>
    <w:p>
      <w:pPr>
        <w:spacing w:after="0" w:line="234"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We seek to provide an opportunity to invest in the growth opportunities afforded by the gaming industry, with the stability and cash flow opportunities of a REIT. Our primary business consists of acquiring, financing, and owning real estate property to be leased to gaming operators in triple-net lease arrangements. Under these arrangements,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Property and lease information</w:t>
      </w:r>
    </w:p>
    <w:p>
      <w:pPr>
        <w:spacing w:after="0" w:line="23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The Company has disclosed the following key terms of its Master Leases and Single Property Leases in the tables below, along with the properties within each lease at March 31, 2025. We believe the following key terms are important for users of our financial statements to understand.</w:t>
      </w:r>
    </w:p>
    <w:p>
      <w:pPr>
        <w:spacing w:after="0" w:line="177" w:lineRule="exact"/>
        <w:rPr>
          <w:sz w:val="20"/>
          <w:szCs w:val="20"/>
          <w:color w:val="auto"/>
        </w:rPr>
      </w:pPr>
    </w:p>
    <w:p>
      <w:pPr>
        <w:jc w:val="both"/>
        <w:ind w:left="1240" w:hanging="309"/>
        <w:spacing w:after="0" w:line="254" w:lineRule="auto"/>
        <w:tabs>
          <w:tab w:leader="none" w:pos="12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Coverage ratio is a defined term in each respective lease agreement with our tenants and represents the ratio of Adjusted EBITDAR to rent expense for the properties contained within each lease. Adjusted EBITDAR is defined in each respective lease but is generally consistent with the Company's definition of Adjusted EBITDA (as defined on page 42) plus rent expense paid to GLPI.</w:t>
      </w:r>
    </w:p>
    <w:p>
      <w:pPr>
        <w:spacing w:after="0" w:line="191" w:lineRule="exact"/>
        <w:rPr>
          <w:rFonts w:ascii="Times New Roman" w:cs="Times New Roman" w:eastAsia="Times New Roman" w:hAnsi="Times New Roman"/>
          <w:sz w:val="17"/>
          <w:szCs w:val="17"/>
          <w:color w:val="auto"/>
        </w:rPr>
      </w:pPr>
    </w:p>
    <w:p>
      <w:pPr>
        <w:ind w:left="1240" w:hanging="309"/>
        <w:spacing w:after="0" w:line="271" w:lineRule="auto"/>
        <w:tabs>
          <w:tab w:leader="none" w:pos="12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leases have a Minimum Escalator Coverage Ratio Governor as disclosed below. Before a rent escalation of up to 2% on the building base rent component of each lease can occur, the minimum coverage ratio for these leases needs to be 1.8 to 1 for the applicable lease year.</w:t>
      </w:r>
    </w:p>
    <w:p>
      <w:pPr>
        <w:spacing w:after="0" w:line="177" w:lineRule="exact"/>
        <w:rPr>
          <w:rFonts w:ascii="Times New Roman" w:cs="Times New Roman" w:eastAsia="Times New Roman" w:hAnsi="Times New Roman"/>
          <w:sz w:val="17"/>
          <w:szCs w:val="17"/>
          <w:color w:val="auto"/>
        </w:rPr>
      </w:pPr>
    </w:p>
    <w:p>
      <w:pPr>
        <w:jc w:val="both"/>
        <w:ind w:left="1240" w:hanging="309"/>
        <w:spacing w:after="0" w:line="248" w:lineRule="auto"/>
        <w:tabs>
          <w:tab w:leader="none" w:pos="12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reported Coverage ratios below with respect to our tenants' rent coverage over the trailing twelve months were provided by our tenants for the most recently available time period. GLPI has not independently verified the accuracy of the tenants' information and therefore makes no representation as to its accuracy. Rent coverage ratios are not reported for ground leases and development projects nor on leases that have been in effect for less than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056755" cy="139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56755" cy="139065"/>
                    </a:xfrm>
                    <a:prstGeom prst="rect">
                      <a:avLst/>
                    </a:prstGeom>
                    <a:noFill/>
                  </pic:spPr>
                </pic:pic>
              </a:graphicData>
            </a:graphic>
          </wp:anchor>
        </w:drawing>
        <w:t>Master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6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Penn 2023 Master Lease</w:t>
            </w:r>
          </w:p>
        </w:tc>
        <w:tc>
          <w:tcPr>
            <w:tcW w:w="474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Amended Penn Master Lease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17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PENN</w:t>
            </w:r>
          </w:p>
        </w:tc>
        <w:tc>
          <w:tcPr>
            <w:tcW w:w="10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PENN</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174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Hollywood Casino Aurora</w:t>
            </w:r>
          </w:p>
        </w:tc>
        <w:tc>
          <w:tcPr>
            <w:tcW w:w="860" w:type="dxa"/>
            <w:vAlign w:val="bottom"/>
          </w:tcPr>
          <w:p>
            <w:pPr>
              <w:spacing w:after="0"/>
              <w:rPr>
                <w:sz w:val="16"/>
                <w:szCs w:val="16"/>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Aurora, IL</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Hollywood Casino Lawrenceburg</w:t>
            </w:r>
          </w:p>
        </w:tc>
        <w:tc>
          <w:tcPr>
            <w:tcW w:w="100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Lawrenceburg, IN</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Hollywood Casino Joliet</w:t>
            </w: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Joliet, IL</w:t>
            </w:r>
          </w:p>
        </w:tc>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Argosy Casino Alton</w:t>
            </w:r>
          </w:p>
        </w:tc>
        <w:tc>
          <w:tcPr>
            <w:tcW w:w="100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Alton, IL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Hollywood Casino Toledo</w:t>
            </w:r>
          </w:p>
        </w:tc>
        <w:tc>
          <w:tcPr>
            <w:tcW w:w="860" w:type="dxa"/>
            <w:vAlign w:val="bottom"/>
          </w:tcPr>
          <w:p>
            <w:pPr>
              <w:spacing w:after="0"/>
              <w:rPr>
                <w:sz w:val="16"/>
                <w:szCs w:val="16"/>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Toledo, OH</w:t>
            </w:r>
          </w:p>
        </w:tc>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Hollywood Casino at Charles Town Races</w:t>
            </w: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Charles Town, WV</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Hollywood Casino Columbus</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Columbus, OH</w:t>
            </w:r>
          </w:p>
        </w:tc>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Hollywood Casino at Penn National Race Course</w:t>
            </w: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Grantville, PA</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 Resort</w:t>
            </w:r>
          </w:p>
        </w:tc>
        <w:tc>
          <w:tcPr>
            <w:tcW w:w="860" w:type="dxa"/>
            <w:vAlign w:val="bottom"/>
          </w:tcPr>
          <w:p>
            <w:pPr>
              <w:spacing w:after="0"/>
              <w:rPr>
                <w:sz w:val="16"/>
                <w:szCs w:val="16"/>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Henderson, NV</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Hollywood Casino Bangor</w:t>
            </w:r>
          </w:p>
        </w:tc>
        <w:tc>
          <w:tcPr>
            <w:tcW w:w="100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Bangor, ME</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Hollywood Casino at the Meadows</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Washington, PA</w:t>
            </w:r>
          </w:p>
        </w:tc>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Zia Park Casino</w:t>
            </w:r>
          </w:p>
        </w:tc>
        <w:tc>
          <w:tcPr>
            <w:tcW w:w="100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Hobbs, NM</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Hollywood Casino Perryville</w:t>
            </w:r>
          </w:p>
        </w:tc>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Perryville, MD</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Hollywood Casino Gulf Coast</w:t>
            </w:r>
          </w:p>
        </w:tc>
        <w:tc>
          <w:tcPr>
            <w:tcW w:w="100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Bay St. Louis, MS</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Argosy Casino Riverside</w:t>
            </w:r>
          </w:p>
        </w:tc>
        <w:tc>
          <w:tcPr>
            <w:tcW w:w="100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Riverside, MO</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Hollywood Casino Tunica</w:t>
            </w:r>
          </w:p>
        </w:tc>
        <w:tc>
          <w:tcPr>
            <w:tcW w:w="100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Tunica, MS</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Boomtown Biloxi</w:t>
            </w:r>
          </w:p>
        </w:tc>
        <w:tc>
          <w:tcPr>
            <w:tcW w:w="100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Biloxi, MS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Hollywood Casino St. Louis</w:t>
            </w:r>
          </w:p>
        </w:tc>
        <w:tc>
          <w:tcPr>
            <w:tcW w:w="100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Maryland Heights, MO</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Hollywood Gaming Casino at Dayton Raceway</w:t>
            </w: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Dayton, OH</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4"/>
                <w:szCs w:val="14"/>
                <w:color w:val="auto"/>
                <w:w w:val="97"/>
              </w:rPr>
              <w:t>Hollywood Gaming Casino at Mahoning Valley Race</w:t>
            </w: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Youngstown, OH</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Track</w:t>
            </w:r>
          </w:p>
        </w:tc>
        <w:tc>
          <w:tcPr>
            <w:tcW w:w="100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1st Jackpot Casino</w:t>
            </w:r>
          </w:p>
        </w:tc>
        <w:tc>
          <w:tcPr>
            <w:tcW w:w="100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Tunica, MS</w:t>
            </w: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1/1/2023</w:t>
            </w:r>
          </w:p>
        </w:tc>
        <w:tc>
          <w:tcPr>
            <w:tcW w:w="1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11/1/2013</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10/31/2033</w:t>
            </w: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10/31/2033</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1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(3x5 years)</w:t>
            </w:r>
          </w:p>
        </w:tc>
        <w:tc>
          <w:tcPr>
            <w:tcW w:w="1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(3x5 years)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1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1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Escalator Details</w:t>
            </w:r>
          </w:p>
        </w:tc>
        <w:tc>
          <w:tcPr>
            <w:tcW w:w="1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17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(1)</w:t>
            </w:r>
          </w:p>
        </w:tc>
        <w:tc>
          <w:tcPr>
            <w:tcW w:w="10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Coverage ratio at December 31, 2024</w:t>
            </w:r>
          </w:p>
        </w:tc>
        <w:tc>
          <w:tcPr>
            <w:tcW w:w="1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1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w:t>
            </w:r>
          </w:p>
        </w:tc>
        <w:tc>
          <w:tcPr>
            <w:tcW w:w="1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Percentage Rent Reset Details</w:t>
            </w:r>
          </w:p>
        </w:tc>
        <w:tc>
          <w:tcPr>
            <w:tcW w:w="94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1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years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Nov-28</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00" w:hanging="297"/>
        <w:spacing w:after="0"/>
        <w:tabs>
          <w:tab w:leader="none" w:pos="3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addition to the annual escalation, a one-time annualized increase of $1.4 million occurs on November 1, 2027.</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72"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404" w:right="459" w:bottom="1440" w:gutter="0" w:footer="0" w:header="0"/>
        </w:sectPr>
      </w:pPr>
    </w:p>
    <w:bookmarkStart w:id="33" w:name="page34"/>
    <w:bookmarkEnd w:id="33"/>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661670</wp:posOffset>
            </wp:positionV>
            <wp:extent cx="6925945" cy="139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5945" cy="139065"/>
                    </a:xfrm>
                    <a:prstGeom prst="rect">
                      <a:avLst/>
                    </a:prstGeom>
                    <a:noFill/>
                  </pic:spPr>
                </pic:pic>
              </a:graphicData>
            </a:graphic>
          </wp:anchor>
        </w:drawing>
        <w:t>Master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74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Amended Pinnacle Master Lease</w:t>
            </w:r>
          </w:p>
        </w:tc>
        <w:tc>
          <w:tcPr>
            <w:tcW w:w="31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Bally's Master Lease</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25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PENN</w:t>
            </w:r>
          </w:p>
        </w:tc>
        <w:tc>
          <w:tcPr>
            <w:tcW w:w="1200" w:type="dxa"/>
            <w:vAlign w:val="bottom"/>
            <w:shd w:val="clear" w:color="auto" w:fill="CCEEFF"/>
          </w:tcPr>
          <w:p>
            <w:pPr>
              <w:spacing w:after="0"/>
              <w:rPr>
                <w:sz w:val="16"/>
                <w:szCs w:val="16"/>
                <w:color w:val="auto"/>
              </w:rPr>
            </w:pPr>
          </w:p>
        </w:tc>
        <w:tc>
          <w:tcPr>
            <w:tcW w:w="312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Bally's</w:t>
            </w: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2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Ameristar Black Hawk</w:t>
            </w:r>
          </w:p>
        </w:tc>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Black Hawk, CO</w:t>
            </w:r>
          </w:p>
        </w:tc>
        <w:tc>
          <w:tcPr>
            <w:tcW w:w="3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Bally's Evansville</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Evansville, IN</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Ameristar East Chicago</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East Chicago, IN</w:t>
            </w: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Bally's Dover Casino Resort</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Dover, DE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5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Ameristar Council Bluffs</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Council Bluffs, IA</w:t>
            </w:r>
          </w:p>
        </w:tc>
        <w:tc>
          <w:tcPr>
            <w:tcW w:w="3120" w:type="dxa"/>
            <w:vAlign w:val="bottom"/>
          </w:tcPr>
          <w:p>
            <w:pPr>
              <w:ind w:left="160"/>
              <w:spacing w:after="0" w:line="129" w:lineRule="exact"/>
              <w:rPr>
                <w:sz w:val="20"/>
                <w:szCs w:val="20"/>
                <w:color w:val="auto"/>
              </w:rPr>
            </w:pPr>
            <w:r>
              <w:rPr>
                <w:rFonts w:ascii="Times New Roman" w:cs="Times New Roman" w:eastAsia="Times New Roman" w:hAnsi="Times New Roman"/>
                <w:sz w:val="14"/>
                <w:szCs w:val="14"/>
                <w:color w:val="auto"/>
              </w:rPr>
              <w:t>Black Hawk (Black Hawk North, West and East</w:t>
            </w:r>
          </w:p>
        </w:tc>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Black Hawk, CO</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casinos)</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L'Auberge Baton Rouge</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Baton Rouge, LA</w:t>
            </w: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Quad Cities Casino &amp; Hotel</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Rock Island, IL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Boomtown Bossier City</w:t>
            </w:r>
          </w:p>
        </w:tc>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Bossier City, LA</w:t>
            </w:r>
          </w:p>
        </w:tc>
        <w:tc>
          <w:tcPr>
            <w:tcW w:w="3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Bally's Tiverton Hotel &amp; Casino</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Tiverton, RI</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L'Auberge Lake Charles</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Lake Charles, LA</w:t>
            </w: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Hard Rock Casino and Hotel Biloxi</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Biloxi, MS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Boomtown New Orleans</w:t>
            </w:r>
          </w:p>
        </w:tc>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Orleans, LA</w:t>
            </w:r>
          </w:p>
        </w:tc>
        <w:tc>
          <w:tcPr>
            <w:tcW w:w="3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Ameristar Vicksburg</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Vicksburg, MS</w:t>
            </w:r>
          </w:p>
        </w:tc>
        <w:tc>
          <w:tcPr>
            <w:tcW w:w="3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River City Casino &amp; Hotel</w:t>
            </w:r>
          </w:p>
        </w:tc>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 Louis, MO</w:t>
            </w:r>
          </w:p>
        </w:tc>
        <w:tc>
          <w:tcPr>
            <w:tcW w:w="3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540" w:type="dxa"/>
            <w:vAlign w:val="bottom"/>
            <w:shd w:val="clear" w:color="auto" w:fill="CCEEFF"/>
          </w:tcPr>
          <w:p>
            <w:pPr>
              <w:ind w:left="260"/>
              <w:spacing w:after="0" w:line="137" w:lineRule="exact"/>
              <w:rPr>
                <w:sz w:val="20"/>
                <w:szCs w:val="20"/>
                <w:color w:val="auto"/>
              </w:rPr>
            </w:pPr>
            <w:r>
              <w:rPr>
                <w:rFonts w:ascii="Times New Roman" w:cs="Times New Roman" w:eastAsia="Times New Roman" w:hAnsi="Times New Roman"/>
                <w:sz w:val="14"/>
                <w:szCs w:val="14"/>
                <w:color w:val="auto"/>
              </w:rPr>
              <w:t>Jackpot Properties (Cactus Petes and</w:t>
            </w:r>
          </w:p>
        </w:tc>
        <w:tc>
          <w:tcPr>
            <w:tcW w:w="1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Jackpot, NV</w:t>
            </w:r>
          </w:p>
        </w:tc>
        <w:tc>
          <w:tcPr>
            <w:tcW w:w="3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Horseshu)</w:t>
            </w:r>
          </w:p>
        </w:tc>
        <w:tc>
          <w:tcPr>
            <w:tcW w:w="1200" w:type="dxa"/>
            <w:vAlign w:val="bottom"/>
            <w:vMerge w:val="continue"/>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Plainridge Park Casino</w:t>
            </w:r>
          </w:p>
        </w:tc>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Plainridge, MA</w:t>
            </w:r>
          </w:p>
        </w:tc>
        <w:tc>
          <w:tcPr>
            <w:tcW w:w="3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4/28/2016</w:t>
            </w:r>
          </w:p>
        </w:tc>
        <w:tc>
          <w:tcPr>
            <w:tcW w:w="1200" w:type="dxa"/>
            <w:vAlign w:val="bottom"/>
            <w:shd w:val="clear" w:color="auto" w:fill="CCEEFF"/>
          </w:tcPr>
          <w:p>
            <w:pPr>
              <w:spacing w:after="0"/>
              <w:rPr>
                <w:sz w:val="17"/>
                <w:szCs w:val="17"/>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6/3/2021</w:t>
            </w: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4/30/2031</w:t>
            </w:r>
          </w:p>
        </w:tc>
        <w:tc>
          <w:tcPr>
            <w:tcW w:w="1200" w:type="dxa"/>
            <w:vAlign w:val="bottom"/>
          </w:tcPr>
          <w:p>
            <w:pPr>
              <w:spacing w:after="0"/>
              <w:rPr>
                <w:sz w:val="16"/>
                <w:szCs w:val="16"/>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6/2/2036</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(4x5 years)</w:t>
            </w:r>
          </w:p>
        </w:tc>
        <w:tc>
          <w:tcPr>
            <w:tcW w:w="1200" w:type="dxa"/>
            <w:vAlign w:val="bottom"/>
            <w:shd w:val="clear" w:color="auto" w:fill="CCEEFF"/>
          </w:tcPr>
          <w:p>
            <w:pPr>
              <w:spacing w:after="0"/>
              <w:rPr>
                <w:sz w:val="17"/>
                <w:szCs w:val="17"/>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(4x5 years)</w:t>
            </w: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Pr>
          <w:p>
            <w:pPr>
              <w:spacing w:after="0"/>
              <w:rPr>
                <w:sz w:val="16"/>
                <w:szCs w:val="16"/>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shd w:val="clear" w:color="auto" w:fill="CCEEFF"/>
          </w:tcPr>
          <w:p>
            <w:pPr>
              <w:spacing w:after="0"/>
              <w:rPr>
                <w:sz w:val="17"/>
                <w:szCs w:val="17"/>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Pr>
          <w:p>
            <w:pPr>
              <w:spacing w:after="0"/>
              <w:rPr>
                <w:sz w:val="16"/>
                <w:szCs w:val="16"/>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0" w:type="dxa"/>
            <w:vAlign w:val="bottom"/>
            <w:shd w:val="clear" w:color="auto" w:fill="CCEEFF"/>
          </w:tcPr>
          <w:p>
            <w:pPr>
              <w:spacing w:after="0"/>
              <w:rPr>
                <w:sz w:val="17"/>
                <w:szCs w:val="17"/>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Pr>
          <w:p>
            <w:pPr>
              <w:spacing w:after="0"/>
              <w:rPr>
                <w:sz w:val="16"/>
                <w:szCs w:val="16"/>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Escalator Details</w:t>
            </w:r>
          </w:p>
        </w:tc>
        <w:tc>
          <w:tcPr>
            <w:tcW w:w="1700" w:type="dxa"/>
            <w:vAlign w:val="bottom"/>
            <w:tcBorders>
              <w:bottom w:val="single" w:sz="8" w:color="CCEEFF"/>
            </w:tcBorders>
            <w:gridSpan w:val="2"/>
            <w:shd w:val="clear" w:color="auto" w:fill="CCEEFF"/>
          </w:tcPr>
          <w:p>
            <w:pPr>
              <w:spacing w:after="0"/>
              <w:rPr>
                <w:sz w:val="15"/>
                <w:szCs w:val="15"/>
                <w:color w:val="auto"/>
              </w:rPr>
            </w:pPr>
          </w:p>
        </w:tc>
        <w:tc>
          <w:tcPr>
            <w:tcW w:w="25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3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0" w:type="dxa"/>
            <w:vAlign w:val="bottom"/>
          </w:tcPr>
          <w:p>
            <w:pPr>
              <w:spacing w:after="0"/>
              <w:rPr>
                <w:sz w:val="16"/>
                <w:szCs w:val="16"/>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December 31, 2024</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 (2)</w:t>
            </w:r>
          </w:p>
        </w:tc>
        <w:tc>
          <w:tcPr>
            <w:tcW w:w="1200" w:type="dxa"/>
            <w:vAlign w:val="bottom"/>
            <w:shd w:val="clear" w:color="auto" w:fill="CCEEFF"/>
          </w:tcPr>
          <w:p>
            <w:pPr>
              <w:spacing w:after="0"/>
              <w:rPr>
                <w:sz w:val="17"/>
                <w:szCs w:val="17"/>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0" w:type="dxa"/>
            <w:vAlign w:val="bottom"/>
          </w:tcPr>
          <w:p>
            <w:pPr>
              <w:spacing w:after="0"/>
              <w:rPr>
                <w:sz w:val="16"/>
                <w:szCs w:val="16"/>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May</w:t>
            </w:r>
          </w:p>
        </w:tc>
        <w:tc>
          <w:tcPr>
            <w:tcW w:w="1200" w:type="dxa"/>
            <w:vAlign w:val="bottom"/>
            <w:shd w:val="clear" w:color="auto" w:fill="CCEEFF"/>
          </w:tcPr>
          <w:p>
            <w:pPr>
              <w:spacing w:after="0"/>
              <w:rPr>
                <w:sz w:val="17"/>
                <w:szCs w:val="17"/>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June</w:t>
            </w: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years</w:t>
            </w:r>
          </w:p>
        </w:tc>
        <w:tc>
          <w:tcPr>
            <w:tcW w:w="1200" w:type="dxa"/>
            <w:vAlign w:val="bottom"/>
            <w:shd w:val="clear" w:color="auto" w:fill="CCEEFF"/>
          </w:tcPr>
          <w:p>
            <w:pPr>
              <w:spacing w:after="0"/>
              <w:rPr>
                <w:sz w:val="16"/>
                <w:szCs w:val="16"/>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May-26</w:t>
            </w:r>
          </w:p>
        </w:tc>
        <w:tc>
          <w:tcPr>
            <w:tcW w:w="1200" w:type="dxa"/>
            <w:vAlign w:val="bottom"/>
          </w:tcPr>
          <w:p>
            <w:pPr>
              <w:spacing w:after="0"/>
              <w:rPr>
                <w:sz w:val="15"/>
                <w:szCs w:val="15"/>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20" w:hanging="617"/>
        <w:spacing w:after="0" w:line="222" w:lineRule="auto"/>
        <w:tabs>
          <w:tab w:leader="none" w:pos="243"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187" w:lineRule="exact"/>
        <w:rPr>
          <w:rFonts w:ascii="Times New Roman" w:cs="Times New Roman" w:eastAsia="Times New Roman" w:hAnsi="Times New Roman"/>
          <w:sz w:val="22"/>
          <w:szCs w:val="22"/>
          <w:color w:val="auto"/>
          <w:vertAlign w:val="superscript"/>
        </w:rPr>
      </w:pPr>
    </w:p>
    <w:p>
      <w:pPr>
        <w:ind w:left="240" w:hanging="237"/>
        <w:spacing w:after="0"/>
        <w:tabs>
          <w:tab w:leader="none" w:pos="24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Coverage ratio for escalation purposes excludes adjusted revenue and rent attributable to the Plainridge Park facility as well as certain other fixed rent amounts.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4" w:name="page35"/>
    <w:bookmarkEnd w:id="34"/>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007225" cy="139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7225" cy="139065"/>
                    </a:xfrm>
                    <a:prstGeom prst="rect">
                      <a:avLst/>
                    </a:prstGeom>
                    <a:noFill/>
                  </pic:spPr>
                </pic:pic>
              </a:graphicData>
            </a:graphic>
          </wp:anchor>
        </w:drawing>
        <w:t>Master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500" w:type="dxa"/>
            <w:vAlign w:val="bottom"/>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Bally's Master Lease II</w:t>
            </w:r>
          </w:p>
        </w:tc>
        <w:tc>
          <w:tcPr>
            <w:tcW w:w="4320" w:type="dxa"/>
            <w:vAlign w:val="bottom"/>
            <w:gridSpan w:val="2"/>
          </w:tcPr>
          <w:p>
            <w:pPr>
              <w:jc w:val="right"/>
              <w:ind w:right="1111"/>
              <w:spacing w:after="0"/>
              <w:rPr>
                <w:sz w:val="20"/>
                <w:szCs w:val="20"/>
                <w:color w:val="auto"/>
              </w:rPr>
            </w:pPr>
            <w:r>
              <w:rPr>
                <w:rFonts w:ascii="Times New Roman" w:cs="Times New Roman" w:eastAsia="Times New Roman" w:hAnsi="Times New Roman"/>
                <w:sz w:val="14"/>
                <w:szCs w:val="14"/>
                <w:b w:val="1"/>
                <w:bCs w:val="1"/>
                <w:color w:val="auto"/>
              </w:rPr>
              <w:t>Casino Queen Master Lease</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3"/>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1460" w:type="dxa"/>
            <w:vAlign w:val="bottom"/>
            <w:shd w:val="clear" w:color="auto" w:fill="CCEEFF"/>
          </w:tcPr>
          <w:p>
            <w:pPr>
              <w:spacing w:after="0"/>
              <w:rPr>
                <w:sz w:val="16"/>
                <w:szCs w:val="16"/>
                <w:color w:val="auto"/>
              </w:rPr>
            </w:pPr>
          </w:p>
        </w:tc>
        <w:tc>
          <w:tcPr>
            <w:tcW w:w="2500" w:type="dxa"/>
            <w:vAlign w:val="bottom"/>
            <w:shd w:val="clear" w:color="auto" w:fill="CCEEFF"/>
          </w:tcPr>
          <w:p>
            <w:pPr>
              <w:jc w:val="right"/>
              <w:ind w:right="1431"/>
              <w:spacing w:after="0"/>
              <w:rPr>
                <w:sz w:val="20"/>
                <w:szCs w:val="20"/>
                <w:color w:val="auto"/>
              </w:rPr>
            </w:pPr>
            <w:r>
              <w:rPr>
                <w:rFonts w:ascii="Times New Roman" w:cs="Times New Roman" w:eastAsia="Times New Roman" w:hAnsi="Times New Roman"/>
                <w:sz w:val="14"/>
                <w:szCs w:val="14"/>
                <w:b w:val="1"/>
                <w:bCs w:val="1"/>
                <w:color w:val="auto"/>
              </w:rPr>
              <w:t>Bally's</w:t>
            </w:r>
          </w:p>
        </w:tc>
        <w:tc>
          <w:tcPr>
            <w:tcW w:w="1900" w:type="dxa"/>
            <w:vAlign w:val="bottom"/>
            <w:shd w:val="clear" w:color="auto" w:fill="CCEEFF"/>
          </w:tcPr>
          <w:p>
            <w:pPr>
              <w:spacing w:after="0"/>
              <w:rPr>
                <w:sz w:val="16"/>
                <w:szCs w:val="16"/>
                <w:color w:val="auto"/>
              </w:rPr>
            </w:pPr>
          </w:p>
        </w:tc>
        <w:tc>
          <w:tcPr>
            <w:tcW w:w="2420" w:type="dxa"/>
            <w:vAlign w:val="bottom"/>
            <w:shd w:val="clear" w:color="auto" w:fill="CCEEFF"/>
          </w:tcPr>
          <w:p>
            <w:pPr>
              <w:jc w:val="right"/>
              <w:ind w:right="1731"/>
              <w:spacing w:after="0"/>
              <w:rPr>
                <w:sz w:val="20"/>
                <w:szCs w:val="20"/>
                <w:color w:val="auto"/>
              </w:rPr>
            </w:pPr>
            <w:r>
              <w:rPr>
                <w:rFonts w:ascii="Times New Roman" w:cs="Times New Roman" w:eastAsia="Times New Roman" w:hAnsi="Times New Roman"/>
                <w:sz w:val="14"/>
                <w:szCs w:val="14"/>
                <w:b w:val="1"/>
                <w:bCs w:val="1"/>
                <w:color w:val="auto"/>
              </w:rPr>
              <w:t>Bally's</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1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Bally's Kansas City</w:t>
            </w:r>
          </w:p>
        </w:tc>
        <w:tc>
          <w:tcPr>
            <w:tcW w:w="250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Kansas City, MO</w:t>
            </w:r>
          </w:p>
        </w:tc>
        <w:tc>
          <w:tcPr>
            <w:tcW w:w="190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8"/>
              </w:rPr>
              <w:t>DraftKings at Casino Queen</w:t>
            </w:r>
          </w:p>
        </w:tc>
        <w:tc>
          <w:tcPr>
            <w:tcW w:w="24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East St. Louis, IL</w:t>
            </w: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Bally's Shreveport</w:t>
            </w:r>
          </w:p>
        </w:tc>
        <w:tc>
          <w:tcPr>
            <w:tcW w:w="25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Shreveport, LA</w:t>
            </w:r>
          </w:p>
        </w:tc>
        <w:tc>
          <w:tcPr>
            <w:tcW w:w="1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The Queen Baton Rouge</w:t>
            </w:r>
          </w:p>
        </w:tc>
        <w:tc>
          <w:tcPr>
            <w:tcW w:w="2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Baton Rouge, LA</w:t>
            </w: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Casino Queen Marquette</w:t>
            </w:r>
          </w:p>
        </w:tc>
        <w:tc>
          <w:tcPr>
            <w:tcW w:w="24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Marquette, IA</w:t>
            </w: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Belle of Baton Rouge</w:t>
            </w:r>
          </w:p>
        </w:tc>
        <w:tc>
          <w:tcPr>
            <w:tcW w:w="2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Baton Rouge, LA</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460" w:type="dxa"/>
            <w:vAlign w:val="bottom"/>
          </w:tcPr>
          <w:p>
            <w:pPr>
              <w:spacing w:after="0"/>
              <w:rPr>
                <w:sz w:val="16"/>
                <w:szCs w:val="16"/>
                <w:color w:val="auto"/>
              </w:rPr>
            </w:pPr>
          </w:p>
        </w:tc>
        <w:tc>
          <w:tcPr>
            <w:tcW w:w="250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12/16/2024</w:t>
            </w:r>
          </w:p>
        </w:tc>
        <w:tc>
          <w:tcPr>
            <w:tcW w:w="1900" w:type="dxa"/>
            <w:vAlign w:val="bottom"/>
          </w:tcPr>
          <w:p>
            <w:pPr>
              <w:spacing w:after="0"/>
              <w:rPr>
                <w:sz w:val="16"/>
                <w:szCs w:val="16"/>
                <w:color w:val="auto"/>
              </w:rPr>
            </w:pPr>
          </w:p>
        </w:tc>
        <w:tc>
          <w:tcPr>
            <w:tcW w:w="2420" w:type="dxa"/>
            <w:vAlign w:val="bottom"/>
          </w:tcPr>
          <w:p>
            <w:pPr>
              <w:jc w:val="right"/>
              <w:ind w:right="1551"/>
              <w:spacing w:after="0"/>
              <w:rPr>
                <w:sz w:val="20"/>
                <w:szCs w:val="20"/>
                <w:color w:val="auto"/>
              </w:rPr>
            </w:pPr>
            <w:r>
              <w:rPr>
                <w:rFonts w:ascii="Times New Roman" w:cs="Times New Roman" w:eastAsia="Times New Roman" w:hAnsi="Times New Roman"/>
                <w:sz w:val="14"/>
                <w:szCs w:val="14"/>
                <w:color w:val="auto"/>
              </w:rPr>
              <w:t>12/17/2021</w:t>
            </w: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146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12/15/2039</w:t>
            </w:r>
          </w:p>
        </w:tc>
        <w:tc>
          <w:tcPr>
            <w:tcW w:w="190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551"/>
              <w:spacing w:after="0"/>
              <w:rPr>
                <w:sz w:val="20"/>
                <w:szCs w:val="20"/>
                <w:color w:val="auto"/>
              </w:rPr>
            </w:pPr>
            <w:r>
              <w:rPr>
                <w:rFonts w:ascii="Times New Roman" w:cs="Times New Roman" w:eastAsia="Times New Roman" w:hAnsi="Times New Roman"/>
                <w:sz w:val="14"/>
                <w:szCs w:val="14"/>
                <w:color w:val="auto"/>
              </w:rPr>
              <w:t>12/31/2036</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1460" w:type="dxa"/>
            <w:vAlign w:val="bottom"/>
          </w:tcPr>
          <w:p>
            <w:pPr>
              <w:spacing w:after="0"/>
              <w:rPr>
                <w:sz w:val="16"/>
                <w:szCs w:val="16"/>
                <w:color w:val="auto"/>
              </w:rPr>
            </w:pPr>
          </w:p>
        </w:tc>
        <w:tc>
          <w:tcPr>
            <w:tcW w:w="250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20 (4x5 years)</w:t>
            </w:r>
          </w:p>
        </w:tc>
        <w:tc>
          <w:tcPr>
            <w:tcW w:w="1900" w:type="dxa"/>
            <w:vAlign w:val="bottom"/>
          </w:tcPr>
          <w:p>
            <w:pPr>
              <w:spacing w:after="0"/>
              <w:rPr>
                <w:sz w:val="16"/>
                <w:szCs w:val="16"/>
                <w:color w:val="auto"/>
              </w:rPr>
            </w:pPr>
          </w:p>
        </w:tc>
        <w:tc>
          <w:tcPr>
            <w:tcW w:w="2420" w:type="dxa"/>
            <w:vAlign w:val="bottom"/>
          </w:tcPr>
          <w:p>
            <w:pPr>
              <w:jc w:val="right"/>
              <w:ind w:right="1551"/>
              <w:spacing w:after="0"/>
              <w:rPr>
                <w:sz w:val="20"/>
                <w:szCs w:val="20"/>
                <w:color w:val="auto"/>
              </w:rPr>
            </w:pPr>
            <w:r>
              <w:rPr>
                <w:rFonts w:ascii="Times New Roman" w:cs="Times New Roman" w:eastAsia="Times New Roman" w:hAnsi="Times New Roman"/>
                <w:sz w:val="14"/>
                <w:szCs w:val="14"/>
                <w:color w:val="auto"/>
                <w:w w:val="96"/>
              </w:rPr>
              <w:t>20 (4x5 years)</w:t>
            </w: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146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Yes</w:t>
            </w:r>
          </w:p>
        </w:tc>
        <w:tc>
          <w:tcPr>
            <w:tcW w:w="190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551"/>
              <w:spacing w:after="0"/>
              <w:rPr>
                <w:sz w:val="20"/>
                <w:szCs w:val="20"/>
                <w:color w:val="auto"/>
              </w:rPr>
            </w:pPr>
            <w:r>
              <w:rPr>
                <w:rFonts w:ascii="Times New Roman" w:cs="Times New Roman" w:eastAsia="Times New Roman" w:hAnsi="Times New Roman"/>
                <w:sz w:val="14"/>
                <w:szCs w:val="14"/>
                <w:color w:val="auto"/>
              </w:rPr>
              <w:t>Yes</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1460" w:type="dxa"/>
            <w:vAlign w:val="bottom"/>
          </w:tcPr>
          <w:p>
            <w:pPr>
              <w:spacing w:after="0"/>
              <w:rPr>
                <w:sz w:val="16"/>
                <w:szCs w:val="16"/>
                <w:color w:val="auto"/>
              </w:rPr>
            </w:pPr>
          </w:p>
        </w:tc>
        <w:tc>
          <w:tcPr>
            <w:tcW w:w="250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Yes</w:t>
            </w:r>
          </w:p>
        </w:tc>
        <w:tc>
          <w:tcPr>
            <w:tcW w:w="1900" w:type="dxa"/>
            <w:vAlign w:val="bottom"/>
          </w:tcPr>
          <w:p>
            <w:pPr>
              <w:spacing w:after="0"/>
              <w:rPr>
                <w:sz w:val="16"/>
                <w:szCs w:val="16"/>
                <w:color w:val="auto"/>
              </w:rPr>
            </w:pPr>
          </w:p>
        </w:tc>
        <w:tc>
          <w:tcPr>
            <w:tcW w:w="2420" w:type="dxa"/>
            <w:vAlign w:val="bottom"/>
          </w:tcPr>
          <w:p>
            <w:pPr>
              <w:jc w:val="right"/>
              <w:ind w:right="1551"/>
              <w:spacing w:after="0"/>
              <w:rPr>
                <w:sz w:val="20"/>
                <w:szCs w:val="20"/>
                <w:color w:val="auto"/>
              </w:rPr>
            </w:pPr>
            <w:r>
              <w:rPr>
                <w:rFonts w:ascii="Times New Roman" w:cs="Times New Roman" w:eastAsia="Times New Roman" w:hAnsi="Times New Roman"/>
                <w:sz w:val="14"/>
                <w:szCs w:val="14"/>
                <w:color w:val="auto"/>
              </w:rPr>
              <w:t>Yes</w:t>
            </w: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146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Yes</w:t>
            </w:r>
          </w:p>
        </w:tc>
        <w:tc>
          <w:tcPr>
            <w:tcW w:w="190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551"/>
              <w:spacing w:after="0"/>
              <w:rPr>
                <w:sz w:val="20"/>
                <w:szCs w:val="20"/>
                <w:color w:val="auto"/>
              </w:rPr>
            </w:pPr>
            <w:r>
              <w:rPr>
                <w:rFonts w:ascii="Times New Roman" w:cs="Times New Roman" w:eastAsia="Times New Roman" w:hAnsi="Times New Roman"/>
                <w:sz w:val="14"/>
                <w:szCs w:val="14"/>
                <w:color w:val="auto"/>
              </w:rPr>
              <w:t>Yes</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1460" w:type="dxa"/>
            <w:vAlign w:val="bottom"/>
          </w:tcPr>
          <w:p>
            <w:pPr>
              <w:spacing w:after="0"/>
              <w:rPr>
                <w:sz w:val="16"/>
                <w:szCs w:val="16"/>
                <w:color w:val="auto"/>
              </w:rPr>
            </w:pPr>
          </w:p>
        </w:tc>
        <w:tc>
          <w:tcPr>
            <w:tcW w:w="250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1.35 (1)</w:t>
            </w:r>
          </w:p>
        </w:tc>
        <w:tc>
          <w:tcPr>
            <w:tcW w:w="1900" w:type="dxa"/>
            <w:vAlign w:val="bottom"/>
          </w:tcPr>
          <w:p>
            <w:pPr>
              <w:spacing w:after="0"/>
              <w:rPr>
                <w:sz w:val="16"/>
                <w:szCs w:val="16"/>
                <w:color w:val="auto"/>
              </w:rPr>
            </w:pPr>
          </w:p>
        </w:tc>
        <w:tc>
          <w:tcPr>
            <w:tcW w:w="2420" w:type="dxa"/>
            <w:vAlign w:val="bottom"/>
          </w:tcPr>
          <w:p>
            <w:pPr>
              <w:jc w:val="right"/>
              <w:ind w:right="1551"/>
              <w:spacing w:after="0"/>
              <w:rPr>
                <w:sz w:val="20"/>
                <w:szCs w:val="20"/>
                <w:color w:val="auto"/>
              </w:rPr>
            </w:pPr>
            <w:r>
              <w:rPr>
                <w:rFonts w:ascii="Times New Roman" w:cs="Times New Roman" w:eastAsia="Times New Roman" w:hAnsi="Times New Roman"/>
                <w:sz w:val="14"/>
                <w:szCs w:val="14"/>
                <w:color w:val="auto"/>
              </w:rPr>
              <w:t>1.4</w:t>
            </w: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146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Yes</w:t>
            </w:r>
          </w:p>
        </w:tc>
        <w:tc>
          <w:tcPr>
            <w:tcW w:w="190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551"/>
              <w:spacing w:after="0"/>
              <w:rPr>
                <w:sz w:val="20"/>
                <w:szCs w:val="20"/>
                <w:color w:val="auto"/>
              </w:rPr>
            </w:pPr>
            <w:r>
              <w:rPr>
                <w:rFonts w:ascii="Times New Roman" w:cs="Times New Roman" w:eastAsia="Times New Roman" w:hAnsi="Times New Roman"/>
                <w:sz w:val="14"/>
                <w:szCs w:val="14"/>
                <w:color w:val="auto"/>
              </w:rPr>
              <w:t>Yes</w:t>
            </w:r>
          </w:p>
        </w:tc>
      </w:tr>
      <w:tr>
        <w:trPr>
          <w:trHeight w:val="142"/>
        </w:trPr>
        <w:tc>
          <w:tcPr>
            <w:tcW w:w="276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Escalator Details</w:t>
            </w:r>
          </w:p>
        </w:tc>
        <w:tc>
          <w:tcPr>
            <w:tcW w:w="14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93"/>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1460" w:type="dxa"/>
            <w:vAlign w:val="bottom"/>
            <w:shd w:val="clear" w:color="auto" w:fill="CCEEFF"/>
          </w:tcPr>
          <w:p>
            <w:pPr>
              <w:spacing w:after="0"/>
              <w:rPr>
                <w:sz w:val="16"/>
                <w:szCs w:val="16"/>
                <w:color w:val="auto"/>
              </w:rPr>
            </w:pPr>
          </w:p>
        </w:tc>
        <w:tc>
          <w:tcPr>
            <w:tcW w:w="250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(2)</w:t>
            </w:r>
          </w:p>
        </w:tc>
        <w:tc>
          <w:tcPr>
            <w:tcW w:w="1900" w:type="dxa"/>
            <w:vAlign w:val="bottom"/>
            <w:shd w:val="clear" w:color="auto" w:fill="CCEEFF"/>
          </w:tcPr>
          <w:p>
            <w:pPr>
              <w:spacing w:after="0"/>
              <w:rPr>
                <w:sz w:val="16"/>
                <w:szCs w:val="16"/>
                <w:color w:val="auto"/>
              </w:rPr>
            </w:pPr>
          </w:p>
        </w:tc>
        <w:tc>
          <w:tcPr>
            <w:tcW w:w="2420" w:type="dxa"/>
            <w:vAlign w:val="bottom"/>
            <w:shd w:val="clear" w:color="auto" w:fill="CCEEFF"/>
          </w:tcPr>
          <w:p>
            <w:pPr>
              <w:jc w:val="right"/>
              <w:ind w:right="1551"/>
              <w:spacing w:after="0"/>
              <w:rPr>
                <w:sz w:val="20"/>
                <w:szCs w:val="20"/>
                <w:color w:val="auto"/>
              </w:rPr>
            </w:pPr>
            <w:r>
              <w:rPr>
                <w:rFonts w:ascii="Times New Roman" w:cs="Times New Roman" w:eastAsia="Times New Roman" w:hAnsi="Times New Roman"/>
                <w:sz w:val="14"/>
                <w:szCs w:val="14"/>
                <w:color w:val="auto"/>
              </w:rPr>
              <w:t>(3)</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Coverage ratio at December 31, 2024</w:t>
            </w:r>
          </w:p>
        </w:tc>
        <w:tc>
          <w:tcPr>
            <w:tcW w:w="1460" w:type="dxa"/>
            <w:vAlign w:val="bottom"/>
          </w:tcPr>
          <w:p>
            <w:pPr>
              <w:spacing w:after="0"/>
              <w:rPr>
                <w:sz w:val="16"/>
                <w:szCs w:val="16"/>
                <w:color w:val="auto"/>
              </w:rPr>
            </w:pPr>
          </w:p>
        </w:tc>
        <w:tc>
          <w:tcPr>
            <w:tcW w:w="250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N/A</w:t>
            </w:r>
          </w:p>
        </w:tc>
        <w:tc>
          <w:tcPr>
            <w:tcW w:w="1900" w:type="dxa"/>
            <w:vAlign w:val="bottom"/>
          </w:tcPr>
          <w:p>
            <w:pPr>
              <w:spacing w:after="0"/>
              <w:rPr>
                <w:sz w:val="16"/>
                <w:szCs w:val="16"/>
                <w:color w:val="auto"/>
              </w:rPr>
            </w:pPr>
          </w:p>
        </w:tc>
        <w:tc>
          <w:tcPr>
            <w:tcW w:w="2420" w:type="dxa"/>
            <w:vAlign w:val="bottom"/>
          </w:tcPr>
          <w:p>
            <w:pPr>
              <w:jc w:val="right"/>
              <w:ind w:right="1551"/>
              <w:spacing w:after="0"/>
              <w:rPr>
                <w:sz w:val="20"/>
                <w:szCs w:val="20"/>
                <w:color w:val="auto"/>
              </w:rPr>
            </w:pPr>
            <w:r>
              <w:rPr>
                <w:rFonts w:ascii="Times New Roman" w:cs="Times New Roman" w:eastAsia="Times New Roman" w:hAnsi="Times New Roman"/>
                <w:sz w:val="14"/>
                <w:szCs w:val="14"/>
                <w:color w:val="auto"/>
              </w:rPr>
              <w:t>2.34</w:t>
            </w: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146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N/A</w:t>
            </w:r>
          </w:p>
        </w:tc>
        <w:tc>
          <w:tcPr>
            <w:tcW w:w="190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551"/>
              <w:spacing w:after="0"/>
              <w:rPr>
                <w:sz w:val="20"/>
                <w:szCs w:val="20"/>
                <w:color w:val="auto"/>
              </w:rPr>
            </w:pPr>
            <w:r>
              <w:rPr>
                <w:rFonts w:ascii="Times New Roman" w:cs="Times New Roman" w:eastAsia="Times New Roman" w:hAnsi="Times New Roman"/>
                <w:sz w:val="14"/>
                <w:szCs w:val="14"/>
                <w:color w:val="auto"/>
              </w:rPr>
              <w:t>N/A</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1460" w:type="dxa"/>
            <w:vAlign w:val="bottom"/>
          </w:tcPr>
          <w:p>
            <w:pPr>
              <w:spacing w:after="0"/>
              <w:rPr>
                <w:sz w:val="16"/>
                <w:szCs w:val="16"/>
                <w:color w:val="auto"/>
              </w:rPr>
            </w:pPr>
          </w:p>
        </w:tc>
        <w:tc>
          <w:tcPr>
            <w:tcW w:w="250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December</w:t>
            </w:r>
          </w:p>
        </w:tc>
        <w:tc>
          <w:tcPr>
            <w:tcW w:w="1900" w:type="dxa"/>
            <w:vAlign w:val="bottom"/>
          </w:tcPr>
          <w:p>
            <w:pPr>
              <w:spacing w:after="0"/>
              <w:rPr>
                <w:sz w:val="16"/>
                <w:szCs w:val="16"/>
                <w:color w:val="auto"/>
              </w:rPr>
            </w:pPr>
          </w:p>
        </w:tc>
        <w:tc>
          <w:tcPr>
            <w:tcW w:w="2420" w:type="dxa"/>
            <w:vAlign w:val="bottom"/>
          </w:tcPr>
          <w:p>
            <w:pPr>
              <w:jc w:val="right"/>
              <w:ind w:right="1551"/>
              <w:spacing w:after="0"/>
              <w:rPr>
                <w:sz w:val="20"/>
                <w:szCs w:val="20"/>
                <w:color w:val="auto"/>
              </w:rPr>
            </w:pPr>
            <w:r>
              <w:rPr>
                <w:rFonts w:ascii="Times New Roman" w:cs="Times New Roman" w:eastAsia="Times New Roman" w:hAnsi="Times New Roman"/>
                <w:sz w:val="14"/>
                <w:szCs w:val="14"/>
                <w:color w:val="auto"/>
              </w:rPr>
              <w:t>December</w:t>
            </w: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Percentage Rent Reset Details</w:t>
            </w:r>
          </w:p>
        </w:tc>
        <w:tc>
          <w:tcPr>
            <w:tcW w:w="9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25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2420" w:type="dxa"/>
            <w:vAlign w:val="bottom"/>
            <w:tcBorders>
              <w:bottom w:val="single" w:sz="8" w:color="CCEEFF"/>
            </w:tcBorders>
            <w:shd w:val="clear" w:color="auto" w:fill="CCEEFF"/>
          </w:tcPr>
          <w:p>
            <w:pPr>
              <w:spacing w:after="0"/>
              <w:rPr>
                <w:sz w:val="15"/>
                <w:szCs w:val="15"/>
                <w:color w:val="auto"/>
              </w:rPr>
            </w:pP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1460" w:type="dxa"/>
            <w:vAlign w:val="bottom"/>
          </w:tcPr>
          <w:p>
            <w:pPr>
              <w:spacing w:after="0"/>
              <w:rPr>
                <w:sz w:val="16"/>
                <w:szCs w:val="16"/>
                <w:color w:val="auto"/>
              </w:rPr>
            </w:pPr>
          </w:p>
        </w:tc>
        <w:tc>
          <w:tcPr>
            <w:tcW w:w="250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N/A</w:t>
            </w:r>
          </w:p>
        </w:tc>
        <w:tc>
          <w:tcPr>
            <w:tcW w:w="1900" w:type="dxa"/>
            <w:vAlign w:val="bottom"/>
          </w:tcPr>
          <w:p>
            <w:pPr>
              <w:spacing w:after="0"/>
              <w:rPr>
                <w:sz w:val="16"/>
                <w:szCs w:val="16"/>
                <w:color w:val="auto"/>
              </w:rPr>
            </w:pPr>
          </w:p>
        </w:tc>
        <w:tc>
          <w:tcPr>
            <w:tcW w:w="2420" w:type="dxa"/>
            <w:vAlign w:val="bottom"/>
          </w:tcPr>
          <w:p>
            <w:pPr>
              <w:jc w:val="right"/>
              <w:ind w:right="1551"/>
              <w:spacing w:after="0"/>
              <w:rPr>
                <w:sz w:val="20"/>
                <w:szCs w:val="20"/>
                <w:color w:val="auto"/>
              </w:rPr>
            </w:pPr>
            <w:r>
              <w:rPr>
                <w:rFonts w:ascii="Times New Roman" w:cs="Times New Roman" w:eastAsia="Times New Roman" w:hAnsi="Times New Roman"/>
                <w:sz w:val="14"/>
                <w:szCs w:val="14"/>
                <w:color w:val="auto"/>
              </w:rPr>
              <w:t>N/A</w:t>
            </w: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146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N/A</w:t>
            </w:r>
          </w:p>
        </w:tc>
        <w:tc>
          <w:tcPr>
            <w:tcW w:w="190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551"/>
              <w:spacing w:after="0"/>
              <w:rPr>
                <w:sz w:val="20"/>
                <w:szCs w:val="20"/>
                <w:color w:val="auto"/>
              </w:rPr>
            </w:pPr>
            <w:r>
              <w:rPr>
                <w:rFonts w:ascii="Times New Roman" w:cs="Times New Roman" w:eastAsia="Times New Roman" w:hAnsi="Times New Roman"/>
                <w:sz w:val="14"/>
                <w:szCs w:val="14"/>
                <w:color w:val="auto"/>
              </w:rPr>
              <w:t>N/A</w:t>
            </w:r>
          </w:p>
        </w:tc>
      </w:tr>
    </w:tbl>
    <w:p>
      <w:pPr>
        <w:spacing w:after="0" w:line="200" w:lineRule="exact"/>
        <w:rPr>
          <w:sz w:val="20"/>
          <w:szCs w:val="20"/>
          <w:color w:val="auto"/>
        </w:rPr>
      </w:pPr>
    </w:p>
    <w:p>
      <w:pPr>
        <w:spacing w:after="0" w:line="347" w:lineRule="exact"/>
        <w:rPr>
          <w:sz w:val="20"/>
          <w:szCs w:val="20"/>
          <w:color w:val="auto"/>
        </w:rPr>
      </w:pPr>
    </w:p>
    <w:p>
      <w:pPr>
        <w:ind w:left="240" w:hanging="237"/>
        <w:spacing w:after="0"/>
        <w:tabs>
          <w:tab w:leader="none" w:pos="24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default adjusted revenue to rent coverage declines to 1.2 if the annual rent equals or exceeds $60 million on an annual basis.</w:t>
      </w:r>
    </w:p>
    <w:p>
      <w:pPr>
        <w:spacing w:after="0" w:line="112" w:lineRule="exact"/>
        <w:rPr>
          <w:rFonts w:ascii="Times New Roman" w:cs="Times New Roman" w:eastAsia="Times New Roman" w:hAnsi="Times New Roman"/>
          <w:sz w:val="22"/>
          <w:szCs w:val="22"/>
          <w:color w:val="auto"/>
          <w:vertAlign w:val="superscript"/>
        </w:rPr>
      </w:pPr>
    </w:p>
    <w:p>
      <w:pPr>
        <w:ind w:left="620" w:hanging="617"/>
        <w:spacing w:after="0" w:line="229" w:lineRule="auto"/>
        <w:tabs>
          <w:tab w:leader="none" w:pos="243"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203" w:lineRule="exact"/>
        <w:rPr>
          <w:rFonts w:ascii="Times New Roman" w:cs="Times New Roman" w:eastAsia="Times New Roman" w:hAnsi="Times New Roman"/>
          <w:sz w:val="22"/>
          <w:szCs w:val="22"/>
          <w:color w:val="auto"/>
          <w:vertAlign w:val="superscript"/>
        </w:rPr>
      </w:pPr>
    </w:p>
    <w:p>
      <w:pPr>
        <w:ind w:left="620" w:hanging="617"/>
        <w:spacing w:after="0"/>
        <w:tabs>
          <w:tab w:leader="none" w:pos="294"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Rent increases by 0.5% for the first six years. Beginning in the seventh lease year through the remainder of the lease term, if the CPI increases by at least 0.25% for any lease year then annual rent shall be increased by 1.25%, and if the CPI is less than 0.25% then rent will remain unchanged for such lease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007225" cy="139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7225" cy="139065"/>
                    </a:xfrm>
                    <a:prstGeom prst="rect">
                      <a:avLst/>
                    </a:prstGeom>
                    <a:noFill/>
                  </pic:spPr>
                </pic:pic>
              </a:graphicData>
            </a:graphic>
          </wp:anchor>
        </w:drawing>
        <w:t>Master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jc w:val="right"/>
              <w:ind w:right="1091"/>
              <w:spacing w:after="0"/>
              <w:rPr>
                <w:sz w:val="20"/>
                <w:szCs w:val="20"/>
                <w:color w:val="auto"/>
              </w:rPr>
            </w:pPr>
            <w:r>
              <w:rPr>
                <w:rFonts w:ascii="Times New Roman" w:cs="Times New Roman" w:eastAsia="Times New Roman" w:hAnsi="Times New Roman"/>
                <w:sz w:val="14"/>
                <w:szCs w:val="14"/>
                <w:b w:val="1"/>
                <w:bCs w:val="1"/>
                <w:color w:val="auto"/>
              </w:rPr>
              <w:t>Boyd Master Lease</w:t>
            </w:r>
          </w:p>
        </w:tc>
        <w:tc>
          <w:tcPr>
            <w:tcW w:w="430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Caesars Amended and Restated Master Lease</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1620" w:type="dxa"/>
            <w:vAlign w:val="bottom"/>
            <w:shd w:val="clear" w:color="auto" w:fill="CCEEFF"/>
          </w:tcPr>
          <w:p>
            <w:pPr>
              <w:spacing w:after="0"/>
              <w:rPr>
                <w:sz w:val="16"/>
                <w:szCs w:val="16"/>
                <w:color w:val="auto"/>
              </w:rPr>
            </w:pPr>
          </w:p>
        </w:tc>
        <w:tc>
          <w:tcPr>
            <w:tcW w:w="2400" w:type="dxa"/>
            <w:vAlign w:val="bottom"/>
            <w:shd w:val="clear" w:color="auto" w:fill="CCEEFF"/>
          </w:tcPr>
          <w:p>
            <w:pPr>
              <w:jc w:val="right"/>
              <w:ind w:right="1511"/>
              <w:spacing w:after="0"/>
              <w:rPr>
                <w:sz w:val="20"/>
                <w:szCs w:val="20"/>
                <w:color w:val="auto"/>
              </w:rPr>
            </w:pPr>
            <w:r>
              <w:rPr>
                <w:rFonts w:ascii="Times New Roman" w:cs="Times New Roman" w:eastAsia="Times New Roman" w:hAnsi="Times New Roman"/>
                <w:sz w:val="14"/>
                <w:szCs w:val="14"/>
                <w:b w:val="1"/>
                <w:bCs w:val="1"/>
                <w:color w:val="auto"/>
              </w:rPr>
              <w:t>Boyd</w:t>
            </w:r>
          </w:p>
        </w:tc>
        <w:tc>
          <w:tcPr>
            <w:tcW w:w="2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Caesars</w:t>
            </w:r>
          </w:p>
        </w:tc>
        <w:tc>
          <w:tcPr>
            <w:tcW w:w="1620" w:type="dxa"/>
            <w:vAlign w:val="bottom"/>
            <w:shd w:val="clear" w:color="auto" w:fill="CCEEFF"/>
          </w:tcPr>
          <w:p>
            <w:pPr>
              <w:spacing w:after="0"/>
              <w:rPr>
                <w:sz w:val="16"/>
                <w:szCs w:val="16"/>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1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Belterra Casino Resort</w:t>
            </w:r>
          </w:p>
        </w:tc>
        <w:tc>
          <w:tcPr>
            <w:tcW w:w="24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Florence, IN</w:t>
            </w:r>
          </w:p>
        </w:tc>
        <w:tc>
          <w:tcPr>
            <w:tcW w:w="2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Tropicana Atlantic City</w:t>
            </w: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Atlantic City, NJ</w:t>
            </w: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Ameristar Kansas City</w:t>
            </w:r>
          </w:p>
        </w:tc>
        <w:tc>
          <w:tcPr>
            <w:tcW w:w="2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Kansas City, MO</w:t>
            </w:r>
          </w:p>
        </w:tc>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Tropicana Laughlin</w:t>
            </w: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Laughlin, NV</w:t>
            </w: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Ameristar St. Charles</w:t>
            </w:r>
          </w:p>
        </w:tc>
        <w:tc>
          <w:tcPr>
            <w:tcW w:w="24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St. Charles, MO</w:t>
            </w:r>
          </w:p>
        </w:tc>
        <w:tc>
          <w:tcPr>
            <w:tcW w:w="2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Trop Casino Greenville</w:t>
            </w: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Greenville, MS</w:t>
            </w: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Isle Casino Hotel Bettendorf</w:t>
            </w: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Bettendorf, IA</w:t>
            </w: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Isle Casino Hotel Waterloo</w:t>
            </w: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Waterloo, IA</w:t>
            </w: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620" w:type="dxa"/>
            <w:vAlign w:val="bottom"/>
            <w:shd w:val="clear" w:color="auto" w:fill="CCEEFF"/>
          </w:tcPr>
          <w:p>
            <w:pPr>
              <w:spacing w:after="0"/>
              <w:rPr>
                <w:sz w:val="17"/>
                <w:szCs w:val="17"/>
                <w:color w:val="auto"/>
              </w:rPr>
            </w:pPr>
          </w:p>
        </w:tc>
        <w:tc>
          <w:tcPr>
            <w:tcW w:w="2400" w:type="dxa"/>
            <w:vAlign w:val="bottom"/>
            <w:shd w:val="clear" w:color="auto" w:fill="CCEEFF"/>
          </w:tcPr>
          <w:p>
            <w:pPr>
              <w:jc w:val="right"/>
              <w:ind w:right="1231"/>
              <w:spacing w:after="0"/>
              <w:rPr>
                <w:sz w:val="20"/>
                <w:szCs w:val="20"/>
                <w:color w:val="auto"/>
              </w:rPr>
            </w:pPr>
            <w:r>
              <w:rPr>
                <w:rFonts w:ascii="Times New Roman" w:cs="Times New Roman" w:eastAsia="Times New Roman" w:hAnsi="Times New Roman"/>
                <w:sz w:val="14"/>
                <w:szCs w:val="14"/>
                <w:color w:val="auto"/>
              </w:rPr>
              <w:t>10/15/2018</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10/1/2018</w:t>
            </w:r>
          </w:p>
        </w:tc>
        <w:tc>
          <w:tcPr>
            <w:tcW w:w="1620" w:type="dxa"/>
            <w:vAlign w:val="bottom"/>
            <w:shd w:val="clear" w:color="auto" w:fill="CCEEFF"/>
          </w:tcPr>
          <w:p>
            <w:pPr>
              <w:spacing w:after="0"/>
              <w:rPr>
                <w:sz w:val="17"/>
                <w:szCs w:val="17"/>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1620" w:type="dxa"/>
            <w:vAlign w:val="bottom"/>
          </w:tcPr>
          <w:p>
            <w:pPr>
              <w:spacing w:after="0"/>
              <w:rPr>
                <w:sz w:val="16"/>
                <w:szCs w:val="16"/>
                <w:color w:val="auto"/>
              </w:rPr>
            </w:pPr>
          </w:p>
        </w:tc>
        <w:tc>
          <w:tcPr>
            <w:tcW w:w="2400" w:type="dxa"/>
            <w:vAlign w:val="bottom"/>
          </w:tcPr>
          <w:p>
            <w:pPr>
              <w:jc w:val="right"/>
              <w:ind w:right="1231"/>
              <w:spacing w:after="0"/>
              <w:rPr>
                <w:sz w:val="20"/>
                <w:szCs w:val="20"/>
                <w:color w:val="auto"/>
              </w:rPr>
            </w:pPr>
            <w:r>
              <w:rPr>
                <w:rFonts w:ascii="Times New Roman" w:cs="Times New Roman" w:eastAsia="Times New Roman" w:hAnsi="Times New Roman"/>
                <w:sz w:val="14"/>
                <w:szCs w:val="14"/>
                <w:color w:val="auto"/>
              </w:rPr>
              <w:t>4/30/2031</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9/30/2038</w:t>
            </w:r>
          </w:p>
        </w:tc>
        <w:tc>
          <w:tcPr>
            <w:tcW w:w="1620" w:type="dxa"/>
            <w:vAlign w:val="bottom"/>
          </w:tcPr>
          <w:p>
            <w:pPr>
              <w:spacing w:after="0"/>
              <w:rPr>
                <w:sz w:val="16"/>
                <w:szCs w:val="16"/>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1620" w:type="dxa"/>
            <w:vAlign w:val="bottom"/>
            <w:shd w:val="clear" w:color="auto" w:fill="CCEEFF"/>
          </w:tcPr>
          <w:p>
            <w:pPr>
              <w:spacing w:after="0"/>
              <w:rPr>
                <w:sz w:val="17"/>
                <w:szCs w:val="17"/>
                <w:color w:val="auto"/>
              </w:rPr>
            </w:pPr>
          </w:p>
        </w:tc>
        <w:tc>
          <w:tcPr>
            <w:tcW w:w="2400" w:type="dxa"/>
            <w:vAlign w:val="bottom"/>
            <w:shd w:val="clear" w:color="auto" w:fill="CCEEFF"/>
          </w:tcPr>
          <w:p>
            <w:pPr>
              <w:jc w:val="right"/>
              <w:ind w:right="1231"/>
              <w:spacing w:after="0"/>
              <w:rPr>
                <w:sz w:val="20"/>
                <w:szCs w:val="20"/>
                <w:color w:val="auto"/>
              </w:rPr>
            </w:pPr>
            <w:r>
              <w:rPr>
                <w:rFonts w:ascii="Times New Roman" w:cs="Times New Roman" w:eastAsia="Times New Roman" w:hAnsi="Times New Roman"/>
                <w:sz w:val="14"/>
                <w:szCs w:val="14"/>
                <w:color w:val="auto"/>
              </w:rPr>
              <w:t>20 (4x5 years)</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(4x5 years)</w:t>
            </w:r>
          </w:p>
        </w:tc>
        <w:tc>
          <w:tcPr>
            <w:tcW w:w="1620" w:type="dxa"/>
            <w:vAlign w:val="bottom"/>
            <w:shd w:val="clear" w:color="auto" w:fill="CCEEFF"/>
          </w:tcPr>
          <w:p>
            <w:pPr>
              <w:spacing w:after="0"/>
              <w:rPr>
                <w:sz w:val="17"/>
                <w:szCs w:val="17"/>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1620" w:type="dxa"/>
            <w:vAlign w:val="bottom"/>
          </w:tcPr>
          <w:p>
            <w:pPr>
              <w:spacing w:after="0"/>
              <w:rPr>
                <w:sz w:val="16"/>
                <w:szCs w:val="16"/>
                <w:color w:val="auto"/>
              </w:rPr>
            </w:pPr>
          </w:p>
        </w:tc>
        <w:tc>
          <w:tcPr>
            <w:tcW w:w="2400" w:type="dxa"/>
            <w:vAlign w:val="bottom"/>
          </w:tcPr>
          <w:p>
            <w:pPr>
              <w:jc w:val="right"/>
              <w:ind w:right="1231"/>
              <w:spacing w:after="0"/>
              <w:rPr>
                <w:sz w:val="20"/>
                <w:szCs w:val="20"/>
                <w:color w:val="auto"/>
              </w:rPr>
            </w:pPr>
            <w:r>
              <w:rPr>
                <w:rFonts w:ascii="Times New Roman" w:cs="Times New Roman" w:eastAsia="Times New Roman" w:hAnsi="Times New Roman"/>
                <w:sz w:val="14"/>
                <w:szCs w:val="14"/>
                <w:color w:val="auto"/>
              </w:rPr>
              <w:t>No</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tcPr>
          <w:p>
            <w:pPr>
              <w:spacing w:after="0"/>
              <w:rPr>
                <w:sz w:val="16"/>
                <w:szCs w:val="16"/>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1620" w:type="dxa"/>
            <w:vAlign w:val="bottom"/>
            <w:shd w:val="clear" w:color="auto" w:fill="CCEEFF"/>
          </w:tcPr>
          <w:p>
            <w:pPr>
              <w:spacing w:after="0"/>
              <w:rPr>
                <w:sz w:val="17"/>
                <w:szCs w:val="17"/>
                <w:color w:val="auto"/>
              </w:rPr>
            </w:pPr>
          </w:p>
        </w:tc>
        <w:tc>
          <w:tcPr>
            <w:tcW w:w="2400" w:type="dxa"/>
            <w:vAlign w:val="bottom"/>
            <w:shd w:val="clear" w:color="auto" w:fill="CCEEFF"/>
          </w:tcPr>
          <w:p>
            <w:pPr>
              <w:jc w:val="right"/>
              <w:ind w:right="1231"/>
              <w:spacing w:after="0"/>
              <w:rPr>
                <w:sz w:val="20"/>
                <w:szCs w:val="20"/>
                <w:color w:val="auto"/>
              </w:rPr>
            </w:pPr>
            <w:r>
              <w:rPr>
                <w:rFonts w:ascii="Times New Roman" w:cs="Times New Roman" w:eastAsia="Times New Roman" w:hAnsi="Times New Roman"/>
                <w:sz w:val="14"/>
                <w:szCs w:val="14"/>
                <w:color w:val="auto"/>
              </w:rPr>
              <w:t>Yes</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shd w:val="clear" w:color="auto" w:fill="CCEEFF"/>
          </w:tcPr>
          <w:p>
            <w:pPr>
              <w:spacing w:after="0"/>
              <w:rPr>
                <w:sz w:val="17"/>
                <w:szCs w:val="17"/>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1620" w:type="dxa"/>
            <w:vAlign w:val="bottom"/>
          </w:tcPr>
          <w:p>
            <w:pPr>
              <w:spacing w:after="0"/>
              <w:rPr>
                <w:sz w:val="16"/>
                <w:szCs w:val="16"/>
                <w:color w:val="auto"/>
              </w:rPr>
            </w:pPr>
          </w:p>
        </w:tc>
        <w:tc>
          <w:tcPr>
            <w:tcW w:w="2400" w:type="dxa"/>
            <w:vAlign w:val="bottom"/>
          </w:tcPr>
          <w:p>
            <w:pPr>
              <w:jc w:val="right"/>
              <w:ind w:right="1231"/>
              <w:spacing w:after="0"/>
              <w:rPr>
                <w:sz w:val="20"/>
                <w:szCs w:val="20"/>
                <w:color w:val="auto"/>
              </w:rPr>
            </w:pPr>
            <w:r>
              <w:rPr>
                <w:rFonts w:ascii="Times New Roman" w:cs="Times New Roman" w:eastAsia="Times New Roman" w:hAnsi="Times New Roman"/>
                <w:sz w:val="14"/>
                <w:szCs w:val="14"/>
                <w:color w:val="auto"/>
              </w:rPr>
              <w:t>Yes</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tcPr>
          <w:p>
            <w:pPr>
              <w:spacing w:after="0"/>
              <w:rPr>
                <w:sz w:val="16"/>
                <w:szCs w:val="16"/>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1620" w:type="dxa"/>
            <w:vAlign w:val="bottom"/>
            <w:shd w:val="clear" w:color="auto" w:fill="CCEEFF"/>
          </w:tcPr>
          <w:p>
            <w:pPr>
              <w:spacing w:after="0"/>
              <w:rPr>
                <w:sz w:val="17"/>
                <w:szCs w:val="17"/>
                <w:color w:val="auto"/>
              </w:rPr>
            </w:pPr>
          </w:p>
        </w:tc>
        <w:tc>
          <w:tcPr>
            <w:tcW w:w="2400" w:type="dxa"/>
            <w:vAlign w:val="bottom"/>
            <w:shd w:val="clear" w:color="auto" w:fill="CCEEFF"/>
          </w:tcPr>
          <w:p>
            <w:pPr>
              <w:jc w:val="right"/>
              <w:ind w:right="1231"/>
              <w:spacing w:after="0"/>
              <w:rPr>
                <w:sz w:val="20"/>
                <w:szCs w:val="20"/>
                <w:color w:val="auto"/>
              </w:rPr>
            </w:pPr>
            <w:r>
              <w:rPr>
                <w:rFonts w:ascii="Times New Roman" w:cs="Times New Roman" w:eastAsia="Times New Roman" w:hAnsi="Times New Roman"/>
                <w:sz w:val="14"/>
                <w:szCs w:val="14"/>
                <w:color w:val="auto"/>
              </w:rPr>
              <w:t>1.4</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20" w:type="dxa"/>
            <w:vAlign w:val="bottom"/>
            <w:shd w:val="clear" w:color="auto" w:fill="CCEEFF"/>
          </w:tcPr>
          <w:p>
            <w:pPr>
              <w:spacing w:after="0"/>
              <w:rPr>
                <w:sz w:val="17"/>
                <w:szCs w:val="17"/>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1620" w:type="dxa"/>
            <w:vAlign w:val="bottom"/>
          </w:tcPr>
          <w:p>
            <w:pPr>
              <w:spacing w:after="0"/>
              <w:rPr>
                <w:sz w:val="16"/>
                <w:szCs w:val="16"/>
                <w:color w:val="auto"/>
              </w:rPr>
            </w:pPr>
          </w:p>
        </w:tc>
        <w:tc>
          <w:tcPr>
            <w:tcW w:w="2400" w:type="dxa"/>
            <w:vAlign w:val="bottom"/>
          </w:tcPr>
          <w:p>
            <w:pPr>
              <w:jc w:val="right"/>
              <w:ind w:right="1231"/>
              <w:spacing w:after="0"/>
              <w:rPr>
                <w:sz w:val="20"/>
                <w:szCs w:val="20"/>
                <w:color w:val="auto"/>
              </w:rPr>
            </w:pPr>
            <w:r>
              <w:rPr>
                <w:rFonts w:ascii="Times New Roman" w:cs="Times New Roman" w:eastAsia="Times New Roman" w:hAnsi="Times New Roman"/>
                <w:sz w:val="14"/>
                <w:szCs w:val="14"/>
                <w:color w:val="auto"/>
              </w:rPr>
              <w:t>Yes</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tcPr>
          <w:p>
            <w:pPr>
              <w:spacing w:after="0"/>
              <w:rPr>
                <w:sz w:val="16"/>
                <w:szCs w:val="16"/>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Escalator Details</w:t>
            </w:r>
          </w:p>
        </w:tc>
        <w:tc>
          <w:tcPr>
            <w:tcW w:w="1700" w:type="dxa"/>
            <w:vAlign w:val="bottom"/>
            <w:tcBorders>
              <w:bottom w:val="single" w:sz="8" w:color="CCEEFF"/>
            </w:tcBorders>
            <w:gridSpan w:val="2"/>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shd w:val="clear" w:color="auto" w:fill="CCEEFF"/>
          </w:tcPr>
          <w:p>
            <w:pPr>
              <w:spacing w:after="0"/>
              <w:rPr>
                <w:sz w:val="15"/>
                <w:szCs w:val="15"/>
                <w:color w:val="auto"/>
              </w:rPr>
            </w:pPr>
          </w:p>
        </w:tc>
        <w:tc>
          <w:tcPr>
            <w:tcW w:w="26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1620" w:type="dxa"/>
            <w:vAlign w:val="bottom"/>
          </w:tcPr>
          <w:p>
            <w:pPr>
              <w:spacing w:after="0"/>
              <w:rPr>
                <w:sz w:val="16"/>
                <w:szCs w:val="16"/>
                <w:color w:val="auto"/>
              </w:rPr>
            </w:pPr>
          </w:p>
        </w:tc>
        <w:tc>
          <w:tcPr>
            <w:tcW w:w="2400" w:type="dxa"/>
            <w:vAlign w:val="bottom"/>
          </w:tcPr>
          <w:p>
            <w:pPr>
              <w:jc w:val="right"/>
              <w:ind w:right="1231"/>
              <w:spacing w:after="0"/>
              <w:rPr>
                <w:sz w:val="20"/>
                <w:szCs w:val="20"/>
                <w:color w:val="auto"/>
              </w:rPr>
            </w:pPr>
            <w:r>
              <w:rPr>
                <w:rFonts w:ascii="Times New Roman" w:cs="Times New Roman" w:eastAsia="Times New Roman" w:hAnsi="Times New Roman"/>
                <w:sz w:val="14"/>
                <w:szCs w:val="14"/>
                <w:color w:val="auto"/>
              </w:rPr>
              <w:t>2 %</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1.75 % (1)</w:t>
            </w:r>
          </w:p>
        </w:tc>
        <w:tc>
          <w:tcPr>
            <w:tcW w:w="1620" w:type="dxa"/>
            <w:vAlign w:val="bottom"/>
          </w:tcPr>
          <w:p>
            <w:pPr>
              <w:spacing w:after="0"/>
              <w:rPr>
                <w:sz w:val="16"/>
                <w:szCs w:val="16"/>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December 31, 2024</w:t>
            </w:r>
          </w:p>
        </w:tc>
        <w:tc>
          <w:tcPr>
            <w:tcW w:w="1620" w:type="dxa"/>
            <w:vAlign w:val="bottom"/>
            <w:shd w:val="clear" w:color="auto" w:fill="CCEEFF"/>
          </w:tcPr>
          <w:p>
            <w:pPr>
              <w:spacing w:after="0"/>
              <w:rPr>
                <w:sz w:val="17"/>
                <w:szCs w:val="17"/>
                <w:color w:val="auto"/>
              </w:rPr>
            </w:pPr>
          </w:p>
        </w:tc>
        <w:tc>
          <w:tcPr>
            <w:tcW w:w="2400" w:type="dxa"/>
            <w:vAlign w:val="bottom"/>
            <w:shd w:val="clear" w:color="auto" w:fill="CCEEFF"/>
          </w:tcPr>
          <w:p>
            <w:pPr>
              <w:jc w:val="right"/>
              <w:ind w:right="1231"/>
              <w:spacing w:after="0"/>
              <w:rPr>
                <w:sz w:val="20"/>
                <w:szCs w:val="20"/>
                <w:color w:val="auto"/>
              </w:rPr>
            </w:pPr>
            <w:r>
              <w:rPr>
                <w:rFonts w:ascii="Times New Roman" w:cs="Times New Roman" w:eastAsia="Times New Roman" w:hAnsi="Times New Roman"/>
                <w:sz w:val="14"/>
                <w:szCs w:val="14"/>
                <w:color w:val="auto"/>
              </w:rPr>
              <w:t>2.51</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620" w:type="dxa"/>
            <w:vAlign w:val="bottom"/>
            <w:shd w:val="clear" w:color="auto" w:fill="CCEEFF"/>
          </w:tcPr>
          <w:p>
            <w:pPr>
              <w:spacing w:after="0"/>
              <w:rPr>
                <w:sz w:val="17"/>
                <w:szCs w:val="17"/>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1620" w:type="dxa"/>
            <w:vAlign w:val="bottom"/>
          </w:tcPr>
          <w:p>
            <w:pPr>
              <w:spacing w:after="0"/>
              <w:rPr>
                <w:sz w:val="16"/>
                <w:szCs w:val="16"/>
                <w:color w:val="auto"/>
              </w:rPr>
            </w:pPr>
          </w:p>
        </w:tc>
        <w:tc>
          <w:tcPr>
            <w:tcW w:w="2400" w:type="dxa"/>
            <w:vAlign w:val="bottom"/>
          </w:tcPr>
          <w:p>
            <w:pPr>
              <w:jc w:val="right"/>
              <w:ind w:right="1231"/>
              <w:spacing w:after="0"/>
              <w:rPr>
                <w:sz w:val="20"/>
                <w:szCs w:val="20"/>
                <w:color w:val="auto"/>
              </w:rPr>
            </w:pPr>
            <w:r>
              <w:rPr>
                <w:rFonts w:ascii="Times New Roman" w:cs="Times New Roman" w:eastAsia="Times New Roman" w:hAnsi="Times New Roman"/>
                <w:sz w:val="14"/>
                <w:szCs w:val="14"/>
                <w:color w:val="auto"/>
              </w:rPr>
              <w:t>1.8</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tcPr>
          <w:p>
            <w:pPr>
              <w:spacing w:after="0"/>
              <w:rPr>
                <w:sz w:val="16"/>
                <w:szCs w:val="16"/>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1620" w:type="dxa"/>
            <w:vAlign w:val="bottom"/>
            <w:shd w:val="clear" w:color="auto" w:fill="CCEEFF"/>
          </w:tcPr>
          <w:p>
            <w:pPr>
              <w:spacing w:after="0"/>
              <w:rPr>
                <w:sz w:val="17"/>
                <w:szCs w:val="17"/>
                <w:color w:val="auto"/>
              </w:rPr>
            </w:pPr>
          </w:p>
        </w:tc>
        <w:tc>
          <w:tcPr>
            <w:tcW w:w="2400" w:type="dxa"/>
            <w:vAlign w:val="bottom"/>
            <w:shd w:val="clear" w:color="auto" w:fill="CCEEFF"/>
          </w:tcPr>
          <w:p>
            <w:pPr>
              <w:jc w:val="right"/>
              <w:ind w:right="1231"/>
              <w:spacing w:after="0"/>
              <w:rPr>
                <w:sz w:val="20"/>
                <w:szCs w:val="20"/>
                <w:color w:val="auto"/>
              </w:rPr>
            </w:pPr>
            <w:r>
              <w:rPr>
                <w:rFonts w:ascii="Times New Roman" w:cs="Times New Roman" w:eastAsia="Times New Roman" w:hAnsi="Times New Roman"/>
                <w:sz w:val="14"/>
                <w:szCs w:val="14"/>
                <w:color w:val="auto"/>
              </w:rPr>
              <w:t>May</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October</w:t>
            </w:r>
          </w:p>
        </w:tc>
        <w:tc>
          <w:tcPr>
            <w:tcW w:w="1620" w:type="dxa"/>
            <w:vAlign w:val="bottom"/>
            <w:shd w:val="clear" w:color="auto" w:fill="CCEEFF"/>
          </w:tcPr>
          <w:p>
            <w:pPr>
              <w:spacing w:after="0"/>
              <w:rPr>
                <w:sz w:val="17"/>
                <w:szCs w:val="17"/>
                <w:color w:val="auto"/>
              </w:rPr>
            </w:pPr>
          </w:p>
        </w:tc>
      </w:tr>
      <w:tr>
        <w:trPr>
          <w:trHeight w:val="142"/>
        </w:trPr>
        <w:tc>
          <w:tcPr>
            <w:tcW w:w="27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16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1620" w:type="dxa"/>
            <w:vAlign w:val="bottom"/>
            <w:shd w:val="clear" w:color="auto" w:fill="CCEEFF"/>
          </w:tcPr>
          <w:p>
            <w:pPr>
              <w:spacing w:after="0"/>
              <w:rPr>
                <w:sz w:val="16"/>
                <w:szCs w:val="16"/>
                <w:color w:val="auto"/>
              </w:rPr>
            </w:pPr>
          </w:p>
        </w:tc>
        <w:tc>
          <w:tcPr>
            <w:tcW w:w="2400" w:type="dxa"/>
            <w:vAlign w:val="bottom"/>
            <w:shd w:val="clear" w:color="auto" w:fill="CCEEFF"/>
          </w:tcPr>
          <w:p>
            <w:pPr>
              <w:jc w:val="right"/>
              <w:ind w:right="1231"/>
              <w:spacing w:after="0"/>
              <w:rPr>
                <w:sz w:val="20"/>
                <w:szCs w:val="20"/>
                <w:color w:val="auto"/>
              </w:rPr>
            </w:pPr>
            <w:r>
              <w:rPr>
                <w:rFonts w:ascii="Times New Roman" w:cs="Times New Roman" w:eastAsia="Times New Roman" w:hAnsi="Times New Roman"/>
                <w:sz w:val="14"/>
                <w:szCs w:val="14"/>
                <w:color w:val="auto"/>
              </w:rPr>
              <w:t>2 years</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shd w:val="clear" w:color="auto" w:fill="CCEEFF"/>
          </w:tcPr>
          <w:p>
            <w:pPr>
              <w:spacing w:after="0"/>
              <w:rPr>
                <w:sz w:val="16"/>
                <w:szCs w:val="16"/>
                <w:color w:val="auto"/>
              </w:rPr>
            </w:pPr>
          </w:p>
        </w:tc>
      </w:tr>
      <w:tr>
        <w:trPr>
          <w:trHeight w:val="178"/>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1620" w:type="dxa"/>
            <w:vAlign w:val="bottom"/>
          </w:tcPr>
          <w:p>
            <w:pPr>
              <w:spacing w:after="0"/>
              <w:rPr>
                <w:sz w:val="15"/>
                <w:szCs w:val="15"/>
                <w:color w:val="auto"/>
              </w:rPr>
            </w:pPr>
          </w:p>
        </w:tc>
        <w:tc>
          <w:tcPr>
            <w:tcW w:w="2400" w:type="dxa"/>
            <w:vAlign w:val="bottom"/>
          </w:tcPr>
          <w:p>
            <w:pPr>
              <w:jc w:val="right"/>
              <w:ind w:right="1231"/>
              <w:spacing w:after="0"/>
              <w:rPr>
                <w:sz w:val="20"/>
                <w:szCs w:val="20"/>
                <w:color w:val="auto"/>
              </w:rPr>
            </w:pPr>
            <w:r>
              <w:rPr>
                <w:rFonts w:ascii="Times New Roman" w:cs="Times New Roman" w:eastAsia="Times New Roman" w:hAnsi="Times New Roman"/>
                <w:sz w:val="14"/>
                <w:szCs w:val="14"/>
                <w:color w:val="auto"/>
              </w:rPr>
              <w:t>May-26</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tcPr>
          <w:p>
            <w:pPr>
              <w:spacing w:after="0"/>
              <w:rPr>
                <w:sz w:val="15"/>
                <w:szCs w:val="15"/>
                <w:color w:val="auto"/>
              </w:rPr>
            </w:pPr>
          </w:p>
        </w:tc>
      </w:tr>
    </w:tbl>
    <w:p>
      <w:pPr>
        <w:spacing w:after="0" w:line="201" w:lineRule="exact"/>
        <w:rPr>
          <w:sz w:val="20"/>
          <w:szCs w:val="20"/>
          <w:color w:val="auto"/>
        </w:rPr>
      </w:pPr>
    </w:p>
    <w:p>
      <w:pPr>
        <w:ind w:left="300" w:hanging="297"/>
        <w:spacing w:after="0"/>
        <w:tabs>
          <w:tab w:leader="none" w:pos="3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Building base rent will be increased by 1.75% in the 7th and 8th lease year and 2% in the 9th lease year and each year thereafter.</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72"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1404" w:right="539" w:bottom="1440" w:gutter="0" w:footer="0" w:header="0"/>
        </w:sectPr>
      </w:pPr>
    </w:p>
    <w:bookmarkStart w:id="36" w:name="page37"/>
    <w:bookmarkEnd w:id="36"/>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007225" cy="139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7225" cy="139065"/>
                    </a:xfrm>
                    <a:prstGeom prst="rect">
                      <a:avLst/>
                    </a:prstGeom>
                    <a:noFill/>
                  </pic:spPr>
                </pic:pic>
              </a:graphicData>
            </a:graphic>
          </wp:anchor>
        </w:drawing>
        <w:t>Master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2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Pennsylvania Live! Master Lease</w:t>
            </w:r>
          </w:p>
        </w:tc>
        <w:tc>
          <w:tcPr>
            <w:tcW w:w="430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Strategic Gaming Leases (1)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2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Cordish</w:t>
            </w:r>
          </w:p>
        </w:tc>
        <w:tc>
          <w:tcPr>
            <w:tcW w:w="1280" w:type="dxa"/>
            <w:vAlign w:val="bottom"/>
            <w:shd w:val="clear" w:color="auto" w:fill="CCEEFF"/>
          </w:tcPr>
          <w:p>
            <w:pPr>
              <w:spacing w:after="0"/>
              <w:rPr>
                <w:sz w:val="16"/>
                <w:szCs w:val="16"/>
                <w:color w:val="auto"/>
              </w:rPr>
            </w:pPr>
          </w:p>
        </w:tc>
        <w:tc>
          <w:tcPr>
            <w:tcW w:w="2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27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Live! Casino &amp; Hotel Philadelphia</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Philadelphia, PA</w:t>
            </w:r>
          </w:p>
        </w:tc>
        <w:tc>
          <w:tcPr>
            <w:tcW w:w="2680" w:type="dxa"/>
            <w:vAlign w:val="bottom"/>
          </w:tcPr>
          <w:p>
            <w:pPr>
              <w:ind w:left="340"/>
              <w:spacing w:after="0" w:line="135" w:lineRule="exact"/>
              <w:rPr>
                <w:sz w:val="20"/>
                <w:szCs w:val="20"/>
                <w:color w:val="auto"/>
              </w:rPr>
            </w:pPr>
            <w:r>
              <w:rPr>
                <w:rFonts w:ascii="Times New Roman" w:cs="Times New Roman" w:eastAsia="Times New Roman" w:hAnsi="Times New Roman"/>
                <w:sz w:val="14"/>
                <w:szCs w:val="14"/>
                <w:color w:val="auto"/>
              </w:rPr>
              <w:t>Silverado Franklin Hotel &amp; Gaming</w:t>
            </w: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Deadwood, SD</w:t>
            </w:r>
          </w:p>
        </w:tc>
        <w:tc>
          <w:tcPr>
            <w:tcW w:w="0" w:type="dxa"/>
            <w:vAlign w:val="bottom"/>
          </w:tcPr>
          <w:p>
            <w:pPr>
              <w:spacing w:after="0"/>
              <w:rPr>
                <w:sz w:val="1"/>
                <w:szCs w:val="1"/>
                <w:color w:val="auto"/>
              </w:rPr>
            </w:pPr>
          </w:p>
        </w:tc>
      </w:tr>
      <w:tr>
        <w:trPr>
          <w:trHeight w:val="183"/>
        </w:trPr>
        <w:tc>
          <w:tcPr>
            <w:tcW w:w="2720" w:type="dxa"/>
            <w:vAlign w:val="bottom"/>
            <w:gridSpan w:val="4"/>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2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Complex</w:t>
            </w: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Live! Casino Pittsburgh</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Greensburg, PA</w:t>
            </w:r>
          </w:p>
        </w:tc>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Deadwood Mountain Grand Casino</w:t>
            </w: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Deadwood, SD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Baldini's Casino</w:t>
            </w: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Sparks, NV</w:t>
            </w: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3/1/2022</w:t>
            </w:r>
          </w:p>
        </w:tc>
        <w:tc>
          <w:tcPr>
            <w:tcW w:w="1280" w:type="dxa"/>
            <w:vAlign w:val="bottom"/>
            <w:shd w:val="clear" w:color="auto" w:fill="CCEEFF"/>
          </w:tcPr>
          <w:p>
            <w:pPr>
              <w:spacing w:after="0"/>
              <w:rPr>
                <w:sz w:val="17"/>
                <w:szCs w:val="17"/>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5/16/2024</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2/28/2061</w:t>
            </w:r>
          </w:p>
        </w:tc>
        <w:tc>
          <w:tcPr>
            <w:tcW w:w="128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5/31/2049</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(1x11 years, 1x10 years)</w:t>
            </w:r>
          </w:p>
        </w:tc>
        <w:tc>
          <w:tcPr>
            <w:tcW w:w="1280" w:type="dxa"/>
            <w:vAlign w:val="bottom"/>
            <w:shd w:val="clear" w:color="auto" w:fill="CCEEFF"/>
          </w:tcPr>
          <w:p>
            <w:pPr>
              <w:spacing w:after="0"/>
              <w:rPr>
                <w:sz w:val="17"/>
                <w:szCs w:val="17"/>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(2x10 years)</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w:t>
            </w:r>
          </w:p>
        </w:tc>
        <w:tc>
          <w:tcPr>
            <w:tcW w:w="128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80" w:type="dxa"/>
            <w:vAlign w:val="bottom"/>
            <w:shd w:val="clear" w:color="auto" w:fill="CCEEFF"/>
          </w:tcPr>
          <w:p>
            <w:pPr>
              <w:spacing w:after="0"/>
              <w:rPr>
                <w:sz w:val="17"/>
                <w:szCs w:val="17"/>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8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80" w:type="dxa"/>
            <w:vAlign w:val="bottom"/>
            <w:shd w:val="clear" w:color="auto" w:fill="CCEEFF"/>
          </w:tcPr>
          <w:p>
            <w:pPr>
              <w:spacing w:after="0"/>
              <w:rPr>
                <w:sz w:val="17"/>
                <w:szCs w:val="17"/>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(2)</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8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Escalator Details</w:t>
            </w:r>
          </w:p>
        </w:tc>
        <w:tc>
          <w:tcPr>
            <w:tcW w:w="1700" w:type="dxa"/>
            <w:vAlign w:val="bottom"/>
            <w:tcBorders>
              <w:bottom w:val="single" w:sz="8" w:color="CCEEFF"/>
            </w:tcBorders>
            <w:gridSpan w:val="2"/>
            <w:shd w:val="clear" w:color="auto" w:fill="CCEEFF"/>
          </w:tcPr>
          <w:p>
            <w:pPr>
              <w:spacing w:after="0"/>
              <w:rPr>
                <w:sz w:val="15"/>
                <w:szCs w:val="15"/>
                <w:color w:val="auto"/>
              </w:rPr>
            </w:pPr>
          </w:p>
        </w:tc>
        <w:tc>
          <w:tcPr>
            <w:tcW w:w="27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26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128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(2)</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December 31, 2024</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80" w:type="dxa"/>
            <w:vAlign w:val="bottom"/>
            <w:shd w:val="clear" w:color="auto" w:fill="CCEEFF"/>
          </w:tcPr>
          <w:p>
            <w:pPr>
              <w:spacing w:after="0"/>
              <w:rPr>
                <w:sz w:val="17"/>
                <w:szCs w:val="17"/>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8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March</w:t>
            </w:r>
          </w:p>
        </w:tc>
        <w:tc>
          <w:tcPr>
            <w:tcW w:w="1280" w:type="dxa"/>
            <w:vAlign w:val="bottom"/>
            <w:shd w:val="clear" w:color="auto" w:fill="CCEEFF"/>
          </w:tcPr>
          <w:p>
            <w:pPr>
              <w:spacing w:after="0"/>
              <w:rPr>
                <w:sz w:val="17"/>
                <w:szCs w:val="17"/>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Jun-26</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2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80" w:type="dxa"/>
            <w:vAlign w:val="bottom"/>
            <w:shd w:val="clear" w:color="auto" w:fill="CCEEFF"/>
          </w:tcPr>
          <w:p>
            <w:pPr>
              <w:spacing w:after="0"/>
              <w:rPr>
                <w:sz w:val="16"/>
                <w:szCs w:val="16"/>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80" w:type="dxa"/>
            <w:vAlign w:val="bottom"/>
          </w:tcPr>
          <w:p>
            <w:pPr>
              <w:spacing w:after="0"/>
              <w:rPr>
                <w:sz w:val="15"/>
                <w:szCs w:val="15"/>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00" w:hanging="297"/>
        <w:spacing w:after="0"/>
        <w:tabs>
          <w:tab w:leader="none" w:pos="3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Consists of two leases that are cross collateralized and co-terminus with each other.</w:t>
      </w:r>
    </w:p>
    <w:p>
      <w:pPr>
        <w:spacing w:after="0" w:line="112" w:lineRule="exact"/>
        <w:rPr>
          <w:rFonts w:ascii="Times New Roman" w:cs="Times New Roman" w:eastAsia="Times New Roman" w:hAnsi="Times New Roman"/>
          <w:sz w:val="22"/>
          <w:szCs w:val="22"/>
          <w:color w:val="auto"/>
          <w:vertAlign w:val="superscript"/>
        </w:rPr>
      </w:pPr>
    </w:p>
    <w:p>
      <w:pPr>
        <w:ind w:left="620" w:hanging="617"/>
        <w:spacing w:after="0" w:line="222" w:lineRule="auto"/>
        <w:tabs>
          <w:tab w:leader="none" w:pos="243"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default adjusted revenue to rent coverage declines to 1.25 if the tenant's adjusted revenues total $75 million or more. Annual rent escalates at 2% beginning in year three of the lease and in year 11 escalates based on the greater of 2% or CPI, capped at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7" w:name="page38"/>
    <w:bookmarkEnd w:id="37"/>
    <w:p>
      <w:pPr>
        <w:ind w:left="4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598170</wp:posOffset>
            </wp:positionH>
            <wp:positionV relativeFrom="page">
              <wp:posOffset>719455</wp:posOffset>
            </wp:positionV>
            <wp:extent cx="5468620" cy="139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68620" cy="139065"/>
                    </a:xfrm>
                    <a:prstGeom prst="rect">
                      <a:avLst/>
                    </a:prstGeom>
                    <a:noFill/>
                  </pic:spPr>
                </pic:pic>
              </a:graphicData>
            </a:graphic>
          </wp:anchor>
        </w:drawing>
        <w:t>Single Property Leases</w:t>
      </w:r>
    </w:p>
    <w:p>
      <w:pPr>
        <w:spacing w:after="0" w:line="2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60" w:type="dxa"/>
            <w:vAlign w:val="bottom"/>
            <w:vMerge w:val="restart"/>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9"/>
              </w:rPr>
              <w:t>Belterra Park Lease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Horseshoe St Louis</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Morgantown Lease</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MD Live! Lease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14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16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Boyd</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Caesar</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PENN</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Cordish</w:t>
            </w:r>
          </w:p>
        </w:tc>
        <w:tc>
          <w:tcPr>
            <w:tcW w:w="0" w:type="dxa"/>
            <w:vAlign w:val="bottom"/>
          </w:tcPr>
          <w:p>
            <w:pPr>
              <w:spacing w:after="0"/>
              <w:rPr>
                <w:sz w:val="1"/>
                <w:szCs w:val="1"/>
                <w:color w:val="auto"/>
              </w:rPr>
            </w:pPr>
          </w:p>
        </w:tc>
      </w:tr>
      <w:tr>
        <w:trPr>
          <w:trHeight w:val="134"/>
        </w:trPr>
        <w:tc>
          <w:tcPr>
            <w:tcW w:w="2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1660" w:type="dxa"/>
            <w:vAlign w:val="bottom"/>
          </w:tcPr>
          <w:p>
            <w:pPr>
              <w:jc w:val="center"/>
              <w:ind w:left="31"/>
              <w:spacing w:after="0" w:line="135" w:lineRule="exact"/>
              <w:rPr>
                <w:sz w:val="20"/>
                <w:szCs w:val="20"/>
                <w:color w:val="auto"/>
              </w:rPr>
            </w:pPr>
            <w:r>
              <w:rPr>
                <w:rFonts w:ascii="Times New Roman" w:cs="Times New Roman" w:eastAsia="Times New Roman" w:hAnsi="Times New Roman"/>
                <w:sz w:val="14"/>
                <w:szCs w:val="14"/>
                <w:color w:val="auto"/>
                <w:w w:val="99"/>
              </w:rPr>
              <w:t>Belterra Park Gaming &amp;</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Horseshoe St. Louis</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6"/>
              </w:rPr>
              <w:t>Hollywood Casino</w:t>
            </w: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6"/>
              </w:rPr>
              <w:t>Live! Casino &amp; Hotel</w:t>
            </w:r>
          </w:p>
        </w:tc>
        <w:tc>
          <w:tcPr>
            <w:tcW w:w="0" w:type="dxa"/>
            <w:vAlign w:val="bottom"/>
          </w:tcPr>
          <w:p>
            <w:pPr>
              <w:spacing w:after="0"/>
              <w:rPr>
                <w:sz w:val="1"/>
                <w:szCs w:val="1"/>
                <w:color w:val="auto"/>
              </w:rPr>
            </w:pPr>
          </w:p>
        </w:tc>
      </w:tr>
      <w:tr>
        <w:trPr>
          <w:trHeight w:val="183"/>
        </w:trPr>
        <w:tc>
          <w:tcPr>
            <w:tcW w:w="2680" w:type="dxa"/>
            <w:vAlign w:val="bottom"/>
            <w:gridSpan w:val="4"/>
            <w:vMerge w:val="continue"/>
          </w:tcPr>
          <w:p>
            <w:pPr>
              <w:spacing w:after="0"/>
              <w:rPr>
                <w:sz w:val="15"/>
                <w:szCs w:val="15"/>
                <w:color w:val="auto"/>
              </w:rPr>
            </w:pPr>
          </w:p>
        </w:tc>
        <w:tc>
          <w:tcPr>
            <w:tcW w:w="16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6"/>
              </w:rPr>
              <w:t>Entertainment Center</w:t>
            </w:r>
          </w:p>
        </w:tc>
        <w:tc>
          <w:tcPr>
            <w:tcW w:w="1380" w:type="dxa"/>
            <w:vAlign w:val="bottom"/>
            <w:vMerge w:val="continue"/>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Morgantown</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Maryland</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8"/>
              </w:rPr>
              <w:t>Cincinnati, OH</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St. Louis, MO</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Morgantown, PA</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Hanover, MD</w:t>
            </w:r>
          </w:p>
        </w:tc>
        <w:tc>
          <w:tcPr>
            <w:tcW w:w="0" w:type="dxa"/>
            <w:vAlign w:val="bottom"/>
          </w:tcPr>
          <w:p>
            <w:pPr>
              <w:spacing w:after="0"/>
              <w:rPr>
                <w:sz w:val="1"/>
                <w:szCs w:val="1"/>
                <w:color w:val="auto"/>
              </w:rPr>
            </w:pPr>
          </w:p>
        </w:tc>
      </w:tr>
      <w:tr>
        <w:trPr>
          <w:trHeight w:val="186"/>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6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10/15/2018</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9/29/2020</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10/1/2020</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12/29/2021</w:t>
            </w:r>
          </w:p>
        </w:tc>
        <w:tc>
          <w:tcPr>
            <w:tcW w:w="0" w:type="dxa"/>
            <w:vAlign w:val="bottom"/>
          </w:tcPr>
          <w:p>
            <w:pPr>
              <w:spacing w:after="0"/>
              <w:rPr>
                <w:sz w:val="1"/>
                <w:szCs w:val="1"/>
                <w:color w:val="auto"/>
              </w:rPr>
            </w:pPr>
          </w:p>
        </w:tc>
      </w:tr>
      <w:tr>
        <w:trPr>
          <w:trHeight w:val="201"/>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16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rPr>
              <w:t>04/30/2031</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10/31/2033</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10/31/2040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12/31/2060</w:t>
            </w:r>
          </w:p>
        </w:tc>
        <w:tc>
          <w:tcPr>
            <w:tcW w:w="0" w:type="dxa"/>
            <w:vAlign w:val="bottom"/>
          </w:tcPr>
          <w:p>
            <w:pPr>
              <w:spacing w:after="0"/>
              <w:rPr>
                <w:sz w:val="1"/>
                <w:szCs w:val="1"/>
                <w:color w:val="auto"/>
              </w:rPr>
            </w:pPr>
          </w:p>
        </w:tc>
      </w:tr>
      <w:tr>
        <w:trPr>
          <w:trHeight w:val="134"/>
        </w:trPr>
        <w:tc>
          <w:tcPr>
            <w:tcW w:w="2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1660" w:type="dxa"/>
            <w:vAlign w:val="bottom"/>
            <w:vMerge w:val="restart"/>
          </w:tcPr>
          <w:p>
            <w:pPr>
              <w:jc w:val="center"/>
              <w:ind w:left="31"/>
              <w:spacing w:after="0"/>
              <w:rPr>
                <w:sz w:val="20"/>
                <w:szCs w:val="20"/>
                <w:color w:val="auto"/>
              </w:rPr>
            </w:pPr>
            <w:r>
              <w:rPr>
                <w:rFonts w:ascii="Times New Roman" w:cs="Times New Roman" w:eastAsia="Times New Roman" w:hAnsi="Times New Roman"/>
                <w:sz w:val="14"/>
                <w:szCs w:val="14"/>
                <w:color w:val="auto"/>
                <w:w w:val="98"/>
              </w:rPr>
              <w:t>20 (4x5 years)</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20 (4x5 years)</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30 (6x5 years)</w:t>
            </w: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6"/>
              </w:rPr>
              <w:t>21 (1x11 years, 1x10</w:t>
            </w:r>
          </w:p>
        </w:tc>
        <w:tc>
          <w:tcPr>
            <w:tcW w:w="0" w:type="dxa"/>
            <w:vAlign w:val="bottom"/>
          </w:tcPr>
          <w:p>
            <w:pPr>
              <w:spacing w:after="0"/>
              <w:rPr>
                <w:sz w:val="1"/>
                <w:szCs w:val="1"/>
                <w:color w:val="auto"/>
              </w:rPr>
            </w:pPr>
          </w:p>
        </w:tc>
      </w:tr>
      <w:tr>
        <w:trPr>
          <w:trHeight w:val="183"/>
        </w:trPr>
        <w:tc>
          <w:tcPr>
            <w:tcW w:w="2680" w:type="dxa"/>
            <w:vAlign w:val="bottom"/>
            <w:gridSpan w:val="4"/>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years)</w:t>
            </w:r>
          </w:p>
        </w:tc>
        <w:tc>
          <w:tcPr>
            <w:tcW w:w="0" w:type="dxa"/>
            <w:vAlign w:val="bottom"/>
          </w:tcPr>
          <w:p>
            <w:pPr>
              <w:spacing w:after="0"/>
              <w:rPr>
                <w:sz w:val="1"/>
                <w:szCs w:val="1"/>
                <w:color w:val="auto"/>
              </w:rPr>
            </w:pPr>
          </w:p>
        </w:tc>
      </w:tr>
      <w:tr>
        <w:trPr>
          <w:trHeight w:val="198"/>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16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3"/>
              </w:rPr>
              <w:t>No</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0" w:type="dxa"/>
            <w:vAlign w:val="bottom"/>
          </w:tcPr>
          <w:p>
            <w:pPr>
              <w:spacing w:after="0"/>
              <w:rPr>
                <w:sz w:val="1"/>
                <w:szCs w:val="1"/>
                <w:color w:val="auto"/>
              </w:rPr>
            </w:pPr>
          </w:p>
        </w:tc>
      </w:tr>
      <w:tr>
        <w:trPr>
          <w:trHeight w:val="186"/>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16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1"/>
              </w:rPr>
              <w:t>Yes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0" w:type="dxa"/>
            <w:vAlign w:val="bottom"/>
          </w:tcPr>
          <w:p>
            <w:pPr>
              <w:spacing w:after="0"/>
              <w:rPr>
                <w:sz w:val="1"/>
                <w:szCs w:val="1"/>
                <w:color w:val="auto"/>
              </w:rPr>
            </w:pPr>
          </w:p>
        </w:tc>
      </w:tr>
      <w:tr>
        <w:trPr>
          <w:trHeight w:val="201"/>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16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1"/>
              </w:rPr>
              <w:t>1.4</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6"/>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16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1"/>
              </w:rPr>
              <w:t>Yes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0" w:type="dxa"/>
            <w:vAlign w:val="bottom"/>
          </w:tcPr>
          <w:p>
            <w:pPr>
              <w:spacing w:after="0"/>
              <w:rPr>
                <w:sz w:val="1"/>
                <w:szCs w:val="1"/>
                <w:color w:val="auto"/>
              </w:rPr>
            </w:pPr>
          </w:p>
        </w:tc>
      </w:tr>
      <w:tr>
        <w:trPr>
          <w:trHeight w:val="149"/>
        </w:trPr>
        <w:tc>
          <w:tcPr>
            <w:tcW w:w="268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Escalator Details</w:t>
            </w:r>
          </w:p>
        </w:tc>
        <w:tc>
          <w:tcPr>
            <w:tcW w:w="16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auto"/>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16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2%</w:t>
            </w:r>
          </w:p>
        </w:tc>
        <w:tc>
          <w:tcPr>
            <w:tcW w:w="138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color w:val="auto"/>
                <w:w w:val="94"/>
              </w:rPr>
              <w:t xml:space="preserve">1.25% </w:t>
            </w:r>
            <w:r>
              <w:rPr>
                <w:rFonts w:ascii="Times New Roman" w:cs="Times New Roman" w:eastAsia="Times New Roman" w:hAnsi="Times New Roman"/>
                <w:sz w:val="17"/>
                <w:szCs w:val="17"/>
                <w:color w:val="auto"/>
                <w:w w:val="94"/>
                <w:vertAlign w:val="superscript"/>
              </w:rPr>
              <w:t>(1)</w:t>
            </w:r>
          </w:p>
        </w:tc>
        <w:tc>
          <w:tcPr>
            <w:tcW w:w="144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color w:val="auto"/>
                <w:w w:val="94"/>
              </w:rPr>
              <w:t xml:space="preserve">1.50% </w:t>
            </w:r>
            <w:r>
              <w:rPr>
                <w:rFonts w:ascii="Times New Roman" w:cs="Times New Roman" w:eastAsia="Times New Roman" w:hAnsi="Times New Roman"/>
                <w:sz w:val="17"/>
                <w:szCs w:val="17"/>
                <w:color w:val="auto"/>
                <w:w w:val="94"/>
                <w:vertAlign w:val="superscript"/>
              </w:rPr>
              <w:t>(2)</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1.75%</w:t>
            </w:r>
          </w:p>
        </w:tc>
        <w:tc>
          <w:tcPr>
            <w:tcW w:w="0" w:type="dxa"/>
            <w:vAlign w:val="bottom"/>
          </w:tcPr>
          <w:p>
            <w:pPr>
              <w:spacing w:after="0"/>
              <w:rPr>
                <w:sz w:val="1"/>
                <w:szCs w:val="1"/>
                <w:color w:val="auto"/>
              </w:rPr>
            </w:pPr>
          </w:p>
        </w:tc>
      </w:tr>
      <w:tr>
        <w:trPr>
          <w:trHeight w:val="193"/>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December 31, 2024</w:t>
            </w:r>
          </w:p>
        </w:tc>
        <w:tc>
          <w:tcPr>
            <w:tcW w:w="16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7"/>
              </w:rPr>
              <w:t>3.36</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1.97</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3.56</w:t>
            </w:r>
          </w:p>
        </w:tc>
        <w:tc>
          <w:tcPr>
            <w:tcW w:w="0" w:type="dxa"/>
            <w:vAlign w:val="bottom"/>
          </w:tcPr>
          <w:p>
            <w:pPr>
              <w:spacing w:after="0"/>
              <w:rPr>
                <w:sz w:val="1"/>
                <w:szCs w:val="1"/>
                <w:color w:val="auto"/>
              </w:rPr>
            </w:pPr>
          </w:p>
        </w:tc>
      </w:tr>
      <w:tr>
        <w:trPr>
          <w:trHeight w:val="186"/>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16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1"/>
              </w:rPr>
              <w:t>1.8</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01"/>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16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3"/>
              </w:rPr>
              <w:t>May</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October</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January</w:t>
            </w:r>
          </w:p>
        </w:tc>
        <w:tc>
          <w:tcPr>
            <w:tcW w:w="0" w:type="dxa"/>
            <w:vAlign w:val="bottom"/>
          </w:tcPr>
          <w:p>
            <w:pPr>
              <w:spacing w:after="0"/>
              <w:rPr>
                <w:sz w:val="1"/>
                <w:szCs w:val="1"/>
                <w:color w:val="auto"/>
              </w:rPr>
            </w:pPr>
          </w:p>
        </w:tc>
      </w:tr>
      <w:tr>
        <w:trPr>
          <w:trHeight w:val="142"/>
        </w:trPr>
        <w:tc>
          <w:tcPr>
            <w:tcW w:w="26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1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16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9"/>
              </w:rPr>
              <w:t>2 years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8"/>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16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7"/>
              </w:rPr>
              <w:t>May 2026</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620" w:hanging="617"/>
        <w:spacing w:after="0" w:line="229" w:lineRule="auto"/>
        <w:tabs>
          <w:tab w:leader="none" w:pos="268"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second through fifth lease years, after which time the annual escalation becomes 1.75% for the 6th and 7th lease years and then 2% for the remaining term of the lease.</w:t>
      </w:r>
    </w:p>
    <w:p>
      <w:pPr>
        <w:spacing w:after="0" w:line="216" w:lineRule="exact"/>
        <w:rPr>
          <w:rFonts w:ascii="Times New Roman" w:cs="Times New Roman" w:eastAsia="Times New Roman" w:hAnsi="Times New Roman"/>
          <w:sz w:val="22"/>
          <w:szCs w:val="22"/>
          <w:color w:val="auto"/>
          <w:vertAlign w:val="superscript"/>
        </w:rPr>
      </w:pPr>
    </w:p>
    <w:p>
      <w:pPr>
        <w:ind w:left="620" w:hanging="617"/>
        <w:spacing w:after="0"/>
        <w:tabs>
          <w:tab w:leader="none" w:pos="243"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Increases by 1.5% on the opening date (which occurred on December 22, 2021) and for the first three lease years. Commencing on the fourth anniversary of the opening date and for each anniversary thereafter, if the CPI increase is at least 0.5% for any lease year, the rent for such lease year shall increase by 1.25% of rent as of the immediately preceding lease year, and if the CPI increase is less than 0.5% for such lease year, then the rent shall not increase for such lease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8" w:name="page39"/>
    <w:bookmarkEnd w:id="38"/>
    <w:p>
      <w:pPr>
        <w:ind w:left="4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598170</wp:posOffset>
            </wp:positionH>
            <wp:positionV relativeFrom="page">
              <wp:posOffset>572135</wp:posOffset>
            </wp:positionV>
            <wp:extent cx="5476875" cy="139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76875" cy="139065"/>
                    </a:xfrm>
                    <a:prstGeom prst="rect">
                      <a:avLst/>
                    </a:prstGeom>
                    <a:noFill/>
                  </pic:spPr>
                </pic:pic>
              </a:graphicData>
            </a:graphic>
          </wp:anchor>
        </w:drawing>
        <w:t>Single Property Leases</w:t>
      </w:r>
    </w:p>
    <w:p>
      <w:pPr>
        <w:spacing w:after="0" w:line="4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6"/>
              </w:rPr>
              <w:t>Tropicana Lease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Tioga Downs Lease</w:t>
            </w:r>
          </w:p>
        </w:tc>
        <w:tc>
          <w:tcPr>
            <w:tcW w:w="146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Rockford Lease</w:t>
            </w:r>
          </w:p>
        </w:tc>
        <w:tc>
          <w:tcPr>
            <w:tcW w:w="138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Chicago Lease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70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1580" w:type="dxa"/>
            <w:vAlign w:val="bottom"/>
            <w:vMerge w:val="restart"/>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8"/>
              </w:rPr>
              <w:t>Bally's</w:t>
            </w:r>
          </w:p>
        </w:tc>
        <w:tc>
          <w:tcPr>
            <w:tcW w:w="150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American Racing and</w:t>
            </w:r>
          </w:p>
        </w:tc>
        <w:tc>
          <w:tcPr>
            <w:tcW w:w="1460" w:type="dxa"/>
            <w:vAlign w:val="bottom"/>
            <w:shd w:val="clear" w:color="auto" w:fill="CCEEFF"/>
          </w:tcPr>
          <w:p>
            <w:pPr>
              <w:jc w:val="center"/>
              <w:ind w:right="11"/>
              <w:spacing w:after="0" w:line="131" w:lineRule="exact"/>
              <w:rPr>
                <w:sz w:val="20"/>
                <w:szCs w:val="20"/>
                <w:color w:val="auto"/>
              </w:rPr>
            </w:pPr>
            <w:r>
              <w:rPr>
                <w:rFonts w:ascii="Times New Roman" w:cs="Times New Roman" w:eastAsia="Times New Roman" w:hAnsi="Times New Roman"/>
                <w:sz w:val="14"/>
                <w:szCs w:val="14"/>
                <w:b w:val="1"/>
                <w:bCs w:val="1"/>
                <w:color w:val="auto"/>
                <w:w w:val="97"/>
              </w:rPr>
              <w:t>(managed by Hard</w:t>
            </w: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Bally's</w:t>
            </w:r>
          </w:p>
        </w:tc>
        <w:tc>
          <w:tcPr>
            <w:tcW w:w="0" w:type="dxa"/>
            <w:vAlign w:val="bottom"/>
          </w:tcPr>
          <w:p>
            <w:pPr>
              <w:spacing w:after="0"/>
              <w:rPr>
                <w:sz w:val="1"/>
                <w:szCs w:val="1"/>
                <w:color w:val="auto"/>
              </w:rPr>
            </w:pPr>
          </w:p>
        </w:tc>
      </w:tr>
      <w:tr>
        <w:trPr>
          <w:trHeight w:val="192"/>
        </w:trPr>
        <w:tc>
          <w:tcPr>
            <w:tcW w:w="2700" w:type="dxa"/>
            <w:vAlign w:val="bottom"/>
            <w:gridSpan w:val="4"/>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Entertainment</w:t>
            </w:r>
          </w:p>
        </w:tc>
        <w:tc>
          <w:tcPr>
            <w:tcW w:w="14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4"/>
              </w:rPr>
              <w:t>Rock)</w:t>
            </w: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1580" w:type="dxa"/>
            <w:vAlign w:val="bottom"/>
            <w:vMerge w:val="restart"/>
          </w:tcPr>
          <w:p>
            <w:pPr>
              <w:jc w:val="center"/>
              <w:ind w:left="71"/>
              <w:spacing w:after="0"/>
              <w:rPr>
                <w:sz w:val="20"/>
                <w:szCs w:val="20"/>
                <w:color w:val="auto"/>
              </w:rPr>
            </w:pPr>
            <w:r>
              <w:rPr>
                <w:rFonts w:ascii="Times New Roman" w:cs="Times New Roman" w:eastAsia="Times New Roman" w:hAnsi="Times New Roman"/>
                <w:sz w:val="14"/>
                <w:szCs w:val="14"/>
                <w:color w:val="auto"/>
                <w:w w:val="97"/>
              </w:rPr>
              <w:t>Tropicana Las Vegas</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Tioga Downs</w:t>
            </w:r>
          </w:p>
        </w:tc>
        <w:tc>
          <w:tcPr>
            <w:tcW w:w="146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4"/>
                <w:szCs w:val="14"/>
                <w:color w:val="auto"/>
                <w:w w:val="98"/>
              </w:rPr>
              <w:t>Hard Rock Casino</w:t>
            </w:r>
          </w:p>
        </w:tc>
        <w:tc>
          <w:tcPr>
            <w:tcW w:w="138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4"/>
                <w:szCs w:val="14"/>
                <w:color w:val="auto"/>
                <w:w w:val="97"/>
              </w:rPr>
              <w:t>Bally's Chicago</w:t>
            </w:r>
          </w:p>
        </w:tc>
        <w:tc>
          <w:tcPr>
            <w:tcW w:w="0" w:type="dxa"/>
            <w:vAlign w:val="bottom"/>
          </w:tcPr>
          <w:p>
            <w:pPr>
              <w:spacing w:after="0"/>
              <w:rPr>
                <w:sz w:val="1"/>
                <w:szCs w:val="1"/>
                <w:color w:val="auto"/>
              </w:rPr>
            </w:pPr>
          </w:p>
        </w:tc>
      </w:tr>
      <w:tr>
        <w:trPr>
          <w:trHeight w:val="183"/>
        </w:trPr>
        <w:tc>
          <w:tcPr>
            <w:tcW w:w="2700" w:type="dxa"/>
            <w:vAlign w:val="bottom"/>
            <w:gridSpan w:val="4"/>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4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8"/>
              </w:rPr>
              <w:t>Rockford</w:t>
            </w:r>
          </w:p>
        </w:tc>
        <w:tc>
          <w:tcPr>
            <w:tcW w:w="138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w w:val="98"/>
              </w:rPr>
              <w:t>Development</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5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7"/>
              </w:rPr>
              <w:t>Las Vegas, NV</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Nicholas, NY</w:t>
            </w:r>
          </w:p>
        </w:tc>
        <w:tc>
          <w:tcPr>
            <w:tcW w:w="146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4"/>
                <w:szCs w:val="14"/>
                <w:color w:val="auto"/>
                <w:w w:val="98"/>
              </w:rPr>
              <w:t>Rockford, IL</w:t>
            </w:r>
          </w:p>
        </w:tc>
        <w:tc>
          <w:tcPr>
            <w:tcW w:w="138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w w:val="98"/>
              </w:rPr>
              <w:t>Chicago, IL</w:t>
            </w:r>
          </w:p>
        </w:tc>
        <w:tc>
          <w:tcPr>
            <w:tcW w:w="0" w:type="dxa"/>
            <w:vAlign w:val="bottom"/>
          </w:tcPr>
          <w:p>
            <w:pPr>
              <w:spacing w:after="0"/>
              <w:rPr>
                <w:sz w:val="1"/>
                <w:szCs w:val="1"/>
                <w:color w:val="auto"/>
              </w:rPr>
            </w:pPr>
          </w:p>
        </w:tc>
      </w:tr>
      <w:tr>
        <w:trPr>
          <w:trHeight w:val="186"/>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5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8"/>
              </w:rPr>
              <w:t>9/26/2022</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2/6/2024</w:t>
            </w:r>
          </w:p>
        </w:tc>
        <w:tc>
          <w:tcPr>
            <w:tcW w:w="14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8"/>
              </w:rPr>
              <w:t>8/29/2023</w:t>
            </w:r>
          </w:p>
        </w:tc>
        <w:tc>
          <w:tcPr>
            <w:tcW w:w="138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w w:val="95"/>
              </w:rPr>
              <w:t>9/11/2024</w:t>
            </w:r>
          </w:p>
        </w:tc>
        <w:tc>
          <w:tcPr>
            <w:tcW w:w="0" w:type="dxa"/>
            <w:vAlign w:val="bottom"/>
          </w:tcPr>
          <w:p>
            <w:pPr>
              <w:spacing w:after="0"/>
              <w:rPr>
                <w:sz w:val="1"/>
                <w:szCs w:val="1"/>
                <w:color w:val="auto"/>
              </w:rPr>
            </w:pPr>
          </w:p>
        </w:tc>
      </w:tr>
      <w:tr>
        <w:trPr>
          <w:trHeight w:val="201"/>
        </w:trPr>
        <w:tc>
          <w:tcPr>
            <w:tcW w:w="2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15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8"/>
              </w:rPr>
              <w:t>9/25/2072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2/28/2054</w:t>
            </w:r>
          </w:p>
        </w:tc>
        <w:tc>
          <w:tcPr>
            <w:tcW w:w="146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4"/>
                <w:szCs w:val="14"/>
                <w:color w:val="auto"/>
                <w:w w:val="98"/>
              </w:rPr>
              <w:t>8/31/2122</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11/30/2121 </w:t>
            </w:r>
            <w:r>
              <w:rPr>
                <w:rFonts w:ascii="Times New Roman" w:cs="Times New Roman" w:eastAsia="Times New Roman" w:hAnsi="Times New Roman"/>
                <w:sz w:val="17"/>
                <w:szCs w:val="17"/>
                <w:color w:val="auto"/>
                <w:w w:val="94"/>
                <w:vertAlign w:val="superscript"/>
              </w:rPr>
              <w:t>(3)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80" w:type="dxa"/>
            <w:vAlign w:val="bottom"/>
            <w:vMerge w:val="restart"/>
          </w:tcPr>
          <w:p>
            <w:pPr>
              <w:jc w:val="center"/>
              <w:ind w:left="71"/>
              <w:spacing w:after="0"/>
              <w:rPr>
                <w:sz w:val="20"/>
                <w:szCs w:val="20"/>
                <w:color w:val="auto"/>
              </w:rPr>
            </w:pPr>
            <w:r>
              <w:rPr>
                <w:rFonts w:ascii="Times New Roman" w:cs="Times New Roman" w:eastAsia="Times New Roman" w:hAnsi="Times New Roman"/>
                <w:sz w:val="14"/>
                <w:szCs w:val="14"/>
                <w:color w:val="auto"/>
                <w:w w:val="96"/>
              </w:rPr>
              <w:t>49 (1 x 24 years, 1 x 25</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7"/>
              </w:rPr>
              <w:t>32 years and 10 months</w:t>
            </w:r>
          </w:p>
        </w:tc>
        <w:tc>
          <w:tcPr>
            <w:tcW w:w="1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1580" w:type="dxa"/>
            <w:vAlign w:val="bottom"/>
            <w:vMerge w:val="continue"/>
          </w:tcPr>
          <w:p>
            <w:pPr>
              <w:spacing w:after="0"/>
              <w:rPr>
                <w:sz w:val="11"/>
                <w:szCs w:val="11"/>
                <w:color w:val="auto"/>
              </w:rPr>
            </w:pPr>
          </w:p>
        </w:tc>
        <w:tc>
          <w:tcPr>
            <w:tcW w:w="15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(2x10 years, 1x12 years</w:t>
            </w:r>
          </w:p>
        </w:tc>
        <w:tc>
          <w:tcPr>
            <w:tcW w:w="1460" w:type="dxa"/>
            <w:vAlign w:val="bottom"/>
            <w:vMerge w:val="restart"/>
          </w:tcPr>
          <w:p>
            <w:pPr>
              <w:jc w:val="center"/>
              <w:ind w:right="51"/>
              <w:spacing w:after="0"/>
              <w:rPr>
                <w:sz w:val="20"/>
                <w:szCs w:val="20"/>
                <w:color w:val="auto"/>
              </w:rPr>
            </w:pPr>
            <w:r>
              <w:rPr>
                <w:rFonts w:ascii="Times New Roman" w:cs="Times New Roman" w:eastAsia="Times New Roman" w:hAnsi="Times New Roman"/>
                <w:sz w:val="14"/>
                <w:szCs w:val="14"/>
                <w:color w:val="auto"/>
                <w:w w:val="98"/>
              </w:rPr>
              <w:t>None</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189"/>
        </w:trPr>
        <w:tc>
          <w:tcPr>
            <w:tcW w:w="2700" w:type="dxa"/>
            <w:vAlign w:val="bottom"/>
            <w:gridSpan w:val="4"/>
            <w:vMerge w:val="continue"/>
          </w:tcPr>
          <w:p>
            <w:pPr>
              <w:spacing w:after="0"/>
              <w:rPr>
                <w:sz w:val="16"/>
                <w:szCs w:val="16"/>
                <w:color w:val="auto"/>
              </w:rPr>
            </w:pPr>
          </w:p>
        </w:tc>
        <w:tc>
          <w:tcPr>
            <w:tcW w:w="15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years)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and 10 months)</w:t>
            </w:r>
          </w:p>
        </w:tc>
        <w:tc>
          <w:tcPr>
            <w:tcW w:w="146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15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1"/>
              </w:rPr>
              <w:t>Yes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4"/>
                <w:szCs w:val="14"/>
                <w:color w:val="auto"/>
              </w:rPr>
              <w:t>No</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186"/>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15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1"/>
              </w:rPr>
              <w:t>Yes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1"/>
              </w:rPr>
              <w:t>Yes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201"/>
        </w:trPr>
        <w:tc>
          <w:tcPr>
            <w:tcW w:w="2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15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1"/>
              </w:rPr>
              <w:t>1.4</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4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4"/>
                <w:szCs w:val="14"/>
                <w:color w:val="auto"/>
              </w:rPr>
              <w:t>1.4</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186"/>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15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1"/>
              </w:rPr>
              <w:t>Yes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1"/>
              </w:rPr>
              <w:t>Yes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149"/>
        </w:trPr>
        <w:tc>
          <w:tcPr>
            <w:tcW w:w="27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Escalator Details</w:t>
            </w:r>
          </w:p>
        </w:tc>
        <w:tc>
          <w:tcPr>
            <w:tcW w:w="15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auto"/>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15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7"/>
              </w:rPr>
              <w:t>(1)</w:t>
            </w:r>
          </w:p>
        </w:tc>
        <w:tc>
          <w:tcPr>
            <w:tcW w:w="150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color w:val="auto"/>
                <w:w w:val="94"/>
              </w:rPr>
              <w:t xml:space="preserve">1.75% </w:t>
            </w:r>
            <w:r>
              <w:rPr>
                <w:rFonts w:ascii="Times New Roman" w:cs="Times New Roman" w:eastAsia="Times New Roman" w:hAnsi="Times New Roman"/>
                <w:sz w:val="17"/>
                <w:szCs w:val="17"/>
                <w:color w:val="auto"/>
                <w:w w:val="94"/>
                <w:vertAlign w:val="superscript"/>
              </w:rPr>
              <w:t>(2)</w:t>
            </w:r>
          </w:p>
        </w:tc>
        <w:tc>
          <w:tcPr>
            <w:tcW w:w="146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6"/>
              </w:rPr>
              <w:t>2%</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193"/>
        </w:trPr>
        <w:tc>
          <w:tcPr>
            <w:tcW w:w="2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December 31, 2024</w:t>
            </w:r>
          </w:p>
        </w:tc>
        <w:tc>
          <w:tcPr>
            <w:tcW w:w="15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N/A</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4"/>
                <w:szCs w:val="14"/>
                <w:color w:val="auto"/>
                <w:w w:val="99"/>
              </w:rPr>
              <w:t>N/A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6"/>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15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N/A</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9"/>
              </w:rPr>
              <w:t>N/A</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01"/>
        </w:trPr>
        <w:tc>
          <w:tcPr>
            <w:tcW w:w="2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15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7"/>
              </w:rPr>
              <w:t>October</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March</w:t>
            </w:r>
          </w:p>
        </w:tc>
        <w:tc>
          <w:tcPr>
            <w:tcW w:w="14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4"/>
                <w:szCs w:val="14"/>
                <w:color w:val="auto"/>
                <w:w w:val="96"/>
              </w:rPr>
              <w:t>September</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142"/>
        </w:trPr>
        <w:tc>
          <w:tcPr>
            <w:tcW w:w="27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1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15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N/A</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4"/>
                <w:szCs w:val="14"/>
                <w:color w:val="auto"/>
                <w:w w:val="99"/>
              </w:rPr>
              <w:t>N/A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8"/>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15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N/A</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9"/>
              </w:rPr>
              <w:t>N/A</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620" w:hanging="617"/>
        <w:spacing w:after="0" w:line="229" w:lineRule="auto"/>
        <w:tabs>
          <w:tab w:leader="none" w:pos="243"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216" w:lineRule="exact"/>
        <w:rPr>
          <w:rFonts w:ascii="Times New Roman" w:cs="Times New Roman" w:eastAsia="Times New Roman" w:hAnsi="Times New Roman"/>
          <w:sz w:val="22"/>
          <w:szCs w:val="22"/>
          <w:color w:val="auto"/>
          <w:vertAlign w:val="superscript"/>
        </w:rPr>
      </w:pPr>
    </w:p>
    <w:p>
      <w:pPr>
        <w:ind w:left="620" w:hanging="617"/>
        <w:spacing w:after="0"/>
        <w:tabs>
          <w:tab w:leader="none" w:pos="281"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Increases by 1.75% beginning with the first anniversary and increases to 2% beginning in year fifteen of the lease through the remainder of the initial lease term.</w:t>
      </w:r>
    </w:p>
    <w:p>
      <w:pPr>
        <w:spacing w:after="0" w:line="391" w:lineRule="exact"/>
        <w:rPr>
          <w:rFonts w:ascii="Times New Roman" w:cs="Times New Roman" w:eastAsia="Times New Roman" w:hAnsi="Times New Roman"/>
          <w:sz w:val="22"/>
          <w:szCs w:val="22"/>
          <w:color w:val="auto"/>
          <w:vertAlign w:val="superscript"/>
        </w:rPr>
      </w:pPr>
    </w:p>
    <w:p>
      <w:pPr>
        <w:ind w:left="620" w:hanging="617"/>
        <w:spacing w:after="0" w:line="236" w:lineRule="auto"/>
        <w:tabs>
          <w:tab w:leader="none" w:pos="256"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 is currently in the process of amending and restating the lease to have an initial lease term of 15 years followed by multiple renewal extensions to be agreed upon between Bally's and the Company. The lease is also anticipated to have lease terms generally consistent with the terms of the Bally's Master Lease except as modified by the binding term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i w:val="1"/>
          <w:iCs w:val="1"/>
          <w:color w:val="auto"/>
        </w:rPr>
        <w:t>Funding commitments</w:t>
      </w:r>
    </w:p>
    <w:p>
      <w:pPr>
        <w:spacing w:after="0" w:line="23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March 31, 2025, we have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 See Note 1 in the Notes to the Condensed Consolidated Financial Statements for further details.</w:t>
      </w:r>
    </w:p>
    <w:p>
      <w:pPr>
        <w:spacing w:after="0" w:line="211"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75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Maximum</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Amount funded at</w:t>
            </w:r>
          </w:p>
        </w:tc>
        <w:tc>
          <w:tcPr>
            <w:tcW w:w="0" w:type="dxa"/>
            <w:vAlign w:val="bottom"/>
          </w:tcPr>
          <w:p>
            <w:pPr>
              <w:spacing w:after="0"/>
              <w:rPr>
                <w:sz w:val="1"/>
                <w:szCs w:val="1"/>
                <w:color w:val="auto"/>
              </w:rPr>
            </w:pPr>
          </w:p>
        </w:tc>
      </w:tr>
      <w:tr>
        <w:trPr>
          <w:trHeight w:val="168"/>
        </w:trPr>
        <w:tc>
          <w:tcPr>
            <w:tcW w:w="7500" w:type="dxa"/>
            <w:vAlign w:val="bottom"/>
          </w:tcPr>
          <w:p>
            <w:pPr>
              <w:spacing w:after="0"/>
              <w:rPr>
                <w:sz w:val="14"/>
                <w:szCs w:val="14"/>
                <w:color w:val="auto"/>
              </w:rPr>
            </w:pPr>
          </w:p>
        </w:tc>
        <w:tc>
          <w:tcPr>
            <w:tcW w:w="12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Commitment</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500" w:type="dxa"/>
            <w:vAlign w:val="bottom"/>
            <w:tcBorders>
              <w:bottom w:val="single" w:sz="8" w:color="auto"/>
            </w:tcBorders>
          </w:tcPr>
          <w:p>
            <w:pPr>
              <w:ind w:left="3340"/>
              <w:spacing w:after="0"/>
              <w:rPr>
                <w:sz w:val="20"/>
                <w:szCs w:val="20"/>
                <w:color w:val="auto"/>
              </w:rPr>
            </w:pPr>
            <w:r>
              <w:rPr>
                <w:rFonts w:ascii="Times New Roman" w:cs="Times New Roman" w:eastAsia="Times New Roman" w:hAnsi="Times New Roman"/>
                <w:sz w:val="17"/>
                <w:szCs w:val="17"/>
                <w:color w:val="auto"/>
              </w:rPr>
              <w:t>Description</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amount</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March 31, 2025</w:t>
            </w:r>
          </w:p>
        </w:tc>
        <w:tc>
          <w:tcPr>
            <w:tcW w:w="0" w:type="dxa"/>
            <w:vAlign w:val="bottom"/>
          </w:tcPr>
          <w:p>
            <w:pPr>
              <w:spacing w:after="0"/>
              <w:rPr>
                <w:sz w:val="1"/>
                <w:szCs w:val="1"/>
                <w:color w:val="auto"/>
              </w:rPr>
            </w:pP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Relocation of Hollywood Casino Aurora</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$225 million</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168"/>
        </w:trPr>
        <w:tc>
          <w:tcPr>
            <w:tcW w:w="75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Relocation of Hollywood Casino Joliet, construction of a hotel at Hollywood Casino Columbus and a hotel</w:t>
            </w:r>
          </w:p>
        </w:tc>
        <w:tc>
          <w:tcPr>
            <w:tcW w:w="1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tower at the M Resort</w:t>
            </w: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$350 million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improvements at Ameristar Casino Council Bluffs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Potential transaction at the former Tropicana Las Vegas site with Bally's</w:t>
            </w: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$175 million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$48.5 million</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construction costs for Bally's Chicago</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$940 million</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Funding and oversight of a landside move and hotel renovation at The Belle</w:t>
            </w: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 million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$43.5 million</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costs for a landside development project at Casino Queen Marquette</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$16.5 million</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$0.7 million</w:t>
            </w:r>
          </w:p>
        </w:tc>
        <w:tc>
          <w:tcPr>
            <w:tcW w:w="0" w:type="dxa"/>
            <w:vAlign w:val="bottom"/>
          </w:tcPr>
          <w:p>
            <w:pPr>
              <w:spacing w:after="0"/>
              <w:rPr>
                <w:sz w:val="1"/>
                <w:szCs w:val="1"/>
                <w:color w:val="auto"/>
              </w:rPr>
            </w:pPr>
          </w:p>
        </w:tc>
      </w:tr>
      <w:tr>
        <w:trPr>
          <w:trHeight w:val="219"/>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Ione Loan to fund a new casino development near Sacramento, California</w:t>
            </w: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$110 million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$18.4 million</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Call right to acquire Bally's Lincoln</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$735 million</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3"/>
        <w:spacing w:after="0" w:line="271" w:lineRule="auto"/>
        <w:tabs>
          <w:tab w:leader="none" w:pos="24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agreed to fund, if requested by PENN at their sole discretion, on or before March 1, 2029, construction improvements in an amount not to exceed the greater of (i) the hard costs associated with the project and (ii) $150.0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financing receivables, net, allowance for credit losses, income taxes, and real estate investments as critical accounting estimates, as they are the most important to our financial statement presentation and require difficult, subjective and complex judgments.</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For further information on our critical accounting estimates, see Item 7. "Management’s Discussion and Analysis of Financial Condition and Results of Operations" and the Notes to our audited consolidated financial statements included in our most recent Annual Report. There has been no material change to these estimates for the three months ended March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Summary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Highlights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reported total revenues and income from operations of $395.2 million and $258.8 million, respectively, for the three months ended March 31, 2025, compared to $376.0 million and $257.6 million, respectively, for the corresponding period in the prior year.</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major factors affecting our results for the three months ended March 31, 2025, as compared to the three months ended March 31, 2024, were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200" w:lineRule="exact"/>
        <w:rPr>
          <w:sz w:val="20"/>
          <w:szCs w:val="20"/>
          <w:color w:val="auto"/>
        </w:rPr>
      </w:pPr>
    </w:p>
    <w:p>
      <w:pPr>
        <w:jc w:val="both"/>
        <w:ind w:left="620" w:hanging="307"/>
        <w:spacing w:after="0" w:line="270"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income from real estate increased by $19.3 million to $395.2 million for the three months ended March 31, 2025 compared to $376.0 million for the corresponding period in the prior year. The reason for the increase was primarily due to our recent acquisitions which in the aggregate increased cash rental income by $20.2 million for the three months ended March 31, 2025.</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40" w:name="page41"/>
    <w:bookmarkEnd w:id="40"/>
    <w:p>
      <w:pPr>
        <w:jc w:val="both"/>
        <w:ind w:left="307"/>
        <w:spacing w:after="0" w:line="267" w:lineRule="auto"/>
        <w:rPr>
          <w:sz w:val="20"/>
          <w:szCs w:val="20"/>
          <w:color w:val="auto"/>
        </w:rPr>
      </w:pPr>
      <w:r>
        <w:rPr>
          <w:rFonts w:ascii="Times New Roman" w:cs="Times New Roman" w:eastAsia="Times New Roman" w:hAnsi="Times New Roman"/>
          <w:sz w:val="17"/>
          <w:szCs w:val="17"/>
          <w:color w:val="auto"/>
        </w:rPr>
        <w:t>Additionally, the three months ended March 31, 2025 benefited by $5.2 million compared to the corresponding period in the prior year from escalations on our leases, favorable variable rents of $1.5 million and higher ground rent revenue of $0.8 million. The Company also recognized lower accretion of $1.0 million on its Investment in leases and unfavorable straight-line rent adjustments of $7.4 million compared to the corresponding period in the prior year.</w:t>
      </w:r>
    </w:p>
    <w:p>
      <w:pPr>
        <w:spacing w:after="0" w:line="190" w:lineRule="exact"/>
        <w:rPr>
          <w:sz w:val="20"/>
          <w:szCs w:val="20"/>
          <w:color w:val="auto"/>
        </w:rPr>
      </w:pPr>
    </w:p>
    <w:p>
      <w:pPr>
        <w:jc w:val="both"/>
        <w:ind w:left="307" w:hanging="307"/>
        <w:spacing w:after="0" w:line="255" w:lineRule="auto"/>
        <w:tabs>
          <w:tab w:leader="none" w:pos="303"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Total operating expenses increased by $18.0 million for the three months ended March 31, 2025 as compared to the corresponding period in the prior year. The primary reason for the increase was due to an increase in the provision for credit losses of $16.0 million during the three months ended March 31, 2025. The provision increase was due primarily from a more pessimistic forward looking economic forecast at March 31, 2025. The Company incurred higher land rights and ground lease expense of $1.7 million due to the acquisition of the assets in Bally's Master Lease II. Additionally, general and administrative expenses increased by $0.8 million due primarily from higher stock based compensation expense of $0.7 million. Partially offsetting these increases was a decline in depreciation expense of $0.3 million.</w:t>
      </w:r>
    </w:p>
    <w:p>
      <w:pPr>
        <w:spacing w:after="0" w:line="206" w:lineRule="exact"/>
        <w:rPr>
          <w:rFonts w:ascii="Times New Roman" w:cs="Times New Roman" w:eastAsia="Times New Roman" w:hAnsi="Times New Roman"/>
          <w:sz w:val="17"/>
          <w:szCs w:val="17"/>
          <w:b w:val="1"/>
          <w:bCs w:val="1"/>
          <w:color w:val="auto"/>
        </w:rPr>
      </w:pPr>
    </w:p>
    <w:p>
      <w:pPr>
        <w:jc w:val="both"/>
        <w:ind w:left="307" w:hanging="307"/>
        <w:spacing w:after="0" w:line="270" w:lineRule="auto"/>
        <w:tabs>
          <w:tab w:leader="none" w:pos="30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increased by $10.5 million for the three months ended March 31, 2025, primarily due to higher interest expense of $10.6 million associated with the Company's increased borrowings to fund our recent acquisitions and prefunding the redemption of our $850 million, 5.25% senior unsecured note that occurred in March 2025.</w:t>
      </w:r>
    </w:p>
    <w:p>
      <w:pPr>
        <w:spacing w:after="0" w:line="191" w:lineRule="exact"/>
        <w:rPr>
          <w:rFonts w:ascii="Times New Roman" w:cs="Times New Roman" w:eastAsia="Times New Roman" w:hAnsi="Times New Roman"/>
          <w:sz w:val="17"/>
          <w:szCs w:val="17"/>
          <w:color w:val="auto"/>
        </w:rPr>
      </w:pPr>
    </w:p>
    <w:p>
      <w:pPr>
        <w:ind w:left="307" w:hanging="307"/>
        <w:spacing w:after="0" w:line="287" w:lineRule="auto"/>
        <w:tabs>
          <w:tab w:leader="none" w:pos="30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decreased by $9.2 million for the three months ended March 31, 2025, as compared to the corresponding periods in the prior year, primarily due to the variances explained above.</w:t>
      </w:r>
    </w:p>
    <w:p>
      <w:pPr>
        <w:spacing w:after="0" w:line="200" w:lineRule="exact"/>
        <w:rPr>
          <w:sz w:val="20"/>
          <w:szCs w:val="20"/>
          <w:color w:val="auto"/>
        </w:rPr>
      </w:pPr>
    </w:p>
    <w:p>
      <w:pPr>
        <w:spacing w:after="0" w:line="274" w:lineRule="exact"/>
        <w:rPr>
          <w:sz w:val="20"/>
          <w:szCs w:val="20"/>
          <w:color w:val="auto"/>
        </w:rPr>
      </w:pPr>
    </w:p>
    <w:p>
      <w:pPr>
        <w:jc w:val="center"/>
        <w:ind w:right="293"/>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85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are the most important factors and trends that contribute or may contribute to our operating performance:</w:t>
      </w:r>
    </w:p>
    <w:p>
      <w:pPr>
        <w:spacing w:after="0" w:line="243" w:lineRule="exact"/>
        <w:rPr>
          <w:sz w:val="20"/>
          <w:szCs w:val="20"/>
          <w:color w:val="auto"/>
        </w:rPr>
      </w:pPr>
    </w:p>
    <w:p>
      <w:pPr>
        <w:ind w:left="62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announced or closed numerous transactions in recent years and expect to continue to grow our portfolio by pursuing opportunities to acquire additional gaming facilities (either existing facilities or new development facilities) to lease to gaming operators under prudent terms.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Several wholly-owned subsidiaries of PENN lease a substantial number of our properties and account for a significant portion of our revenue.</w:t>
      </w:r>
    </w:p>
    <w:p>
      <w:pPr>
        <w:spacing w:after="0" w:line="24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related to economic conditions, including volatility in the financial markets, high inflation levels and the effect of such conditions on consumer spending for leisure and gaming activities, which may negatively impact our gaming tenants and operators and the variable rent and certain annual rent escalators we receive from our tenants.</w:t>
      </w:r>
    </w:p>
    <w:p>
      <w:pPr>
        <w:spacing w:after="0" w:line="19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refinance our significant levels of debt at attractive terms and obtain favorable funding in connection with future business opportunities.</w:t>
      </w:r>
    </w:p>
    <w:p>
      <w:pPr>
        <w:spacing w:after="0" w:line="21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rules and regulations of U.S. federal income taxation are constantly under review by legislators, the Internal Revenue Service and the U.S. Department of the Treasury. Changes to the tax laws or interpretations thereof, with or without retroactive application, could materially and adversely affect GLPI's investors or GLPI.</w:t>
      </w:r>
    </w:p>
    <w:p>
      <w:pPr>
        <w:spacing w:after="0" w:line="19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results of operations for the three months ended March 31, 2025 and 2024 are summarized below:</w:t>
      </w:r>
    </w:p>
    <w:p>
      <w:pPr>
        <w:spacing w:after="0" w:line="41" w:lineRule="exact"/>
        <w:rPr>
          <w:sz w:val="20"/>
          <w:szCs w:val="20"/>
          <w:color w:val="auto"/>
        </w:rPr>
      </w:pPr>
    </w:p>
    <w:tbl>
      <w:tblPr>
        <w:tblLayout w:type="fixed"/>
        <w:tblInd w:w="3320" w:type="dxa"/>
        <w:tblCellMar>
          <w:top w:w="0" w:type="dxa"/>
          <w:left w:w="0" w:type="dxa"/>
          <w:bottom w:w="0" w:type="dxa"/>
          <w:right w:w="0" w:type="dxa"/>
        </w:tblCellMar>
      </w:tblPr>
      <w:tr>
        <w:trPr>
          <w:trHeight w:val="182"/>
        </w:trPr>
        <w:tc>
          <w:tcPr>
            <w:tcW w:w="4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44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r>
      <w:tr>
        <w:trPr>
          <w:trHeight w:val="186"/>
        </w:trPr>
        <w:tc>
          <w:tcPr>
            <w:tcW w:w="4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revenues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395,235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375,964</w:t>
            </w:r>
          </w:p>
        </w:tc>
        <w:tc>
          <w:tcPr>
            <w:tcW w:w="120" w:type="dxa"/>
            <w:vAlign w:val="bottom"/>
            <w:shd w:val="clear" w:color="auto" w:fill="CCEEFF"/>
          </w:tcPr>
          <w:p>
            <w:pPr>
              <w:spacing w:after="0"/>
              <w:rPr>
                <w:sz w:val="19"/>
                <w:szCs w:val="19"/>
                <w:color w:val="auto"/>
              </w:rPr>
            </w:pPr>
          </w:p>
        </w:tc>
      </w:tr>
      <w:tr>
        <w:trPr>
          <w:trHeight w:val="219"/>
        </w:trPr>
        <w:tc>
          <w:tcPr>
            <w:tcW w:w="4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136,401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118,358</w:t>
            </w:r>
          </w:p>
        </w:tc>
        <w:tc>
          <w:tcPr>
            <w:tcW w:w="120" w:type="dxa"/>
            <w:vAlign w:val="bottom"/>
            <w:tcBorders>
              <w:bottom w:val="single" w:sz="8" w:color="CCEEFF"/>
            </w:tcBorders>
          </w:tcPr>
          <w:p>
            <w:pPr>
              <w:spacing w:after="0"/>
              <w:rPr>
                <w:sz w:val="19"/>
                <w:szCs w:val="19"/>
                <w:color w:val="auto"/>
              </w:rPr>
            </w:pPr>
          </w:p>
        </w:tc>
      </w:tr>
      <w:tr>
        <w:trPr>
          <w:trHeight w:val="212"/>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Income from operations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258,834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257,606</w:t>
            </w:r>
          </w:p>
        </w:tc>
        <w:tc>
          <w:tcPr>
            <w:tcW w:w="120" w:type="dxa"/>
            <w:vAlign w:val="bottom"/>
            <w:shd w:val="clear" w:color="auto" w:fill="CCEEFF"/>
          </w:tcPr>
          <w:p>
            <w:pPr>
              <w:spacing w:after="0"/>
              <w:rPr>
                <w:sz w:val="18"/>
                <w:szCs w:val="18"/>
                <w:color w:val="auto"/>
              </w:rPr>
            </w:pPr>
          </w:p>
        </w:tc>
      </w:tr>
      <w:tr>
        <w:trPr>
          <w:trHeight w:val="219"/>
        </w:trPr>
        <w:tc>
          <w:tcPr>
            <w:tcW w:w="4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Total other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(87,916)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(77,443)</w:t>
            </w:r>
          </w:p>
        </w:tc>
        <w:tc>
          <w:tcPr>
            <w:tcW w:w="120" w:type="dxa"/>
            <w:vAlign w:val="bottom"/>
            <w:tcBorders>
              <w:bottom w:val="single" w:sz="8" w:color="CCEEFF"/>
            </w:tcBorders>
          </w:tcPr>
          <w:p>
            <w:pPr>
              <w:spacing w:after="0"/>
              <w:rPr>
                <w:sz w:val="19"/>
                <w:szCs w:val="19"/>
                <w:color w:val="auto"/>
              </w:rPr>
            </w:pPr>
          </w:p>
        </w:tc>
      </w:tr>
      <w:tr>
        <w:trPr>
          <w:trHeight w:val="212"/>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170,918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180,163</w:t>
            </w:r>
          </w:p>
        </w:tc>
        <w:tc>
          <w:tcPr>
            <w:tcW w:w="120" w:type="dxa"/>
            <w:vAlign w:val="bottom"/>
            <w:shd w:val="clear" w:color="auto" w:fill="CCEEFF"/>
          </w:tcPr>
          <w:p>
            <w:pPr>
              <w:spacing w:after="0"/>
              <w:rPr>
                <w:sz w:val="18"/>
                <w:szCs w:val="18"/>
                <w:color w:val="auto"/>
              </w:rPr>
            </w:pPr>
          </w:p>
        </w:tc>
      </w:tr>
      <w:tr>
        <w:trPr>
          <w:trHeight w:val="219"/>
        </w:trPr>
        <w:tc>
          <w:tcPr>
            <w:tcW w:w="4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120" w:type="dxa"/>
            <w:vAlign w:val="bottom"/>
            <w:tcBorders>
              <w:bottom w:val="single" w:sz="8" w:color="CCEEFF"/>
            </w:tcBorders>
          </w:tcPr>
          <w:p>
            <w:pPr>
              <w:spacing w:after="0"/>
              <w:rPr>
                <w:sz w:val="19"/>
                <w:szCs w:val="19"/>
                <w:color w:val="auto"/>
              </w:rPr>
            </w:pPr>
          </w:p>
        </w:tc>
      </w:tr>
      <w:tr>
        <w:trPr>
          <w:trHeight w:val="212"/>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170,354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179,526</w:t>
            </w:r>
          </w:p>
        </w:tc>
        <w:tc>
          <w:tcPr>
            <w:tcW w:w="120" w:type="dxa"/>
            <w:vAlign w:val="bottom"/>
            <w:shd w:val="clear" w:color="auto" w:fill="CCEEFF"/>
          </w:tcPr>
          <w:p>
            <w:pPr>
              <w:spacing w:after="0"/>
              <w:rPr>
                <w:sz w:val="18"/>
                <w:szCs w:val="18"/>
                <w:color w:val="auto"/>
              </w:rPr>
            </w:pPr>
          </w:p>
        </w:tc>
      </w:tr>
      <w:tr>
        <w:trPr>
          <w:trHeight w:val="168"/>
        </w:trPr>
        <w:tc>
          <w:tcPr>
            <w:tcW w:w="444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color w:val="auto"/>
              </w:rPr>
              <w:t>Net income attributable to non-controlling interest in the</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2"/>
        </w:trPr>
        <w:tc>
          <w:tcPr>
            <w:tcW w:w="4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Operating Partnership</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(5,170)</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(5,062)</w:t>
            </w:r>
          </w:p>
        </w:tc>
        <w:tc>
          <w:tcPr>
            <w:tcW w:w="120" w:type="dxa"/>
            <w:vAlign w:val="bottom"/>
            <w:tcBorders>
              <w:bottom w:val="single" w:sz="8" w:color="CCEEFF"/>
            </w:tcBorders>
          </w:tcPr>
          <w:p>
            <w:pPr>
              <w:spacing w:after="0"/>
              <w:rPr>
                <w:sz w:val="20"/>
                <w:szCs w:val="20"/>
                <w:color w:val="auto"/>
              </w:rPr>
            </w:pPr>
          </w:p>
        </w:tc>
      </w:tr>
      <w:tr>
        <w:trPr>
          <w:trHeight w:val="237"/>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165,184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174,464</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FFO, AFFO and Adjusted EBITDA</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net of tax and real estate depreciation. We define AFFO as FFO excluding, as applicable to the particular period, stock based compensation expense; the amortization of debt issuance costs, bond premiums and original issuance discounts; other depreciation; amortization of land rights; accretion on investment in leases, financing receivables; non-cash adjustments to financing lease liabilities; straight-line rent and deferred rent adjustments; losses on debt extinguishment; capitalized interest; and provision (benefit) for credit losses, net, reduced by capital maintenance expenditures. Finally, we define Adjusted EBITDA as net income excluding, as applicable to the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2" w:name="page43"/>
    <w:bookmarkEnd w:id="42"/>
    <w:p>
      <w:pPr>
        <w:jc w:val="both"/>
        <w:spacing w:after="0" w:line="270" w:lineRule="auto"/>
        <w:rPr>
          <w:sz w:val="20"/>
          <w:szCs w:val="20"/>
          <w:color w:val="auto"/>
        </w:rPr>
      </w:pPr>
      <w:r>
        <w:rPr>
          <w:rFonts w:ascii="Times New Roman" w:cs="Times New Roman" w:eastAsia="Times New Roman" w:hAnsi="Times New Roman"/>
          <w:sz w:val="17"/>
          <w:szCs w:val="17"/>
          <w:color w:val="auto"/>
        </w:rPr>
        <w:t>particular period, interest, net; income tax expense; real estate depreciation; other depreciation; (gains) or losses from dispositions of property, net of tax; stock based compensation expense; straight-line rent and deferred rent adjustments; amortization of land rights; accretion on Investment in leases, financing receivables; non-cash adjustments to financing lease liabilities; losses on debt extinguishment; and provision (benefit) for credit losses, net.</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3" w:name="page44"/>
    <w:bookmarkEnd w:id="43"/>
    <w:p>
      <w:pPr>
        <w:ind w:right="60" w:firstLine="659"/>
        <w:spacing w:after="0" w:line="272" w:lineRule="auto"/>
        <w:rPr>
          <w:sz w:val="20"/>
          <w:szCs w:val="20"/>
          <w:color w:val="auto"/>
        </w:rPr>
      </w:pPr>
      <w:r>
        <w:rPr>
          <w:rFonts w:ascii="Times New Roman" w:cs="Times New Roman" w:eastAsia="Times New Roman" w:hAnsi="Times New Roman"/>
          <w:sz w:val="17"/>
          <w:szCs w:val="17"/>
          <w:color w:val="auto"/>
        </w:rPr>
        <w:t>The reconciliation of the Company’s net income per GAAP to FFO, AFFO, and Adjusted EBITDA for the three months ended March 31, 2025 and 2024 is as follows:</w:t>
      </w:r>
    </w:p>
    <w:tbl>
      <w:tblPr>
        <w:tblLayout w:type="fixed"/>
        <w:tblInd w:w="0" w:type="dxa"/>
        <w:tblCellMar>
          <w:top w:w="0" w:type="dxa"/>
          <w:left w:w="0" w:type="dxa"/>
          <w:bottom w:w="0" w:type="dxa"/>
          <w:right w:w="0" w:type="dxa"/>
        </w:tblCellMar>
      </w:tblPr>
      <w:tr>
        <w:trPr>
          <w:trHeight w:val="182"/>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71"/>
        </w:trPr>
        <w:tc>
          <w:tcPr>
            <w:tcW w:w="5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r>
      <w:tr>
        <w:trPr>
          <w:trHeight w:val="186"/>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4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170,354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179,526</w:t>
            </w:r>
          </w:p>
        </w:tc>
        <w:tc>
          <w:tcPr>
            <w:tcW w:w="100" w:type="dxa"/>
            <w:vAlign w:val="bottom"/>
            <w:shd w:val="clear" w:color="auto" w:fill="CCEEFF"/>
          </w:tcPr>
          <w:p>
            <w:pPr>
              <w:spacing w:after="0"/>
              <w:rPr>
                <w:sz w:val="19"/>
                <w:szCs w:val="19"/>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from dispositions of property, net of tax</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depreciation</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64,877</w:t>
            </w:r>
          </w:p>
        </w:tc>
        <w:tc>
          <w:tcPr>
            <w:tcW w:w="100" w:type="dxa"/>
            <w:vAlign w:val="bottom"/>
            <w:shd w:val="clear" w:color="auto" w:fill="CCEEFF"/>
          </w:tcPr>
          <w:p>
            <w:pPr>
              <w:spacing w:after="0"/>
              <w:rPr>
                <w:sz w:val="19"/>
                <w:szCs w:val="19"/>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Funds from operations</w:t>
            </w:r>
          </w:p>
        </w:tc>
        <w:tc>
          <w:tcPr>
            <w:tcW w:w="42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234,758</w:t>
            </w:r>
          </w:p>
        </w:tc>
        <w:tc>
          <w:tcPr>
            <w:tcW w:w="100" w:type="dxa"/>
            <w:vAlign w:val="bottom"/>
          </w:tcPr>
          <w:p>
            <w:pPr>
              <w:spacing w:after="0"/>
              <w:rPr>
                <w:sz w:val="18"/>
                <w:szCs w:val="18"/>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244,403</w:t>
            </w:r>
          </w:p>
        </w:tc>
        <w:tc>
          <w:tcPr>
            <w:tcW w:w="100" w:type="dxa"/>
            <w:vAlign w:val="bottom"/>
          </w:tcPr>
          <w:p>
            <w:pPr>
              <w:spacing w:after="0"/>
              <w:rPr>
                <w:sz w:val="18"/>
                <w:szCs w:val="18"/>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Straight-line rent and deferred rent adjustments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(15,790)</w:t>
            </w:r>
          </w:p>
        </w:tc>
        <w:tc>
          <w:tcPr>
            <w:tcW w:w="100" w:type="dxa"/>
            <w:vAlign w:val="bottom"/>
            <w:shd w:val="clear" w:color="auto" w:fill="CCEEFF"/>
          </w:tcPr>
          <w:p>
            <w:pPr>
              <w:spacing w:after="0"/>
              <w:rPr>
                <w:sz w:val="19"/>
                <w:szCs w:val="19"/>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depreciation</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tcPr>
          <w:p>
            <w:pPr>
              <w:spacing w:after="0"/>
              <w:rPr>
                <w:sz w:val="19"/>
                <w:szCs w:val="19"/>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(benefit) for credit losses, net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23,294</w:t>
            </w:r>
          </w:p>
        </w:tc>
        <w:tc>
          <w:tcPr>
            <w:tcW w:w="100" w:type="dxa"/>
            <w:vAlign w:val="bottom"/>
            <w:shd w:val="clear" w:color="auto" w:fill="CCEEFF"/>
          </w:tcPr>
          <w:p>
            <w:pPr>
              <w:spacing w:after="0"/>
              <w:rPr>
                <w:sz w:val="19"/>
                <w:szCs w:val="19"/>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land rights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3,276</w:t>
            </w:r>
          </w:p>
        </w:tc>
        <w:tc>
          <w:tcPr>
            <w:tcW w:w="100" w:type="dxa"/>
            <w:vAlign w:val="bottom"/>
          </w:tcPr>
          <w:p>
            <w:pPr>
              <w:spacing w:after="0"/>
              <w:rPr>
                <w:sz w:val="19"/>
                <w:szCs w:val="19"/>
                <w:color w:val="auto"/>
              </w:rPr>
            </w:pPr>
          </w:p>
        </w:tc>
      </w:tr>
      <w:tr>
        <w:trPr>
          <w:trHeight w:val="168"/>
        </w:trPr>
        <w:tc>
          <w:tcPr>
            <w:tcW w:w="53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Amortization of debt issuance costs, bond premiums and original issuance</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32"/>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discounts</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2,684</w:t>
            </w:r>
          </w:p>
        </w:tc>
        <w:tc>
          <w:tcPr>
            <w:tcW w:w="100" w:type="dxa"/>
            <w:vAlign w:val="bottom"/>
            <w:shd w:val="clear" w:color="auto" w:fill="CCEEFF"/>
          </w:tcPr>
          <w:p>
            <w:pPr>
              <w:spacing w:after="0"/>
              <w:rPr>
                <w:sz w:val="20"/>
                <w:szCs w:val="20"/>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based compensation</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8,122</w:t>
            </w:r>
          </w:p>
        </w:tc>
        <w:tc>
          <w:tcPr>
            <w:tcW w:w="100" w:type="dxa"/>
            <w:vAlign w:val="bottom"/>
          </w:tcPr>
          <w:p>
            <w:pPr>
              <w:spacing w:after="0"/>
              <w:rPr>
                <w:sz w:val="19"/>
                <w:szCs w:val="19"/>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Accretion on investment in leases, financing receivables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(7,884)</w:t>
            </w:r>
          </w:p>
        </w:tc>
        <w:tc>
          <w:tcPr>
            <w:tcW w:w="100" w:type="dxa"/>
            <w:vAlign w:val="bottom"/>
            <w:shd w:val="clear" w:color="auto" w:fill="CCEEFF"/>
          </w:tcPr>
          <w:p>
            <w:pPr>
              <w:spacing w:after="0"/>
              <w:rPr>
                <w:sz w:val="19"/>
                <w:szCs w:val="19"/>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adjustment to financing lease liabilities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19"/>
                <w:szCs w:val="19"/>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Capitalized interest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 maintenance expenditures</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Borders>
              <w:bottom w:val="single" w:sz="8" w:color="CCEEFF"/>
            </w:tcBorders>
          </w:tcPr>
          <w:p>
            <w:pPr>
              <w:spacing w:after="0"/>
              <w:rPr>
                <w:sz w:val="19"/>
                <w:szCs w:val="19"/>
                <w:color w:val="auto"/>
              </w:rPr>
            </w:pPr>
          </w:p>
        </w:tc>
      </w:tr>
      <w:tr>
        <w:trPr>
          <w:trHeight w:val="21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funds from operations</w:t>
            </w:r>
          </w:p>
        </w:tc>
        <w:tc>
          <w:tcPr>
            <w:tcW w:w="4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271,996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258,615</w:t>
            </w:r>
          </w:p>
        </w:tc>
        <w:tc>
          <w:tcPr>
            <w:tcW w:w="100" w:type="dxa"/>
            <w:vAlign w:val="bottom"/>
            <w:shd w:val="clear" w:color="auto" w:fill="CCEEFF"/>
          </w:tcPr>
          <w:p>
            <w:pPr>
              <w:spacing w:after="0"/>
              <w:rPr>
                <w:sz w:val="18"/>
                <w:szCs w:val="18"/>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net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76,768</w:t>
            </w:r>
          </w:p>
        </w:tc>
        <w:tc>
          <w:tcPr>
            <w:tcW w:w="100" w:type="dxa"/>
            <w:vAlign w:val="bottom"/>
          </w:tcPr>
          <w:p>
            <w:pPr>
              <w:spacing w:after="0"/>
              <w:rPr>
                <w:sz w:val="19"/>
                <w:szCs w:val="19"/>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100" w:type="dxa"/>
            <w:vAlign w:val="bottom"/>
            <w:shd w:val="clear" w:color="auto" w:fill="CCEEFF"/>
          </w:tcPr>
          <w:p>
            <w:pPr>
              <w:spacing w:after="0"/>
              <w:rPr>
                <w:sz w:val="19"/>
                <w:szCs w:val="19"/>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maintenance expenditures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9"/>
                <w:szCs w:val="19"/>
                <w:color w:val="auto"/>
              </w:rPr>
            </w:pPr>
          </w:p>
        </w:tc>
      </w:tr>
      <w:tr>
        <w:trPr>
          <w:trHeight w:val="168"/>
        </w:trPr>
        <w:tc>
          <w:tcPr>
            <w:tcW w:w="53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Amortization of debt issuance costs, bond premiums and original issuance</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32"/>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discounts</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(2,684)</w:t>
            </w:r>
          </w:p>
        </w:tc>
        <w:tc>
          <w:tcPr>
            <w:tcW w:w="100" w:type="dxa"/>
            <w:vAlign w:val="bottom"/>
            <w:shd w:val="clear" w:color="auto" w:fill="CCEEFF"/>
          </w:tcPr>
          <w:p>
            <w:pPr>
              <w:spacing w:after="0"/>
              <w:rPr>
                <w:sz w:val="20"/>
                <w:szCs w:val="20"/>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Capitalized interest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360,118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333,426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Net income, FFO, AFFO and Adjusted EBITDA were $170.4 million, $234.8 million, $272.0 million, and $360.1 million for the three months ended March 31, 2025, respectively. This compares to net income, FFO, AFFO and Adjusted EBITDA of $179.5 million, $244.4 million, $258.6 million and $333.4 million for the corresponding period in the prior year. The decrease in net income of $9.2 million was primarily attributable to increased operating expenses of $18.0 million (which was driven by the increase in provision for credit losses of $16.0 million) and higher other expenses of $10.5 million (driven by higher interest expense to partially finance our acquisitions) partially offset by an increase in total revenues of $19.3 million.</w:t>
      </w:r>
    </w:p>
    <w:p>
      <w:pPr>
        <w:spacing w:after="0" w:line="2"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The decrease in FFO for the three months ended March 31, 2025 was due to the items described above, excluding gains from dispositions of property and real estate depreciation. The increases in AFFO and Adjusted EBITDA were due to the items described above, as well as the adjustments mentioned in the tables above.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Revenues for the three months ended March 31, 2025 and 2024 were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Pr>
          <w:p>
            <w:pPr>
              <w:spacing w:after="0" w:line="20" w:lineRule="exact"/>
              <w:rPr>
                <w:sz w:val="1"/>
                <w:szCs w:val="1"/>
                <w:color w:val="auto"/>
              </w:rPr>
            </w:pPr>
          </w:p>
        </w:tc>
        <w:tc>
          <w:tcPr>
            <w:tcW w:w="152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1"/>
        </w:trPr>
        <w:tc>
          <w:tcPr>
            <w:tcW w:w="49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Rental income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340,252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330,582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19"/>
        </w:trPr>
        <w:tc>
          <w:tcPr>
            <w:tcW w:w="4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from investment in leases, financing receivables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from sales type leases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4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income from real estate loans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from real estate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395,235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375,964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19,271</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income from real estate</w:t>
      </w:r>
    </w:p>
    <w:p>
      <w:pPr>
        <w:spacing w:after="0" w:line="234" w:lineRule="exact"/>
        <w:rPr>
          <w:sz w:val="20"/>
          <w:szCs w:val="20"/>
          <w:color w:val="auto"/>
        </w:rPr>
      </w:pPr>
    </w:p>
    <w:p>
      <w:pPr>
        <w:jc w:val="both"/>
        <w:ind w:left="620" w:hanging="307"/>
        <w:spacing w:after="0" w:line="254" w:lineRule="auto"/>
        <w:tabs>
          <w:tab w:leader="none" w:pos="609" w:val="left"/>
        </w:tabs>
        <w:numPr>
          <w:ilvl w:val="0"/>
          <w:numId w:val="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Total income from real estate increased by $19.3 million to $395.2 million for the three months ended March 31, 2025 compared to $376.0 million for the corresponding period in the prior year. The reason for the increase was primarily due to our recent acquisitions which in the aggregate increased cash rental income by $20.2 million for the three months ended March 31, 2025. Additionally, the three months ended March 31, 2025 benefited by $5.2 million compared to the corresponding period in the prior year from escalations on our leases, favorable variable rents of $1.5 million and higher ground rent revenue of $0.8 million. The Company also recognized lower accretion of $1.0 million on its Investment in leases and unfavorable straight-line rent adjustments of $7.4 million compared to the corresponding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5" w:name="page46"/>
    <w:bookmarkEnd w:id="45"/>
    <w:p>
      <w:pPr>
        <w:ind w:left="620"/>
        <w:spacing w:after="0"/>
        <w:rPr>
          <w:sz w:val="20"/>
          <w:szCs w:val="20"/>
          <w:color w:val="auto"/>
        </w:rPr>
      </w:pPr>
      <w:r>
        <w:rPr>
          <w:rFonts w:ascii="Times New Roman" w:cs="Times New Roman" w:eastAsia="Times New Roman" w:hAnsi="Times New Roman"/>
          <w:sz w:val="17"/>
          <w:szCs w:val="17"/>
          <w:color w:val="auto"/>
        </w:rPr>
        <w:t>Details of the Company's income from real estate for the three months ended March 31, 2025 was as follows (in thousands)</w:t>
      </w:r>
    </w:p>
    <w:p>
      <w:pPr>
        <w:sectPr>
          <w:pgSz w:w="11900" w:h="16838" w:orient="portrait"/>
          <w:cols w:equalWidth="0" w:num="1">
            <w:col w:w="11240"/>
          </w:cols>
          <w:pgMar w:left="320" w:top="858"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Three Months Ended March 31, 2025</w:t>
            </w:r>
          </w:p>
        </w:tc>
        <w:tc>
          <w:tcPr>
            <w:tcW w:w="1460" w:type="dxa"/>
            <w:vAlign w:val="bottom"/>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w w:val="95"/>
              </w:rPr>
              <w:t>Building base</w:t>
            </w:r>
          </w:p>
        </w:tc>
        <w:tc>
          <w:tcPr>
            <w:tcW w:w="0" w:type="dxa"/>
            <w:vAlign w:val="bottom"/>
          </w:tcPr>
          <w:p>
            <w:pPr>
              <w:spacing w:after="0"/>
              <w:rPr>
                <w:sz w:val="1"/>
                <w:szCs w:val="1"/>
                <w:color w:val="auto"/>
              </w:rPr>
            </w:pPr>
          </w:p>
        </w:tc>
      </w:tr>
      <w:tr>
        <w:trPr>
          <w:trHeight w:val="145"/>
        </w:trPr>
        <w:tc>
          <w:tcPr>
            <w:tcW w:w="2200" w:type="dxa"/>
            <w:vAlign w:val="bottom"/>
            <w:tcBorders>
              <w:bottom w:val="single" w:sz="8" w:color="auto"/>
            </w:tcBorders>
            <w:vMerge w:val="continue"/>
          </w:tcPr>
          <w:p>
            <w:pPr>
              <w:spacing w:after="0"/>
              <w:rPr>
                <w:sz w:val="12"/>
                <w:szCs w:val="12"/>
                <w:color w:val="auto"/>
              </w:rPr>
            </w:pPr>
          </w:p>
        </w:tc>
        <w:tc>
          <w:tcPr>
            <w:tcW w:w="1460" w:type="dxa"/>
            <w:vAlign w:val="bottom"/>
          </w:tcPr>
          <w:p>
            <w:pPr>
              <w:jc w:val="center"/>
              <w:ind w:left="614"/>
              <w:spacing w:after="0" w:line="121" w:lineRule="exact"/>
              <w:rPr>
                <w:sz w:val="20"/>
                <w:szCs w:val="20"/>
                <w:color w:val="auto"/>
              </w:rPr>
            </w:pPr>
            <w:r>
              <w:rPr>
                <w:rFonts w:ascii="Times New Roman" w:cs="Times New Roman" w:eastAsia="Times New Roman" w:hAnsi="Times New Roman"/>
                <w:sz w:val="13"/>
                <w:szCs w:val="13"/>
                <w:b w:val="1"/>
                <w:bCs w:val="1"/>
                <w:color w:val="auto"/>
              </w:rPr>
              <w:t>rent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8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Straight-line</w:t>
            </w:r>
          </w:p>
        </w:tc>
        <w:tc>
          <w:tcPr>
            <w:tcW w:w="9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Accretion on</w:t>
            </w:r>
          </w:p>
        </w:tc>
        <w:tc>
          <w:tcPr>
            <w:tcW w:w="860" w:type="dxa"/>
            <w:vAlign w:val="bottom"/>
            <w:vMerge w:val="restart"/>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7"/>
              </w:rPr>
              <w:t>Total income</w:t>
            </w:r>
          </w:p>
        </w:tc>
        <w:tc>
          <w:tcPr>
            <w:tcW w:w="0" w:type="dxa"/>
            <w:vAlign w:val="bottom"/>
          </w:tcPr>
          <w:p>
            <w:pPr>
              <w:spacing w:after="0"/>
              <w:rPr>
                <w:sz w:val="1"/>
                <w:szCs w:val="1"/>
                <w:color w:val="auto"/>
              </w:rPr>
            </w:pPr>
          </w:p>
        </w:tc>
      </w:tr>
      <w:tr>
        <w:trPr>
          <w:trHeight w:val="140"/>
        </w:trPr>
        <w:tc>
          <w:tcPr>
            <w:tcW w:w="182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 cash</w:t>
            </w: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rent and</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Ground rent in</w:t>
            </w:r>
          </w:p>
        </w:tc>
        <w:tc>
          <w:tcPr>
            <w:tcW w:w="8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rent and other</w:t>
            </w: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income on real</w:t>
            </w:r>
          </w:p>
        </w:tc>
        <w:tc>
          <w:tcPr>
            <w:tcW w:w="80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deferred rent</w:t>
            </w:r>
          </w:p>
        </w:tc>
        <w:tc>
          <w:tcPr>
            <w:tcW w:w="980" w:type="dxa"/>
            <w:vAlign w:val="bottom"/>
            <w:vMerge w:val="continue"/>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financing</w:t>
            </w:r>
          </w:p>
        </w:tc>
        <w:tc>
          <w:tcPr>
            <w:tcW w:w="860" w:type="dxa"/>
            <w:vAlign w:val="bottom"/>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5"/>
              </w:rPr>
              <w:t>from real</w:t>
            </w:r>
          </w:p>
        </w:tc>
        <w:tc>
          <w:tcPr>
            <w:tcW w:w="0" w:type="dxa"/>
            <w:vAlign w:val="bottom"/>
          </w:tcPr>
          <w:p>
            <w:pPr>
              <w:spacing w:after="0"/>
              <w:rPr>
                <w:sz w:val="1"/>
                <w:szCs w:val="1"/>
                <w:color w:val="auto"/>
              </w:rPr>
            </w:pPr>
          </w:p>
        </w:tc>
      </w:tr>
      <w:tr>
        <w:trPr>
          <w:trHeight w:val="184"/>
        </w:trPr>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Land base rent rental revenue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estate loans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8"/>
              </w:rPr>
              <w:t>adjustments (1)</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leases</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9"/>
              </w:rPr>
              <w:t>estate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680" w:space="100"/>
            <w:col w:w="7460"/>
          </w:cols>
          <w:pgMar w:left="320" w:top="858"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Amended PENN Master Lease</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54,152</w:t>
            </w:r>
          </w:p>
        </w:tc>
        <w:tc>
          <w:tcPr>
            <w:tcW w:w="2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10,759</w:t>
            </w: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6,561</w:t>
            </w: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top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71,472</w:t>
            </w:r>
          </w:p>
        </w:tc>
        <w:tc>
          <w:tcPr>
            <w:tcW w:w="30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w:t>
            </w: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76,897</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PENN 2023 Master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59,797</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59,676</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4,738</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64,414</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Amended Pinnacle Master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61,482</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17,814</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8,122</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87,418</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2,061</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91,337</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PENN Morgantown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Caesars Master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16,302</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5,932</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22,234</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24,480</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Horseshoe St. Louis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5,991</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5,991</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6,315</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Boyd Master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20,470</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2,946</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26,463</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26,545</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Boyd Belterra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Bally's Master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26,411</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26,411</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28,966</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Bally's Master Lease II</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8,048</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8,048</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9,002</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Maryland Live!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19,412</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19,412</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3,288</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24,808</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Pennsylvania Live! Master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12,793</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12,793</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2,238</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15,339</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Casino Queen Master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7,974</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7,974</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7,973</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Tropicana Las Vegas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3,763</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3,763</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3,760</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Rockford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2,547</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Rockford Loan</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Tioga Downs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4,226</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Gaming Leases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2,299</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2,299</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2,699</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Bally's Chicago</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Ione Loan</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w:t>
            </w:r>
          </w:p>
        </w:tc>
      </w:tr>
      <w:tr>
        <w:trPr>
          <w:trHeight w:val="237"/>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299,507</w:t>
            </w:r>
          </w:p>
        </w:tc>
        <w:tc>
          <w:tcPr>
            <w:tcW w:w="2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49,523</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18,109</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370,598</w:t>
            </w:r>
          </w:p>
        </w:tc>
        <w:tc>
          <w:tcPr>
            <w:tcW w:w="3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8,412</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9,329</w:t>
            </w:r>
          </w:p>
        </w:tc>
        <w:tc>
          <w:tcPr>
            <w:tcW w:w="3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6,896</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395,235</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540" w:right="4160" w:hanging="4918"/>
        <w:spacing w:after="0" w:line="936" w:lineRule="auto"/>
        <w:tabs>
          <w:tab w:leader="none" w:pos="86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year amount includes $0.1 million of tenant improvement allowance amortization.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-306705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2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Building base</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w w:val="96"/>
              </w:rPr>
              <w:t>Total cash</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8"/>
              </w:rPr>
              <w:t>Straight-line</w:t>
            </w:r>
          </w:p>
        </w:tc>
        <w:tc>
          <w:tcPr>
            <w:tcW w:w="9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Ground rent in</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6"/>
              </w:rPr>
              <w:t>Accretion on</w:t>
            </w:r>
          </w:p>
        </w:tc>
        <w:tc>
          <w:tcPr>
            <w:tcW w:w="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income</w:t>
            </w:r>
          </w:p>
        </w:tc>
        <w:tc>
          <w:tcPr>
            <w:tcW w:w="0" w:type="dxa"/>
            <w:vAlign w:val="bottom"/>
          </w:tcPr>
          <w:p>
            <w:pPr>
              <w:spacing w:after="0"/>
              <w:rPr>
                <w:sz w:val="1"/>
                <w:szCs w:val="1"/>
                <w:color w:val="auto"/>
              </w:rPr>
            </w:pPr>
          </w:p>
        </w:tc>
      </w:tr>
      <w:tr>
        <w:trPr>
          <w:trHeight w:val="140"/>
        </w:trPr>
        <w:tc>
          <w:tcPr>
            <w:tcW w:w="20" w:type="dxa"/>
            <w:vAlign w:val="bottom"/>
            <w:vMerge w:val="restart"/>
            <w:shd w:val="clear" w:color="auto" w:fill="CCEEFF"/>
          </w:tcPr>
          <w:p>
            <w:pPr>
              <w:spacing w:after="0"/>
              <w:rPr>
                <w:sz w:val="12"/>
                <w:szCs w:val="12"/>
                <w:color w:val="auto"/>
              </w:rPr>
            </w:pPr>
          </w:p>
        </w:tc>
        <w:tc>
          <w:tcPr>
            <w:tcW w:w="2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7"/>
              </w:rPr>
              <w:t>Three Months Ended March 31, 2024</w:t>
            </w:r>
          </w:p>
        </w:tc>
        <w:tc>
          <w:tcPr>
            <w:tcW w:w="640" w:type="dxa"/>
            <w:vAlign w:val="bottom"/>
            <w:vMerge w:val="restart"/>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60" w:type="dxa"/>
            <w:vAlign w:val="bottom"/>
            <w:gridSpan w:val="4"/>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rent and other income on real</w:t>
            </w:r>
          </w:p>
        </w:tc>
        <w:tc>
          <w:tcPr>
            <w:tcW w:w="1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right="4"/>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rent</w:t>
            </w:r>
          </w:p>
        </w:tc>
        <w:tc>
          <w:tcPr>
            <w:tcW w:w="9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right="4"/>
              <w:spacing w:after="0" w:line="141" w:lineRule="exact"/>
              <w:rPr>
                <w:sz w:val="20"/>
                <w:szCs w:val="20"/>
                <w:color w:val="auto"/>
              </w:rPr>
            </w:pPr>
            <w:r>
              <w:rPr>
                <w:rFonts w:ascii="Times New Roman" w:cs="Times New Roman" w:eastAsia="Times New Roman" w:hAnsi="Times New Roman"/>
                <w:sz w:val="14"/>
                <w:szCs w:val="14"/>
                <w:b w:val="1"/>
                <w:bCs w:val="1"/>
                <w:color w:val="auto"/>
                <w:w w:val="96"/>
              </w:rPr>
              <w:t>financing</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center"/>
              <w:ind w:right="64"/>
              <w:spacing w:after="0" w:line="141" w:lineRule="exact"/>
              <w:rPr>
                <w:sz w:val="20"/>
                <w:szCs w:val="20"/>
                <w:color w:val="auto"/>
              </w:rPr>
            </w:pPr>
            <w:r>
              <w:rPr>
                <w:rFonts w:ascii="Times New Roman" w:cs="Times New Roman" w:eastAsia="Times New Roman" w:hAnsi="Times New Roman"/>
                <w:sz w:val="14"/>
                <w:szCs w:val="14"/>
                <w:b w:val="1"/>
                <w:bCs w:val="1"/>
                <w:color w:val="auto"/>
                <w:w w:val="99"/>
              </w:rPr>
              <w:t>from real</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vMerge w:val="continue"/>
            <w:shd w:val="clear" w:color="auto" w:fill="CCEEFF"/>
          </w:tcPr>
          <w:p>
            <w:pPr>
              <w:spacing w:after="0"/>
              <w:rPr>
                <w:sz w:val="16"/>
                <w:szCs w:val="16"/>
                <w:color w:val="auto"/>
              </w:rPr>
            </w:pPr>
          </w:p>
        </w:tc>
        <w:tc>
          <w:tcPr>
            <w:tcW w:w="220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243"/>
              <w:spacing w:after="0" w:line="122" w:lineRule="exact"/>
              <w:rPr>
                <w:sz w:val="20"/>
                <w:szCs w:val="20"/>
                <w:color w:val="auto"/>
              </w:rPr>
            </w:pPr>
            <w:r>
              <w:rPr>
                <w:rFonts w:ascii="Times New Roman" w:cs="Times New Roman" w:eastAsia="Times New Roman" w:hAnsi="Times New Roman"/>
                <w:sz w:val="14"/>
                <w:szCs w:val="14"/>
                <w:b w:val="1"/>
                <w:bCs w:val="1"/>
                <w:color w:val="auto"/>
              </w:rPr>
              <w:t>rent</w:t>
            </w:r>
          </w:p>
        </w:tc>
        <w:tc>
          <w:tcPr>
            <w:tcW w:w="1840" w:type="dxa"/>
            <w:vAlign w:val="bottom"/>
            <w:tcBorders>
              <w:bottom w:val="single" w:sz="8" w:color="CCEEFF"/>
            </w:tcBorders>
            <w:gridSpan w:val="4"/>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w w:val="98"/>
              </w:rPr>
              <w:t>Land base rent rental revenue</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43"/>
              <w:spacing w:after="0" w:line="122" w:lineRule="exact"/>
              <w:rPr>
                <w:sz w:val="20"/>
                <w:szCs w:val="20"/>
                <w:color w:val="auto"/>
              </w:rPr>
            </w:pPr>
            <w:r>
              <w:rPr>
                <w:rFonts w:ascii="Times New Roman" w:cs="Times New Roman" w:eastAsia="Times New Roman" w:hAnsi="Times New Roman"/>
                <w:sz w:val="14"/>
                <w:szCs w:val="14"/>
                <w:b w:val="1"/>
                <w:bCs w:val="1"/>
                <w:color w:val="auto"/>
                <w:w w:val="98"/>
              </w:rPr>
              <w:t>estate loans</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4"/>
              <w:spacing w:after="0" w:line="12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center"/>
              <w:ind w:right="4"/>
              <w:spacing w:after="0" w:line="122" w:lineRule="exact"/>
              <w:rPr>
                <w:sz w:val="20"/>
                <w:szCs w:val="20"/>
                <w:color w:val="auto"/>
              </w:rPr>
            </w:pPr>
            <w:r>
              <w:rPr>
                <w:rFonts w:ascii="Times New Roman" w:cs="Times New Roman" w:eastAsia="Times New Roman" w:hAnsi="Times New Roman"/>
                <w:sz w:val="14"/>
                <w:szCs w:val="14"/>
                <w:b w:val="1"/>
                <w:bCs w:val="1"/>
                <w:color w:val="auto"/>
                <w:w w:val="98"/>
              </w:rPr>
              <w:t>adjustments</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63"/>
              <w:spacing w:after="0" w:line="12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center"/>
              <w:ind w:right="4"/>
              <w:spacing w:after="0" w:line="122" w:lineRule="exact"/>
              <w:rPr>
                <w:sz w:val="20"/>
                <w:szCs w:val="20"/>
                <w:color w:val="auto"/>
              </w:rPr>
            </w:pPr>
            <w:r>
              <w:rPr>
                <w:rFonts w:ascii="Times New Roman" w:cs="Times New Roman" w:eastAsia="Times New Roman" w:hAnsi="Times New Roman"/>
                <w:sz w:val="14"/>
                <w:szCs w:val="14"/>
                <w:b w:val="1"/>
                <w:bCs w:val="1"/>
                <w:color w:val="auto"/>
                <w:w w:val="99"/>
              </w:rPr>
              <w:t>leases</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ind w:right="64"/>
              <w:spacing w:after="0" w:line="122" w:lineRule="exact"/>
              <w:rPr>
                <w:sz w:val="20"/>
                <w:szCs w:val="20"/>
                <w:color w:val="auto"/>
              </w:rPr>
            </w:pPr>
            <w:r>
              <w:rPr>
                <w:rFonts w:ascii="Times New Roman" w:cs="Times New Roman" w:eastAsia="Times New Roman" w:hAnsi="Times New Roman"/>
                <w:sz w:val="14"/>
                <w:szCs w:val="14"/>
                <w:b w:val="1"/>
                <w:bCs w:val="1"/>
                <w:color w:val="auto"/>
                <w:w w:val="93"/>
              </w:rPr>
              <w:t>estate</w:t>
            </w:r>
          </w:p>
        </w:tc>
        <w:tc>
          <w:tcPr>
            <w:tcW w:w="0" w:type="dxa"/>
            <w:vAlign w:val="bottom"/>
          </w:tcPr>
          <w:p>
            <w:pPr>
              <w:spacing w:after="0"/>
              <w:rPr>
                <w:sz w:val="1"/>
                <w:szCs w:val="1"/>
                <w:color w:val="auto"/>
              </w:rPr>
            </w:pPr>
          </w:p>
        </w:tc>
      </w:tr>
      <w:tr>
        <w:trPr>
          <w:trHeight w:val="19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Amended PENN Master Lease</w:t>
            </w:r>
          </w:p>
        </w:tc>
        <w:tc>
          <w:tcPr>
            <w:tcW w:w="2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53,090</w:t>
            </w: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10,759</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6,519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70,368</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4,952</w:t>
            </w: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569</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75,889</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PENN 2023 Master Lease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58,913</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58,806</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5,622</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64,428</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Amended Pinnacle Master Lease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60,277</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17,814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7,164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85,255</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1,858</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2,063</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89,176</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PENN Morgantown Lease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Caesars Master Lease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16,022</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5,932</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21,954</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2,196</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24,480</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Horseshoe St. Louis Lease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5,918</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5,918</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6,317</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Boyd Master Lease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20,068</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2,946</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2,566</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25,580</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26,586</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Boyd Belterra Lease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1,654</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1,805</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Bally's Master Lease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25,893</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25,893</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2,689</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28,582</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Maryland Live! Lease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19,078</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19,078</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4,529</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25,767</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Pennsylvania Live! Master Lease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12,573</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12,573</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2,273</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15,157</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Casino Queen Master Lease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7,905</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7,905</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7,943</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Tropicana Las Vegas Lease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2,678</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2,678</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2,678</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Rockford Lease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2,498</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Rockford Loan</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1,077</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1,077</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1,077</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Tioga Lease</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2,212</w:t>
            </w: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2,212</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2,797</w:t>
            </w:r>
          </w:p>
        </w:tc>
        <w:tc>
          <w:tcPr>
            <w:tcW w:w="0" w:type="dxa"/>
            <w:vAlign w:val="bottom"/>
          </w:tcPr>
          <w:p>
            <w:pPr>
              <w:spacing w:after="0"/>
              <w:rPr>
                <w:sz w:val="1"/>
                <w:szCs w:val="1"/>
                <w:color w:val="auto"/>
              </w:rPr>
            </w:pPr>
          </w:p>
        </w:tc>
      </w:tr>
      <w:tr>
        <w:trPr>
          <w:trHeight w:val="19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282,658</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43,386</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16,614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343,735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15,790</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8,555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7,884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375,964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recognizes earnings on Investment in leases, financing receivables and Investment in leases, sales type based on the effective yield method using the discount rate implicit in the leases. The amounts in the table above labeled accretion on financing leases represent earnings recognized in excess of cash received during the period.</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Operating expenses for the three months ended March 31, 2025 and 2024 were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88"/>
        </w:trPr>
        <w:tc>
          <w:tcPr>
            <w:tcW w:w="48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600" w:type="dxa"/>
            <w:vAlign w:val="bottom"/>
            <w:tcBorders>
              <w:bottom w:val="single" w:sz="8" w:color="CCEEFF"/>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21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 and ground lease expense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14.7 %</w:t>
            </w: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4.6 %</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from dispositions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68.5 %</w:t>
            </w:r>
          </w:p>
        </w:tc>
      </w:tr>
      <w:tr>
        <w:trPr>
          <w:trHeight w:val="212"/>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136,401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118,358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18,043</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15.2 %</w:t>
            </w:r>
          </w:p>
        </w:tc>
      </w:tr>
      <w:tr>
        <w:trPr>
          <w:trHeight w:val="20"/>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Land rights and ground lease expense</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Land rights and ground lease expense includes the amortization of land rights and rent expense related to the Company's long-term ground leases. Land rights and ground lease expense increased by $1.7 million for the three months ended March 31, 2025, as compared to the corresponding period in the prior year due to the acquisition of the real estate assets in Bally's Master Lease II.</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color w:val="auto"/>
        </w:rPr>
        <w:t>General and Administrative Expense</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General and administrative expenses include items such as compensation costs (including stock based compensation), professional services and costs associated with development activities. General and administrative expenses increased by $0.8 million for the three months ended March 31, 2025 as compared to the corresponding period in the prior year. This was due primarily to higher stock based compensation expense of $0.7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Depreciation</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Depreciation expense decreased by $0.3 million for the three months ended March 31, 2025 as compared to the corresponding period in the prior year.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 for credit losses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recorded a provision for credit losses of $39.2 million for the three months ended March 31, 2025 compared to a provision of $23.3 million for the corresponding period in the prior year. As described in Note 3, the Company follows ASC 326 “Credit Losses”, which requires that the Company measure and record current expected credit losses, the scope of which includes our Investments in leases, financing receivables, net as well as the Company's real estate loans and related loan commitment.</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reason for the increased provision during the three months ended March 31, 2025 was due to a more pessimistic forward looking economic forecast utilized in our CECL reserve calculation. Future changes in economic projections, probability factors, changes in the estimated value of our real estate property and earnings assumptions at the underlying facilities may result in non-cash provisions or recoveries in future periods that could materially impact our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income (expenses) for the three months ended March 31, 2025 and 2024 were as follows (in thousands):</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Pr>
          <w:p>
            <w:pPr>
              <w:spacing w:after="0" w:line="20" w:lineRule="exact"/>
              <w:rPr>
                <w:sz w:val="1"/>
                <w:szCs w:val="1"/>
                <w:color w:val="auto"/>
              </w:rPr>
            </w:pPr>
          </w:p>
        </w:tc>
        <w:tc>
          <w:tcPr>
            <w:tcW w:w="1520" w:type="dxa"/>
            <w:vAlign w:val="bottom"/>
            <w:vMerge w:val="restart"/>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1"/>
        </w:trPr>
        <w:tc>
          <w:tcPr>
            <w:tcW w:w="49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(10,597)</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12.2 %</w:t>
            </w:r>
          </w:p>
        </w:tc>
        <w:tc>
          <w:tcPr>
            <w:tcW w:w="0" w:type="dxa"/>
            <w:vAlign w:val="bottom"/>
          </w:tcPr>
          <w:p>
            <w:pPr>
              <w:spacing w:after="0"/>
              <w:rPr>
                <w:sz w:val="1"/>
                <w:szCs w:val="1"/>
                <w:color w:val="auto"/>
              </w:rPr>
            </w:pPr>
          </w:p>
        </w:tc>
      </w:tr>
      <w:tr>
        <w:trPr>
          <w:trHeight w:val="21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9,356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6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13.5 %</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Interest expense increased by $10.6 million for the three months ended March 31, 2025, as compared to the corresponding period in the prior year. The increase was due to increased borrowings that partially funded our recent acquisitions and prefunding the redemption for our $850 million, 5.25% senior unsecured note that occurred in March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attributable to noncontrolling interest in the Operating Partnership</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 partial consideration for certain real estate acquisitions, the Company's operating partnership has issued OP Units.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Condensed Consolidated Balance Sheets and allocates the proportion of net income to the noncontrolling interests on the Condensed Consolidated Statements of Income.</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net income or loss is allocated to noncontrolling interests based on the respective ownership or voting percentage in the Operating Partnership associated with such noncontrolling interests and is removed from consolidated income or loss on the Condensed Consolidated Statements of Operations in order to derive net income or loss attributable to common stockholders. The noncontrolling ownership percentage is calculated by dividing the aggregate number of LTIP Units and OP Units by the total number of units and shares outstanding.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primary sources of liquidity and capital resources are cash flow from operations, borrowings from banks, and proceeds from the issuance of debt and equity securities.</w:t>
      </w:r>
    </w:p>
    <w:p>
      <w:pPr>
        <w:spacing w:after="0" w:line="15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Net cash provided by operating activities was $252.5 million and $257.9 million during the three months ended March 31, 2025 and 2024, respectively. The decrease in net cash provided by operating activities of $5.4 million for the three months ended March 31, 2025, as compared to the corresponding period in the prior year, was primarily comprised of an increase in cash receipts from customers of $26.9 million along with decreases in cash paid for operating expenses of $2.6 million and an increase in interest income of $13.2 million. This was offset by increases in cash paid for employees and cash paid for interest of $1.3 million and $46.8 million respectively. The increase in cash receipts collected from our customers for the three months ended March 31, 2025, as compared to the corresponding period in the prior year, was due to increased rental income from the Company's recent acquisitions and lease escalations and the increase in interest expense was due to increased borrowings that partially funded our recent acquisitions and prefunding the redemption for our $850 million, 5.25% senior unsecured note that occurred in March 2025.</w:t>
      </w:r>
    </w:p>
    <w:p>
      <w:pPr>
        <w:spacing w:after="0" w:line="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Investing activities provided cash of $534.0 million and used cash of $448.4 million during the three months ended March 31, 2025 and 2024, respectively. Net cash provided by investing activities during the three months ended March 31, 2025 primarily consisted of the maturity of zero coupon U.S. Treasury Bills totaling $550.0 million, partially offset by Ione Loan fundings of $3.2 million, and capital expenditures of $12.9 million. The net cash used in investing activities for the three months ended March 31, 2024 consisted primarily of $93.3 million for the acquisition of the real estate assets which were added to the Bally's Master Lease, the purchase of zero coupon U.S. Treasury Bills totaling $341.0 million and Ione Loan fundings of $14.0 million.</w:t>
      </w:r>
    </w:p>
    <w:p>
      <w:pPr>
        <w:spacing w:after="0" w:line="20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Financing activities used cash of $1,080.3 million and $281.9 million during the three months ended March 31, 2025 and 2024, respectively. Net cash used in financing activities during the three months ended March 31, 2025 was driven by the repayment of long term debt of $850.1 million, dividend payments of $209.1 million, non-controlling interest distributions of $6.3 million, and taxes paid related to shares withheld for tax purposes on restricted stock award vestings of $14.8 million. Cash used in financing activities during the three months ended March 31, 2024 was driven by the repayment of long term debt of $63.5 million, dividend payments of $206.6 million, noncontrolling interest distributions of $6.1 million and taxes paid related to shares withheld for tax purposes on restricted stock award vestings of $14.7 million, partially offset by proceeds from the issuance of common stock, net of costs of $9.0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Expenditures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Capital expenditures are accounted for as either capital project expenditures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three months ended March 31, 2025 and 2024, we spent approximately $12.9 million and $0.1 million, respectively, for capital expenditures.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majority of the capital expenditures in 2025 were related to a land side and hotel development project at The Belle.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has access to a $2.09 billion variable rate revolving credit facility under its credit Agreement, as amended (the "Amended Credit Agreement") of which $332.5 million is outstanding as of March 31, 2025. Additionally, the Company was contingently obligated under letters of credit issued pursuant to the Amended Credit Agreement with face amounts aggregating approximately $0.4 million, resulting in $1,757.2 million of available borrowing capacity under the Amended Credit Agreement as of March 31, 2025.</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has $6.89 billion of debt outstanding with a weighted average maturity and interest rate of 6.3 years and 5.06%, respectively as of March 31, 2025. The majority of the Company's debt obligations have fixed interest rates from the issuance of its senior unsecured notes. During the three month period ended March 31, 2025, the Company redeemed its $850 million 5.250% note that was due in June 2025. See Note 7 for the future minimum repayments of the Company's debt obligations.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9" w:name="page50"/>
    <w:bookmarkEnd w:id="49"/>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GLPI owns 97.0% of the assets of GLP Capital and conducts all of its operations through the operating partnership. Based on the amendments to Rule 3-10 of Regulation S-X that the SEC released on January 4, 2021,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spacing w:after="0" w:line="9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Distribution Requirements</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Outlook</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Based on our current level of operations and anticipated earnings, we believe that cash generated from operations and cash on hand, together with amounts available under our Amended Credit Agreement and our ability to raise equity proceeds (including the Company's forward sale agreement that is anticipated to be settled in June of 2025), will be adequate to meet our anticipated debt service requirements, funding commitments, capital expenditures, working capital needs and dividend requirements for the next twelve months and beyond.</w:t>
      </w:r>
    </w:p>
    <w:p>
      <w:pPr>
        <w:spacing w:after="0" w:line="197"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In late December 2022, the Company refreshed its ATM capacity to $1 billion (the "2022 ATM Program"). As of March 31, 2025, the Company had $34.2 million remaining for issuance under the 2022 ATM Program. Once the 2022 ATM Program is exhausted, the Company would expect to enter into a new program.</w:t>
      </w:r>
    </w:p>
    <w:p>
      <w:pPr>
        <w:spacing w:after="0" w:line="39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expect the majority of our future growth to come from funding commitments to our tenants and acquisitions of gaming and other properties to lease to third parties. If we consummate significant transactions in the future, our cash requirements may increase significantly and we would likely need to raise additional proceeds through a combination of either common equity (including under our 2022 ATM Program and future ATM programs that we would expect to enter into once the 2022 ATM Program is fully utilized), issuance of additional OP Units,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in the Company's Annual Report on Form 10-K for the year ended December 31, 2024, for a discussion of the risk related to our capital structure.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face market risk exposure in the form of interest rate risk. These market risks arise from our debt obligations. We have no international operations.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exposure to foreign currency fluctuations is not significant to our financial condition or results of operations.</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GLPI’s primary market risk exposure is interest rate risk with respect to its indebtedness of $6,957.7 million at March 31, 2025. Furthermore, $6,025.0 million of our obligations at March 31, 2025 are the senior unsecured notes that have fixed interest rates with maturity dates ranging from April 15, 2026 to September 15, 2054.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table below provides information at March 31, 2025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March 31, 2025.</w:t>
      </w:r>
    </w:p>
    <w:p>
      <w:pPr>
        <w:spacing w:after="0" w:line="209" w:lineRule="exact"/>
        <w:rPr>
          <w:sz w:val="20"/>
          <w:szCs w:val="20"/>
          <w:color w:val="auto"/>
        </w:rPr>
      </w:pPr>
    </w:p>
    <w:tbl>
      <w:tblPr>
        <w:tblLayout w:type="fixed"/>
        <w:tblInd w:w="2600" w:type="dxa"/>
        <w:tblCellMar>
          <w:top w:w="0" w:type="dxa"/>
          <w:left w:w="0" w:type="dxa"/>
          <w:bottom w:w="0" w:type="dxa"/>
          <w:right w:w="0" w:type="dxa"/>
        </w:tblCellMar>
      </w:tblPr>
      <w:tr>
        <w:trPr>
          <w:trHeight w:val="161"/>
        </w:trPr>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w w:val="95"/>
              </w:rPr>
              <w:t>04/01/25-</w:t>
            </w: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1/01/26-</w:t>
            </w: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1/01/27-</w:t>
            </w:r>
          </w:p>
        </w:tc>
        <w:tc>
          <w:tcPr>
            <w:tcW w:w="10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1/01/28-</w:t>
            </w:r>
          </w:p>
        </w:tc>
        <w:tc>
          <w:tcPr>
            <w:tcW w:w="9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1/01/29-</w:t>
            </w:r>
          </w:p>
        </w:tc>
        <w:tc>
          <w:tcPr>
            <w:tcW w:w="11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5"/>
              </w:rPr>
              <w:t>Fair Value at</w:t>
            </w:r>
          </w:p>
        </w:tc>
        <w:tc>
          <w:tcPr>
            <w:tcW w:w="0" w:type="dxa"/>
            <w:vAlign w:val="bottom"/>
          </w:tcPr>
          <w:p>
            <w:pPr>
              <w:spacing w:after="0"/>
              <w:rPr>
                <w:sz w:val="1"/>
                <w:szCs w:val="1"/>
                <w:color w:val="auto"/>
              </w:rPr>
            </w:pPr>
          </w:p>
        </w:tc>
      </w:tr>
      <w:tr>
        <w:trPr>
          <w:trHeight w:val="182"/>
        </w:trPr>
        <w:tc>
          <w:tcPr>
            <w:tcW w:w="7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96"/>
              </w:rPr>
              <w:t>12/31/25</w:t>
            </w:r>
          </w:p>
        </w:tc>
        <w:tc>
          <w:tcPr>
            <w:tcW w:w="9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12/31/26</w:t>
            </w: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12/31/27</w:t>
            </w:r>
          </w:p>
        </w:tc>
        <w:tc>
          <w:tcPr>
            <w:tcW w:w="10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12/31/28</w:t>
            </w: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12/31/29</w:t>
            </w:r>
          </w:p>
        </w:tc>
        <w:tc>
          <w:tcPr>
            <w:tcW w:w="11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3/31/2025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1541145</wp:posOffset>
            </wp:positionH>
            <wp:positionV relativeFrom="paragraph">
              <wp:posOffset>6350</wp:posOffset>
            </wp:positionV>
            <wp:extent cx="52965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96535" cy="8255"/>
                    </a:xfrm>
                    <a:prstGeom prst="rect">
                      <a:avLst/>
                    </a:prstGeom>
                    <a:noFill/>
                  </pic:spPr>
                </pic:pic>
              </a:graphicData>
            </a:graphic>
          </wp:anchor>
        </w:drawing>
      </w:r>
    </w:p>
    <w:p>
      <w:pPr>
        <w:ind w:left="61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40" w:type="dxa"/>
            <w:vAlign w:val="bottom"/>
            <w:tcBorders>
              <w:right w:val="single" w:sz="8" w:color="CCEEFF"/>
            </w:tcBorders>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6"/>
              </w:rPr>
              <w:t>Long-term debt:</w:t>
            </w:r>
          </w:p>
        </w:tc>
        <w:tc>
          <w:tcPr>
            <w:tcW w:w="9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6"/>
        </w:trPr>
        <w:tc>
          <w:tcPr>
            <w:tcW w:w="40" w:type="dxa"/>
            <w:vAlign w:val="bottom"/>
          </w:tcPr>
          <w:p>
            <w:pPr>
              <w:spacing w:after="0"/>
              <w:rPr>
                <w:sz w:val="16"/>
                <w:szCs w:val="16"/>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Fixed rate</w:t>
            </w: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975,000</w:t>
            </w: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500,000</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750,000</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3,800,000</w:t>
            </w:r>
          </w:p>
        </w:tc>
        <w:tc>
          <w:tcPr>
            <w:tcW w:w="3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6,025,000</w:t>
            </w:r>
          </w:p>
        </w:tc>
        <w:tc>
          <w:tcPr>
            <w:tcW w:w="42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5,861,537</w:t>
            </w:r>
          </w:p>
        </w:tc>
      </w:tr>
      <w:tr>
        <w:trPr>
          <w:trHeight w:val="201"/>
        </w:trPr>
        <w:tc>
          <w:tcPr>
            <w:tcW w:w="40" w:type="dxa"/>
            <w:vAlign w:val="bottom"/>
            <w:tcBorders>
              <w:right w:val="single" w:sz="8" w:color="CCEEFF"/>
            </w:tcBorders>
          </w:tcPr>
          <w:p>
            <w:pPr>
              <w:spacing w:after="0"/>
              <w:rPr>
                <w:sz w:val="17"/>
                <w:szCs w:val="17"/>
                <w:color w:val="auto"/>
              </w:rPr>
            </w:pPr>
          </w:p>
        </w:tc>
        <w:tc>
          <w:tcPr>
            <w:tcW w:w="1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Average interest rate</w:t>
            </w: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5.38%</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4"/>
                <w:szCs w:val="14"/>
                <w:color w:val="auto"/>
                <w:w w:val="93"/>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5.75%</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5.30%</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4.71%</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3"/>
        </w:trPr>
        <w:tc>
          <w:tcPr>
            <w:tcW w:w="40" w:type="dxa"/>
            <w:vAlign w:val="bottom"/>
            <w:tcBorders>
              <w:right w:val="single" w:sz="8" w:color="CCEEFF"/>
            </w:tcBorders>
          </w:tcPr>
          <w:p>
            <w:pPr>
              <w:spacing w:after="0"/>
              <w:rPr>
                <w:sz w:val="16"/>
                <w:szCs w:val="16"/>
                <w:color w:val="auto"/>
              </w:rPr>
            </w:pPr>
          </w:p>
        </w:tc>
        <w:tc>
          <w:tcPr>
            <w:tcW w:w="1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Variable rate</w:t>
            </w: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600,000</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332,455</w:t>
            </w: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932,455</w:t>
            </w:r>
          </w:p>
        </w:tc>
        <w:tc>
          <w:tcPr>
            <w:tcW w:w="4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932,455</w:t>
            </w:r>
          </w:p>
        </w:tc>
      </w:tr>
      <w:tr>
        <w:trPr>
          <w:trHeight w:val="235"/>
        </w:trPr>
        <w:tc>
          <w:tcPr>
            <w:tcW w:w="4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Average interest rate </w:t>
            </w:r>
            <w:r>
              <w:rPr>
                <w:rFonts w:ascii="Times New Roman" w:cs="Times New Roman" w:eastAsia="Times New Roman" w:hAnsi="Times New Roman"/>
                <w:sz w:val="17"/>
                <w:szCs w:val="17"/>
                <w:color w:val="auto"/>
                <w:vertAlign w:val="superscript"/>
              </w:rPr>
              <w:t>(1)</w:t>
            </w:r>
          </w:p>
        </w:tc>
        <w:tc>
          <w:tcPr>
            <w:tcW w:w="78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0"/>
                <w:szCs w:val="20"/>
                <w:color w:val="auto"/>
              </w:rPr>
            </w:pPr>
          </w:p>
        </w:tc>
        <w:tc>
          <w:tcPr>
            <w:tcW w:w="74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4.75%</w:t>
            </w:r>
          </w:p>
        </w:tc>
        <w:tc>
          <w:tcPr>
            <w:tcW w:w="240" w:type="dxa"/>
            <w:vAlign w:val="bottom"/>
          </w:tcPr>
          <w:p>
            <w:pPr>
              <w:spacing w:after="0"/>
              <w:rPr>
                <w:sz w:val="20"/>
                <w:szCs w:val="20"/>
                <w:color w:val="auto"/>
              </w:rPr>
            </w:pPr>
          </w:p>
        </w:tc>
        <w:tc>
          <w:tcPr>
            <w:tcW w:w="76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4.84%</w:t>
            </w:r>
          </w:p>
        </w:tc>
        <w:tc>
          <w:tcPr>
            <w:tcW w:w="260" w:type="dxa"/>
            <w:vAlign w:val="bottom"/>
          </w:tcPr>
          <w:p>
            <w:pPr>
              <w:spacing w:after="0"/>
              <w:rPr>
                <w:sz w:val="20"/>
                <w:szCs w:val="20"/>
                <w:color w:val="auto"/>
              </w:rPr>
            </w:pPr>
          </w:p>
        </w:tc>
        <w:tc>
          <w:tcPr>
            <w:tcW w:w="74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32"/>
        </w:trPr>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r>
    </w:tbl>
    <w:p>
      <w:pPr>
        <w:spacing w:after="0" w:line="310" w:lineRule="exact"/>
        <w:rPr>
          <w:sz w:val="20"/>
          <w:szCs w:val="20"/>
          <w:color w:val="auto"/>
        </w:rPr>
      </w:pPr>
    </w:p>
    <w:p>
      <w:pPr>
        <w:ind w:right="300" w:firstLine="3"/>
        <w:spacing w:after="0" w:line="234" w:lineRule="auto"/>
        <w:tabs>
          <w:tab w:leader="none" w:pos="529"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rate, reflective of forward SOFR plus the spread over SOFR applicable to the Company's variable-rate borrowing based on the terms of its Credit Agreement. Rate above includes the facility fee on the commitments under the Credit Agreement, which is due regardless of usage, at a rate that ranges from 0.125% to 0.3% per annum, depending on the credit rating assigned to the Credit Agreement from time to time. The current facility fee rate is 0.25%.</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Controls and Procedures</w:t>
      </w:r>
    </w:p>
    <w:p>
      <w:pPr>
        <w:spacing w:after="0" w:line="22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March 31, 2025,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March 31, 2025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quarter ended March 31, 2025, we completed the implementation of a new general ledger system which constituted a change in the Company’s internal control over financial reporting. Management has taken appropriate steps to test and validate the design and operational effectiveness of the controls associated with the new system.</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There have been no other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Information in response to this Item is incorporated by reference to the information set forth in "Note 9: Commitments and Contingencies" in the Notes to the condensed consolidated financial statements in Part I of this Quarterly Report on Form 10-Q.</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 There have been no material changes in our risk factors from those previously disclosed in our Annual Report.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did not repurchase any shares of common stock or sell any unregistered securities during the three months ended March 31,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Insider Trading Arrangements and Policies</w:t>
      </w:r>
    </w:p>
    <w:p>
      <w:pPr>
        <w:spacing w:after="0" w:line="243"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On March 14, 2025, Steven Ladany, the Company's Senior Vice President and Chief Development Officer, entered into a pre-arranged written stock sale plan in accordance with Rule 10b5-1 (the “Ladany Rule 10b5-1 Plan”) under the Exchange Act for the sale of shares of the Company’s common stock. The Ladany Rule 10b5-1 Plan was entered into during an open trading window in accordance with the Company’s policies regarding transactions in the Company’s securities and is intended to satisfy the affirmative defense of Rule 10b5-1(c) under the Exchange Act. The Ladany Rule 10b5-1 Plan provides for the potential sale of shares of the Company’s common stock, including upon the vesting and settlement of restricted stock awards, between January 2, 2026 and January 30, 2026. The aggregate number of shares of common stock that will be available for sale under the Ladany Rule 10b5-1 Plan is not yet determinable because certain awards are subject to Company performance award metrics and will be net of shares sold to satisfy tax withholding obligations that arise in connection with the vesting and settlement of such restricted stock awards. As such, for purposes of this disclosure, the aggregate number of shares of common stock available for sale prior to tax withholding on vested shares is 70,000.</w:t>
      </w:r>
    </w:p>
    <w:p>
      <w:pPr>
        <w:spacing w:after="0" w:line="205"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The Ladany Rule 10b5-1 Plan includes a representation from Mr. Ladany to the broker administering the plan that he was not in possession of any material nonpublic information regarding the Company or the securities subject to the Ladany Rule 10b5-1 Plan at the time it was entered into. A similar representation was made to the Company in connection with the adoption of the Ladany Rule 10b5-1 Plan under the Company’s policies regarding transactions in the Company’s securities. Those representations were made as of the date of adoption of the Ladany Rule 10b5-1 Plan, and speak only as of such date. In making those representations, there is no assurance with respect to any material nonpublic information of which Mr. Ladany was unaware, or with respect to any material nonpublic information acquired by Mr. Ladany or the Company after the date of the 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70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2"/>
        </w:trPr>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73"/>
        </w:trPr>
        <w:tc>
          <w:tcPr>
            <w:tcW w:w="118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rPr>
              <w:t>3.1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11"/>
          </w:tcPr>
          <w:p>
            <w:pPr>
              <w:spacing w:after="0" w:line="173"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Amended and Restated Articles of Incorporation of Gaming and Leisure Properties, Inc. (Incorporated by reference to Exhibit 3.1 to the</w:t>
              </w:r>
            </w:hyperlink>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60" w:type="dxa"/>
            <w:vAlign w:val="bottom"/>
            <w:tcBorders>
              <w:top w:val="single" w:sz="8" w:color="0000FF"/>
              <w:bottom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Company's Current Report on Form 8-K filed on June 15, 2018).</w:t>
              </w:r>
            </w:hyperlink>
          </w:p>
        </w:tc>
        <w:tc>
          <w:tcPr>
            <w:tcW w:w="4900" w:type="dxa"/>
            <w:vAlign w:val="bottom"/>
            <w:tcBorders>
              <w:top w:val="single" w:sz="8" w:color="0000FF"/>
            </w:tcBorders>
            <w:gridSpan w:val="3"/>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1"/>
          </w:tcPr>
          <w:p>
            <w:pPr>
              <w:spacing w:after="0"/>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Second Amended and Restated Bylaws of Gaming and Leisure Properties, Inc. (Incorporated by reference to Exhibit 3.1 to the Company's</w:t>
              </w:r>
            </w:hyperlink>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8"/>
          </w:tcPr>
          <w:p>
            <w:pPr>
              <w:spacing w:after="0" w:line="148"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Current Report on Form 8-K filed on December 13, 2023).</w:t>
              </w:r>
            </w:hyperlink>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22.1 *</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List of Subsidiary Issuers of Guaranteed Securities</w:t>
            </w:r>
          </w:p>
        </w:tc>
        <w:tc>
          <w:tcPr>
            <w:tcW w:w="540" w:type="dxa"/>
            <w:vAlign w:val="bottom"/>
            <w:tcBorders>
              <w:top w:val="single" w:sz="8" w:color="0000FF"/>
            </w:tcBorders>
          </w:tcPr>
          <w:p>
            <w:pPr>
              <w:spacing w:after="0"/>
              <w:rPr>
                <w:sz w:val="18"/>
                <w:szCs w:val="18"/>
                <w:color w:val="auto"/>
              </w:rPr>
            </w:pPr>
          </w:p>
        </w:tc>
        <w:tc>
          <w:tcPr>
            <w:tcW w:w="5700" w:type="dxa"/>
            <w:vAlign w:val="bottom"/>
            <w:gridSpan w:val="8"/>
          </w:tcPr>
          <w:p>
            <w:pPr>
              <w:spacing w:after="0"/>
              <w:rPr>
                <w:sz w:val="18"/>
                <w:szCs w:val="18"/>
                <w:color w:val="auto"/>
              </w:rPr>
            </w:pPr>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Principal Executive Officer Certification pursuant to Rule 13a-14(a) or 15d-14(a) of the Securities Exchange Act of 1934.</w:t>
            </w:r>
          </w:p>
        </w:tc>
        <w:tc>
          <w:tcPr>
            <w:tcW w:w="1360" w:type="dxa"/>
            <w:vAlign w:val="bottom"/>
            <w:gridSpan w:val="5"/>
          </w:tcPr>
          <w:p>
            <w:pPr>
              <w:spacing w:after="0"/>
              <w:rPr>
                <w:sz w:val="17"/>
                <w:szCs w:val="17"/>
                <w:color w:val="auto"/>
              </w:rPr>
            </w:pPr>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Principal Financial Officer Certification pursuant to Rule 13a-14(a) or 15d-14(a) of the Securities Exchange Act of 1934.</w:t>
            </w:r>
          </w:p>
        </w:tc>
        <w:tc>
          <w:tcPr>
            <w:tcW w:w="1400" w:type="dxa"/>
            <w:vAlign w:val="bottom"/>
            <w:gridSpan w:val="6"/>
          </w:tcPr>
          <w:p>
            <w:pPr>
              <w:spacing w:after="0"/>
              <w:rPr>
                <w:sz w:val="17"/>
                <w:szCs w:val="17"/>
                <w:color w:val="auto"/>
              </w:rPr>
            </w:pPr>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Principal Executive Officer Certification pursuant to 18 U.S.C. Section 1350, as adopted pursuant to Section 906 of the Sarbanes-Oxley Act</w:t>
            </w:r>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w w:val="98"/>
              </w:rPr>
              <w:t>of 2002.</w:t>
            </w:r>
          </w:p>
        </w:tc>
        <w:tc>
          <w:tcPr>
            <w:tcW w:w="9060" w:type="dxa"/>
            <w:vAlign w:val="bottom"/>
            <w:tcBorders>
              <w:top w:val="single" w:sz="8" w:color="0000FF"/>
            </w:tcBorders>
            <w:gridSpan w:val="9"/>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Principal Financial Officer Certification pursuant to 18 U.S.C. Section 1350, as adopted pursuant to Section 906 of the Sarbanes-Oxley Act</w:t>
            </w:r>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w w:val="98"/>
              </w:rPr>
              <w:t>of 2022.</w:t>
            </w:r>
          </w:p>
        </w:tc>
        <w:tc>
          <w:tcPr>
            <w:tcW w:w="9000" w:type="dxa"/>
            <w:vAlign w:val="bottom"/>
            <w:tcBorders>
              <w:top w:val="single" w:sz="8" w:color="0000FF"/>
            </w:tcBorders>
            <w:gridSpan w:val="8"/>
          </w:tcPr>
          <w:p>
            <w:pPr>
              <w:spacing w:after="0"/>
              <w:rPr>
                <w:sz w:val="12"/>
                <w:szCs w:val="12"/>
                <w:color w:val="auto"/>
              </w:rPr>
            </w:pPr>
          </w:p>
        </w:tc>
        <w:tc>
          <w:tcPr>
            <w:tcW w:w="160" w:type="dxa"/>
            <w:vAlign w:val="bottom"/>
            <w:gridSpan w:val="2"/>
          </w:tcPr>
          <w:p>
            <w:pPr>
              <w:spacing w:after="0"/>
              <w:rPr>
                <w:sz w:val="12"/>
                <w:szCs w:val="12"/>
                <w:color w:val="auto"/>
              </w:rPr>
            </w:pPr>
          </w:p>
        </w:tc>
      </w:tr>
    </w:tbl>
    <w:p>
      <w:pPr>
        <w:spacing w:after="0" w:line="35" w:lineRule="exact"/>
        <w:rPr>
          <w:sz w:val="20"/>
          <w:szCs w:val="20"/>
          <w:color w:val="auto"/>
        </w:rPr>
      </w:pPr>
    </w:p>
    <w:p>
      <w:pPr>
        <w:ind w:left="1400" w:right="140" w:hanging="939"/>
        <w:spacing w:after="0" w:line="226" w:lineRule="auto"/>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Gaming and Leisure Properties, Inc.'s Quarterly Report on Form 10-Q for the quarter ended March 31, 2025, formatted in Inline XBRL: (i) Condensed Consolidated Balance Sheets, ii) Condensed Consolidated Statements of Income, (iii) Condensed Consolidated Statements of Changes in Equity, (iv) Condensed Consolidated Statements of Cash Flows and (v) Notes to the Condensed Consolidated Financial Statements.</w:t>
      </w:r>
    </w:p>
    <w:tbl>
      <w:tblPr>
        <w:tblLayout w:type="fixed"/>
        <w:tblInd w:w="40" w:type="dxa"/>
        <w:tblCellMar>
          <w:top w:w="0" w:type="dxa"/>
          <w:left w:w="0" w:type="dxa"/>
          <w:bottom w:w="0" w:type="dxa"/>
          <w:right w:w="0" w:type="dxa"/>
        </w:tblCellMar>
      </w:tblPr>
      <w:tr>
        <w:trPr>
          <w:trHeight w:val="170"/>
        </w:trPr>
        <w:tc>
          <w:tcPr>
            <w:tcW w:w="1020" w:type="dxa"/>
            <w:vAlign w:val="bottom"/>
          </w:tcPr>
          <w:p>
            <w:pPr>
              <w:jc w:val="right"/>
              <w:ind w:right="254"/>
              <w:spacing w:after="0" w:line="170" w:lineRule="exact"/>
              <w:rPr>
                <w:sz w:val="20"/>
                <w:szCs w:val="20"/>
                <w:color w:val="auto"/>
              </w:rPr>
            </w:pPr>
            <w:r>
              <w:rPr>
                <w:rFonts w:ascii="Times New Roman" w:cs="Times New Roman" w:eastAsia="Times New Roman" w:hAnsi="Times New Roman"/>
                <w:sz w:val="17"/>
                <w:szCs w:val="17"/>
                <w:color w:val="auto"/>
              </w:rPr>
              <w:t>104</w:t>
            </w:r>
          </w:p>
        </w:tc>
        <w:tc>
          <w:tcPr>
            <w:tcW w:w="9960" w:type="dxa"/>
            <w:vAlign w:val="bottom"/>
            <w:gridSpan w:val="2"/>
          </w:tcPr>
          <w:p>
            <w:pPr>
              <w:ind w:left="340"/>
              <w:spacing w:after="0" w:line="170" w:lineRule="exact"/>
              <w:rPr>
                <w:sz w:val="20"/>
                <w:szCs w:val="20"/>
                <w:color w:val="auto"/>
              </w:rPr>
            </w:pPr>
            <w:r>
              <w:rPr>
                <w:rFonts w:ascii="Times New Roman" w:cs="Times New Roman" w:eastAsia="Times New Roman" w:hAnsi="Times New Roman"/>
                <w:sz w:val="17"/>
                <w:szCs w:val="17"/>
                <w:color w:val="auto"/>
              </w:rPr>
              <w:t>The cover page from the Company's Quarterly Report on Form 10-Q for the quarter ended March 31, 2025, formatted in Inline XBRL and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99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contained in Exhibit 101.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13"/>
        </w:trPr>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28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2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8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40" w:hanging="237"/>
        <w:spacing w:after="0"/>
        <w:tabs>
          <w:tab w:leader="none" w:pos="2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Filed herewith</w:t>
      </w:r>
    </w:p>
    <w:p>
      <w:pPr>
        <w:spacing w:after="0" w:line="2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54" w:right="399" w:bottom="1440" w:gutter="0" w:footer="0" w:header="0"/>
        </w:sectPr>
      </w:pPr>
    </w:p>
    <w:bookmarkStart w:id="54" w:name="page55"/>
    <w:bookmarkEnd w:id="54"/>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140" w:type="dxa"/>
            <w:vAlign w:val="bottom"/>
          </w:tcPr>
          <w:p>
            <w:pPr>
              <w:spacing w:after="0"/>
              <w:rPr>
                <w:sz w:val="19"/>
                <w:szCs w:val="19"/>
                <w:color w:val="auto"/>
              </w:rPr>
            </w:pPr>
          </w:p>
        </w:tc>
        <w:tc>
          <w:tcPr>
            <w:tcW w:w="5460" w:type="dxa"/>
            <w:vAlign w:val="bottom"/>
            <w:gridSpan w:val="3"/>
          </w:tcPr>
          <w:p>
            <w:pPr>
              <w:ind w:left="2120"/>
              <w:spacing w:after="0"/>
              <w:rPr>
                <w:sz w:val="20"/>
                <w:szCs w:val="20"/>
                <w:color w:val="auto"/>
              </w:rPr>
            </w:pPr>
            <w:r>
              <w:rPr>
                <w:rFonts w:ascii="Times New Roman" w:cs="Times New Roman" w:eastAsia="Times New Roman" w:hAnsi="Times New Roman"/>
                <w:sz w:val="17"/>
                <w:szCs w:val="17"/>
                <w:color w:val="auto"/>
              </w:rPr>
              <w:t>GAMING AND LEISURE PROPERTIES, INC.</w:t>
            </w:r>
          </w:p>
        </w:tc>
      </w:tr>
      <w:tr>
        <w:trPr>
          <w:trHeight w:val="399"/>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April 24, 2025</w:t>
            </w:r>
          </w:p>
        </w:tc>
        <w:tc>
          <w:tcPr>
            <w:tcW w:w="280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By:</w:t>
            </w: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 DESIREE A. BURKE</w:t>
            </w:r>
          </w:p>
        </w:tc>
        <w:tc>
          <w:tcPr>
            <w:tcW w:w="92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Desiree A. Burke</w:t>
            </w:r>
          </w:p>
        </w:tc>
      </w:tr>
      <w:tr>
        <w:trPr>
          <w:trHeight w:val="219"/>
        </w:trPr>
        <w:tc>
          <w:tcPr>
            <w:tcW w:w="31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Chief Financial Officer and Treasurer</w:t>
            </w:r>
          </w:p>
        </w:tc>
      </w:tr>
      <w:tr>
        <w:trPr>
          <w:trHeight w:val="227"/>
        </w:trPr>
        <w:tc>
          <w:tcPr>
            <w:tcW w:w="31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0440"/>
          </w:cols>
          <w:pgMar w:left="320" w:top="854" w:right="11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1"/>
          <w:szCs w:val="21"/>
          <w:b w:val="1"/>
          <w:bCs w:val="1"/>
          <w:color w:val="auto"/>
        </w:rPr>
        <w:t>Exhibit 22.1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List of Subsidiary Issuers of Guaranteed Securities</w:t>
      </w:r>
    </w:p>
    <w:p>
      <w:pPr>
        <w:spacing w:after="0" w:line="1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1"/>
          <w:szCs w:val="21"/>
          <w:color w:val="auto"/>
        </w:rPr>
        <w:t>The following subsidiaries of Gaming and Leisure Properties, Inc. (the “Company”) were, as of March 31, 2025, issuers of the (i) $975 million 5.375% senior unsecured notes due April 2026, (ii) $500 million 5.75% senior unsecured notes due June 2028, (iii) $750 million 5.30% senior unsecured notes due January 2029, (iv) $700 million 4.00% senior unsecured notes due January 2030, (v) $700 million 4.000% senior unsecured notes due January 2031, (vi) $800 million 3.25% senior unsecured notes due January 2032, (vii) $400 million 6.75% senior unsecured notes due December 2033, (viii) $800 million 5.625% senior unsecured notes due September 2034, and (ix) $400 million 6.25% senior unsecured notes due September 2054 each guaranteed by the Company:</w:t>
      </w:r>
    </w:p>
    <w:tbl>
      <w:tblPr>
        <w:tblLayout w:type="fixed"/>
        <w:tblInd w:w="10" w:type="dxa"/>
        <w:tblCellMar>
          <w:top w:w="0" w:type="dxa"/>
          <w:left w:w="0" w:type="dxa"/>
          <w:bottom w:w="0" w:type="dxa"/>
          <w:right w:w="0" w:type="dxa"/>
        </w:tblCellMar>
      </w:tblPr>
      <w:tr>
        <w:trPr>
          <w:trHeight w:val="260"/>
        </w:trPr>
        <w:tc>
          <w:tcPr>
            <w:tcW w:w="5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Entity</w:t>
            </w:r>
          </w:p>
        </w:tc>
        <w:tc>
          <w:tcPr>
            <w:tcW w:w="55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b w:val="1"/>
                <w:bCs w:val="1"/>
                <w:color w:val="auto"/>
              </w:rPr>
              <w:t>Jurisdiction of Incorporation or Formation</w:t>
            </w:r>
          </w:p>
        </w:tc>
      </w:tr>
      <w:tr>
        <w:trPr>
          <w:trHeight w:val="251"/>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GLP Capital, L.P.</w:t>
            </w: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Pennsylvania</w:t>
            </w:r>
          </w:p>
        </w:tc>
      </w:tr>
      <w:tr>
        <w:trPr>
          <w:trHeight w:val="251"/>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GLP Financing II, Inc.</w:t>
            </w: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Delaware</w:t>
            </w:r>
          </w:p>
        </w:tc>
      </w:tr>
    </w:tbl>
    <w:p>
      <w:pPr>
        <w:sectPr>
          <w:pgSz w:w="11900" w:h="16838" w:orient="portrait"/>
          <w:cols w:equalWidth="0" w:num="1">
            <w:col w:w="11240"/>
          </w:cols>
          <w:pgMar w:left="320" w:top="136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 THE SECURITIES EXCHANGE ACT OF 1934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Peter M. Carlino, certify that:</w:t>
      </w:r>
    </w:p>
    <w:p>
      <w:pPr>
        <w:spacing w:after="0" w:line="217" w:lineRule="exact"/>
        <w:rPr>
          <w:sz w:val="20"/>
          <w:szCs w:val="20"/>
          <w:color w:val="auto"/>
        </w:rPr>
      </w:pPr>
    </w:p>
    <w:p>
      <w:pPr>
        <w:ind w:left="660" w:hanging="657"/>
        <w:spacing w:after="0"/>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Gaming and Leisure Properties, Inc.;</w:t>
      </w:r>
    </w:p>
    <w:p>
      <w:pPr>
        <w:spacing w:after="0" w:line="217" w:lineRule="exact"/>
        <w:rPr>
          <w:rFonts w:ascii="Times New Roman" w:cs="Times New Roman" w:eastAsia="Times New Roman" w:hAnsi="Times New Roman"/>
          <w:sz w:val="17"/>
          <w:szCs w:val="17"/>
          <w:color w:val="auto"/>
        </w:rPr>
      </w:pPr>
    </w:p>
    <w:p>
      <w:pPr>
        <w:ind w:right="600" w:firstLine="3"/>
        <w:spacing w:after="0" w:line="287" w:lineRule="auto"/>
        <w:tabs>
          <w:tab w:leader="none" w:pos="64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560" w:firstLine="3"/>
        <w:spacing w:after="0" w:line="287" w:lineRule="auto"/>
        <w:tabs>
          <w:tab w:leader="none" w:pos="64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right="280" w:firstLine="3"/>
        <w:spacing w:after="0" w:line="287" w:lineRule="auto"/>
        <w:tabs>
          <w:tab w:leader="none" w:pos="64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7"/>
          <w:szCs w:val="17"/>
          <w:color w:val="auto"/>
        </w:rPr>
      </w:pPr>
    </w:p>
    <w:p>
      <w:pPr>
        <w:ind w:right="160" w:firstLine="622"/>
        <w:spacing w:after="0" w:line="270" w:lineRule="auto"/>
        <w:tabs>
          <w:tab w:leader="none" w:pos="1265"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firstLine="622"/>
        <w:spacing w:after="0" w:line="270" w:lineRule="auto"/>
        <w:tabs>
          <w:tab w:leader="none" w:pos="991"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right="720" w:firstLine="622"/>
        <w:spacing w:after="0" w:line="287" w:lineRule="auto"/>
        <w:tabs>
          <w:tab w:leader="none" w:pos="1252"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right="240" w:firstLine="622"/>
        <w:spacing w:after="0" w:line="270" w:lineRule="auto"/>
        <w:tabs>
          <w:tab w:leader="none" w:pos="1253"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right="220" w:firstLine="3"/>
        <w:spacing w:after="0" w:line="287" w:lineRule="auto"/>
        <w:tabs>
          <w:tab w:leader="none" w:pos="64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right="120" w:firstLine="622"/>
        <w:spacing w:after="0" w:line="287" w:lineRule="auto"/>
        <w:tabs>
          <w:tab w:leader="none" w:pos="1265"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right="80" w:firstLine="622"/>
        <w:spacing w:after="0" w:line="287" w:lineRule="auto"/>
        <w:tabs>
          <w:tab w:leader="none" w:pos="1274"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6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April 24, 2025</w:t>
            </w: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 Peter M. Carlino</w:t>
            </w:r>
          </w:p>
        </w:tc>
        <w:tc>
          <w:tcPr>
            <w:tcW w:w="2300" w:type="dxa"/>
            <w:vAlign w:val="bottom"/>
          </w:tcPr>
          <w:p>
            <w:pPr>
              <w:spacing w:after="0"/>
              <w:rPr>
                <w:sz w:val="16"/>
                <w:szCs w:val="16"/>
                <w:color w:val="auto"/>
              </w:rPr>
            </w:pPr>
          </w:p>
        </w:tc>
      </w:tr>
      <w:tr>
        <w:trPr>
          <w:trHeight w:val="230"/>
        </w:trPr>
        <w:tc>
          <w:tcPr>
            <w:tcW w:w="5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Peter M. Carlino</w:t>
            </w:r>
          </w:p>
        </w:tc>
      </w:tr>
      <w:tr>
        <w:trPr>
          <w:trHeight w:val="227"/>
        </w:trPr>
        <w:tc>
          <w:tcPr>
            <w:tcW w:w="5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tc>
      </w:tr>
    </w:tbl>
    <w:p>
      <w:pPr>
        <w:sectPr>
          <w:pgSz w:w="11900" w:h="16838" w:orient="portrait"/>
          <w:cols w:equalWidth="0" w:num="1">
            <w:col w:w="11240"/>
          </w:cols>
          <w:pgMar w:left="320" w:top="85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 THE SECURITIES EXCHANGE ACT OF 1934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Desiree A. Burke, certify that:</w:t>
      </w:r>
    </w:p>
    <w:p>
      <w:pPr>
        <w:spacing w:after="0" w:line="217" w:lineRule="exact"/>
        <w:rPr>
          <w:sz w:val="20"/>
          <w:szCs w:val="20"/>
          <w:color w:val="auto"/>
        </w:rPr>
      </w:pPr>
    </w:p>
    <w:p>
      <w:pPr>
        <w:ind w:left="660" w:hanging="657"/>
        <w:spacing w:after="0"/>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Gaming and Leisure Properties, Inc.;</w:t>
      </w:r>
    </w:p>
    <w:p>
      <w:pPr>
        <w:spacing w:after="0" w:line="217" w:lineRule="exact"/>
        <w:rPr>
          <w:rFonts w:ascii="Times New Roman" w:cs="Times New Roman" w:eastAsia="Times New Roman" w:hAnsi="Times New Roman"/>
          <w:sz w:val="17"/>
          <w:szCs w:val="17"/>
          <w:color w:val="auto"/>
        </w:rPr>
      </w:pPr>
    </w:p>
    <w:p>
      <w:pPr>
        <w:ind w:right="600" w:firstLine="3"/>
        <w:spacing w:after="0" w:line="287" w:lineRule="auto"/>
        <w:tabs>
          <w:tab w:leader="none" w:pos="64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560" w:firstLine="3"/>
        <w:spacing w:after="0" w:line="287" w:lineRule="auto"/>
        <w:tabs>
          <w:tab w:leader="none" w:pos="64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right="280" w:firstLine="3"/>
        <w:spacing w:after="0" w:line="287" w:lineRule="auto"/>
        <w:tabs>
          <w:tab w:leader="none" w:pos="64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7"/>
          <w:szCs w:val="17"/>
          <w:color w:val="auto"/>
        </w:rPr>
      </w:pPr>
    </w:p>
    <w:p>
      <w:pPr>
        <w:ind w:right="160" w:firstLine="622"/>
        <w:spacing w:after="0" w:line="270" w:lineRule="auto"/>
        <w:tabs>
          <w:tab w:leader="none" w:pos="126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firstLine="622"/>
        <w:spacing w:after="0" w:line="270" w:lineRule="auto"/>
        <w:tabs>
          <w:tab w:leader="none" w:pos="99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right="720" w:firstLine="622"/>
        <w:spacing w:after="0" w:line="287" w:lineRule="auto"/>
        <w:tabs>
          <w:tab w:leader="none" w:pos="1252"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right="240" w:firstLine="622"/>
        <w:spacing w:after="0" w:line="270" w:lineRule="auto"/>
        <w:tabs>
          <w:tab w:leader="none" w:pos="1253"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right="220" w:firstLine="3"/>
        <w:spacing w:after="0" w:line="287" w:lineRule="auto"/>
        <w:tabs>
          <w:tab w:leader="none" w:pos="64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right="120" w:firstLine="622"/>
        <w:spacing w:after="0" w:line="287" w:lineRule="auto"/>
        <w:tabs>
          <w:tab w:leader="none" w:pos="126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right="80" w:firstLine="622"/>
        <w:spacing w:after="0" w:line="287" w:lineRule="auto"/>
        <w:tabs>
          <w:tab w:leader="none" w:pos="1274"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6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April 24, 2025</w:t>
            </w: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Desiree A. Burke</w:t>
            </w:r>
          </w:p>
        </w:tc>
      </w:tr>
      <w:tr>
        <w:trPr>
          <w:trHeight w:val="20"/>
        </w:trPr>
        <w:tc>
          <w:tcPr>
            <w:tcW w:w="5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30"/>
        </w:trPr>
        <w:tc>
          <w:tcPr>
            <w:tcW w:w="5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Desiree A. Burke</w:t>
            </w:r>
          </w:p>
        </w:tc>
      </w:tr>
      <w:tr>
        <w:trPr>
          <w:trHeight w:val="175"/>
        </w:trPr>
        <w:tc>
          <w:tcPr>
            <w:tcW w:w="5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4080" w:type="dxa"/>
            <w:vAlign w:val="bottom"/>
            <w:gridSpan w:val="2"/>
          </w:tcPr>
          <w:p>
            <w:pPr>
              <w:spacing w:after="0" w:line="175" w:lineRule="exact"/>
              <w:rPr>
                <w:sz w:val="20"/>
                <w:szCs w:val="20"/>
                <w:color w:val="auto"/>
              </w:rPr>
            </w:pPr>
            <w:r>
              <w:rPr>
                <w:rFonts w:ascii="Times New Roman" w:cs="Times New Roman" w:eastAsia="Times New Roman" w:hAnsi="Times New Roman"/>
                <w:sz w:val="17"/>
                <w:szCs w:val="17"/>
                <w:i w:val="1"/>
                <w:iCs w:val="1"/>
                <w:color w:val="auto"/>
                <w:w w:val="99"/>
              </w:rPr>
              <w:t>Chief Financial Officer and Treasurer (Principal Financial</w:t>
            </w:r>
          </w:p>
        </w:tc>
      </w:tr>
      <w:tr>
        <w:trPr>
          <w:trHeight w:val="227"/>
        </w:trPr>
        <w:tc>
          <w:tcPr>
            <w:tcW w:w="5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Officer)</w:t>
            </w:r>
          </w:p>
        </w:tc>
      </w:tr>
    </w:tbl>
    <w:p>
      <w:pPr>
        <w:sectPr>
          <w:pgSz w:w="11900" w:h="16838" w:orient="portrait"/>
          <w:cols w:equalWidth="0" w:num="1">
            <w:col w:w="11240"/>
          </w:cols>
          <w:pgMar w:left="320" w:top="85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200"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Gaming and Leisure Properties, Inc. (the “Company”) on Form 10-Q for the quarter ended March 31, 2025, as filed with the Securities and Exchange Commission on the date hereof (the “Report”), I, Peter M. Carlino, Chief Executive Officer and Principal Executive Officer of the Company, certify, pursuant to Section 906 of the Sarbanes-Oxley Act of 2002, 18 U.S.C. Section 1350, that, to my knowledge:</w:t>
      </w:r>
    </w:p>
    <w:p>
      <w:pPr>
        <w:spacing w:after="0" w:line="165" w:lineRule="exact"/>
        <w:rPr>
          <w:sz w:val="20"/>
          <w:szCs w:val="20"/>
          <w:color w:val="auto"/>
        </w:rPr>
      </w:pPr>
    </w:p>
    <w:p>
      <w:pPr>
        <w:ind w:left="1280" w:hanging="658"/>
        <w:spacing w:after="0"/>
        <w:tabs>
          <w:tab w:leader="none" w:pos="12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7" w:lineRule="exact"/>
        <w:rPr>
          <w:rFonts w:ascii="Times New Roman" w:cs="Times New Roman" w:eastAsia="Times New Roman" w:hAnsi="Times New Roman"/>
          <w:sz w:val="17"/>
          <w:szCs w:val="17"/>
          <w:color w:val="auto"/>
        </w:rPr>
      </w:pPr>
    </w:p>
    <w:p>
      <w:pPr>
        <w:ind w:left="1280" w:hanging="658"/>
        <w:spacing w:after="0"/>
        <w:tabs>
          <w:tab w:leader="none" w:pos="12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u w:val="single" w:color="auto"/>
          <w:color w:val="auto"/>
        </w:rPr>
        <w:t>/s/ Peter M. Carlino</w:t>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Peter M. Carlino</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Chief Executive Officer and Principal Executive Officer</w:t>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Date: April 24, 2025</w:t>
      </w:r>
    </w:p>
    <w:p>
      <w:pPr>
        <w:sectPr>
          <w:pgSz w:w="11900" w:h="16838" w:orient="portrait"/>
          <w:cols w:equalWidth="0" w:num="1">
            <w:col w:w="11240"/>
          </w:cols>
          <w:pgMar w:left="320" w:top="85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200" w:lineRule="exact"/>
        <w:rPr>
          <w:sz w:val="20"/>
          <w:szCs w:val="20"/>
          <w:color w:val="auto"/>
        </w:rPr>
      </w:pPr>
    </w:p>
    <w:p>
      <w:pPr>
        <w:jc w:val="both"/>
        <w:ind w:right="8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Gaming and Leisure Properties, Inc. (the “Company”) on Form 10-Q for the quarter ended March 31, 2025, as filed with the Securities and Exchange Commission on the date hereof (the “Report”), I, Desiree A. Burke, Chief Financial Officer and Principal Financial Officer of the Company, certify, pursuant to Section 906 of the Sarbanes-Oxley Act of 2002, 18 U.S.C. Section 1350, that, to my knowledge:</w:t>
      </w:r>
    </w:p>
    <w:p>
      <w:pPr>
        <w:spacing w:after="0" w:line="165" w:lineRule="exact"/>
        <w:rPr>
          <w:sz w:val="20"/>
          <w:szCs w:val="20"/>
          <w:color w:val="auto"/>
        </w:rPr>
      </w:pPr>
    </w:p>
    <w:p>
      <w:pPr>
        <w:ind w:left="1280" w:hanging="658"/>
        <w:spacing w:after="0"/>
        <w:tabs>
          <w:tab w:leader="none" w:pos="12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7" w:lineRule="exact"/>
        <w:rPr>
          <w:rFonts w:ascii="Times New Roman" w:cs="Times New Roman" w:eastAsia="Times New Roman" w:hAnsi="Times New Roman"/>
          <w:sz w:val="17"/>
          <w:szCs w:val="17"/>
          <w:color w:val="auto"/>
        </w:rPr>
      </w:pPr>
    </w:p>
    <w:p>
      <w:pPr>
        <w:ind w:left="1280" w:hanging="658"/>
        <w:spacing w:after="0"/>
        <w:tabs>
          <w:tab w:leader="none" w:pos="12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u w:val="single" w:color="auto"/>
          <w:color w:val="auto"/>
        </w:rPr>
        <w:t>/s/ Desiree A. Burke</w:t>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Desiree A. Burke</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Chief Financial Officer and Principal Financial Officer</w:t>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Date: April 24, 2025</w:t>
      </w: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6"/>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9"/>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0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1" Type="http://schemas.openxmlformats.org/officeDocument/2006/relationships/hyperlink" Target="https://www.sec.gov/Archives/edgar/data/1575965/000157596518000016/glpiexhibit31amendedandres.htm" TargetMode="External"/><Relationship Id="rId82" Type="http://schemas.openxmlformats.org/officeDocument/2006/relationships/hyperlink" Target="https://www.sec.gov/Archives/edgar/data/1575965/000157596523000042/second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2025-04-24T15:40:46Z</dcterms:created>
  <dcterms:modified xsi:type="dcterms:W3CDTF">2025-04-24T15:40:46Z</dcterms:modified>
</cp:coreProperties>
</file>