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14"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38" w:right="339" w:bottom="1440" w:gutter="0" w:footer="0" w:header="0"/>
        </w:sectPr>
      </w:pPr>
    </w:p>
    <w:p>
      <w:pPr>
        <w:spacing w:after="0" w:line="30"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7"/>
          <w:szCs w:val="17"/>
          <w:color w:val="auto"/>
        </w:rPr>
        <w:t>(State or other jurisdiction of</w:t>
      </w:r>
    </w:p>
    <w:p>
      <w:pPr>
        <w:spacing w:after="0" w:line="34"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46-2116489</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2200"/>
        <w:spacing w:after="0"/>
        <w:rPr>
          <w:sz w:val="20"/>
          <w:szCs w:val="20"/>
          <w:color w:val="auto"/>
        </w:rPr>
      </w:pPr>
      <w:r>
        <w:rPr>
          <w:rFonts w:ascii="Arial" w:cs="Arial" w:eastAsia="Arial" w:hAnsi="Arial"/>
          <w:sz w:val="17"/>
          <w:szCs w:val="17"/>
          <w:color w:val="auto"/>
        </w:rPr>
        <w:t>Identification No.)</w:t>
      </w:r>
    </w:p>
    <w:p>
      <w:pPr>
        <w:spacing w:after="0" w:line="134" w:lineRule="exact"/>
        <w:rPr>
          <w:sz w:val="24"/>
          <w:szCs w:val="24"/>
          <w:color w:val="auto"/>
        </w:rPr>
      </w:pPr>
    </w:p>
    <w:p>
      <w:pPr>
        <w:sectPr>
          <w:pgSz w:w="11900" w:h="16838" w:orient="portrait"/>
          <w:cols w:equalWidth="0" w:num="2">
            <w:col w:w="6980" w:space="720"/>
            <w:col w:w="3540"/>
          </w:cols>
          <w:pgMar w:left="320" w:top="238" w:right="339" w:bottom="1440"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845 Berkshire Blvd., Suite 200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(Address of principal executive offices) (Zip Code)</w:t>
      </w:r>
    </w:p>
    <w:p>
      <w:pPr>
        <w:sectPr>
          <w:pgSz w:w="11900" w:h="16838" w:orient="portrait"/>
          <w:cols w:equalWidth="0" w:num="1">
            <w:col w:w="11240"/>
          </w:cols>
          <w:pgMar w:left="320" w:top="238" w:right="339" w:bottom="1440" w:gutter="0" w:footer="0" w:header="0"/>
          <w:type w:val="continuous"/>
        </w:sect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610-401-2900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32" w:lineRule="exact"/>
        <w:rPr>
          <w:sz w:val="24"/>
          <w:szCs w:val="24"/>
          <w:color w:val="auto"/>
        </w:rPr>
      </w:pPr>
    </w:p>
    <w:tbl>
      <w:tblPr>
        <w:tblLayout w:type="fixed"/>
        <w:tblInd w:w="350" w:type="dxa"/>
        <w:tblCellMar>
          <w:top w:w="0" w:type="dxa"/>
          <w:left w:w="0" w:type="dxa"/>
          <w:bottom w:w="0" w:type="dxa"/>
          <w:right w:w="0" w:type="dxa"/>
        </w:tblCellMar>
      </w:tblPr>
      <w:tr>
        <w:trPr>
          <w:trHeight w:val="201"/>
        </w:trPr>
        <w:tc>
          <w:tcPr>
            <w:tcW w:w="3560" w:type="dxa"/>
            <w:vAlign w:val="bottom"/>
            <w:tcBorders>
              <w:top w:val="single" w:sz="8" w:color="auto"/>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right w:val="single" w:sz="8" w:color="auto"/>
            </w:tcBorders>
          </w:tcPr>
          <w:p>
            <w:pPr>
              <w:spacing w:after="0"/>
              <w:rPr>
                <w:sz w:val="17"/>
                <w:szCs w:val="17"/>
                <w:color w:val="auto"/>
              </w:rPr>
            </w:pP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00" w:type="dxa"/>
            <w:vAlign w:val="bottom"/>
            <w:tcBorders>
              <w:right w:val="single" w:sz="8" w:color="auto"/>
            </w:tcBorders>
          </w:tcPr>
          <w:p>
            <w:pPr>
              <w:spacing w:after="0"/>
              <w:rPr>
                <w:sz w:val="17"/>
                <w:szCs w:val="17"/>
                <w:color w:val="auto"/>
              </w:rPr>
            </w:pP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1"/>
        </w:trPr>
        <w:tc>
          <w:tcPr>
            <w:tcW w:w="3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par value $.01 per share</w:t>
            </w:r>
          </w:p>
        </w:tc>
        <w:tc>
          <w:tcPr>
            <w:tcW w:w="400" w:type="dxa"/>
            <w:vAlign w:val="bottom"/>
            <w:tcBorders>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GLPI</w:t>
            </w:r>
          </w:p>
        </w:tc>
        <w:tc>
          <w:tcPr>
            <w:tcW w:w="400" w:type="dxa"/>
            <w:vAlign w:val="bottom"/>
            <w:tcBorders>
              <w:right w:val="single" w:sz="8" w:color="auto"/>
            </w:tcBorders>
          </w:tcPr>
          <w:p>
            <w:pPr>
              <w:spacing w:after="0"/>
              <w:rPr>
                <w:sz w:val="15"/>
                <w:szCs w:val="15"/>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Nasdaq</w:t>
            </w:r>
          </w:p>
        </w:tc>
      </w:tr>
    </w:tbl>
    <w:p>
      <w:pPr>
        <w:spacing w:after="0" w:line="90" w:lineRule="exact"/>
        <w:rPr>
          <w:sz w:val="24"/>
          <w:szCs w:val="24"/>
          <w:color w:val="auto"/>
        </w:rPr>
      </w:pPr>
    </w:p>
    <w:p>
      <w:pPr>
        <w:jc w:val="both"/>
        <w:ind w:right="40" w:firstLine="324"/>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540" w:firstLine="367"/>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340" w:firstLine="367"/>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20" w:type="dxa"/>
        <w:tblCellMar>
          <w:top w:w="0" w:type="dxa"/>
          <w:left w:w="0" w:type="dxa"/>
          <w:bottom w:w="0" w:type="dxa"/>
          <w:right w:w="0" w:type="dxa"/>
        </w:tblCellMar>
      </w:tblPr>
      <w:tr>
        <w:trPr>
          <w:trHeight w:val="230"/>
        </w:trPr>
        <w:tc>
          <w:tcPr>
            <w:tcW w:w="2120" w:type="dxa"/>
            <w:vAlign w:val="bottom"/>
          </w:tcPr>
          <w:p>
            <w:pPr>
              <w:jc w:val="center"/>
              <w:ind w:right="430"/>
              <w:spacing w:after="0"/>
              <w:rPr>
                <w:sz w:val="20"/>
                <w:szCs w:val="20"/>
                <w:color w:val="auto"/>
              </w:rPr>
            </w:pPr>
            <w:r>
              <w:rPr>
                <w:rFonts w:ascii="Arial" w:cs="Arial" w:eastAsia="Arial" w:hAnsi="Arial"/>
                <w:sz w:val="18"/>
                <w:szCs w:val="18"/>
                <w:color w:val="auto"/>
                <w:w w:val="89"/>
              </w:rPr>
              <w:t>Large accelerated filer</w:t>
            </w:r>
          </w:p>
        </w:tc>
        <w:tc>
          <w:tcPr>
            <w:tcW w:w="1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jc w:val="center"/>
              <w:ind w:right="10"/>
              <w:spacing w:after="0"/>
              <w:rPr>
                <w:sz w:val="20"/>
                <w:szCs w:val="20"/>
                <w:color w:val="auto"/>
              </w:rPr>
            </w:pPr>
            <w:r>
              <w:rPr>
                <w:rFonts w:ascii="Arial" w:cs="Arial" w:eastAsia="Arial" w:hAnsi="Arial"/>
                <w:sz w:val="18"/>
                <w:szCs w:val="18"/>
                <w:color w:val="auto"/>
                <w:w w:val="92"/>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20" w:type="dxa"/>
            <w:vAlign w:val="bottom"/>
          </w:tcPr>
          <w:p>
            <w:pPr>
              <w:jc w:val="center"/>
              <w:ind w:right="390"/>
              <w:spacing w:after="0"/>
              <w:rPr>
                <w:sz w:val="20"/>
                <w:szCs w:val="20"/>
                <w:color w:val="auto"/>
              </w:rPr>
            </w:pPr>
            <w:r>
              <w:rPr>
                <w:rFonts w:ascii="Arial" w:cs="Arial" w:eastAsia="Arial" w:hAnsi="Arial"/>
                <w:sz w:val="18"/>
                <w:szCs w:val="18"/>
                <w:color w:val="auto"/>
                <w:w w:val="91"/>
              </w:rPr>
              <w:t>Non-accelerated filer</w:t>
            </w:r>
          </w:p>
        </w:tc>
        <w:tc>
          <w:tcPr>
            <w:tcW w:w="1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220" w:firstLine="324"/>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jc w:val="both"/>
        <w:ind w:left="340" w:right="208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Title</w:t>
            </w:r>
          </w:p>
        </w:tc>
        <w:tc>
          <w:tcPr>
            <w:tcW w:w="5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7"/>
              </w:rPr>
              <w:t>April 26, 2021</w:t>
            </w:r>
          </w:p>
        </w:tc>
      </w:tr>
      <w:tr>
        <w:trPr>
          <w:trHeight w:val="182"/>
        </w:trPr>
        <w:tc>
          <w:tcPr>
            <w:tcW w:w="5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$.01 per share</w:t>
            </w:r>
          </w:p>
        </w:tc>
        <w:tc>
          <w:tcPr>
            <w:tcW w:w="400" w:type="dxa"/>
            <w:vAlign w:val="bottom"/>
          </w:tcPr>
          <w:p>
            <w:pPr>
              <w:spacing w:after="0"/>
              <w:rPr>
                <w:sz w:val="15"/>
                <w:szCs w:val="15"/>
                <w:color w:val="auto"/>
              </w:rPr>
            </w:pPr>
          </w:p>
        </w:tc>
        <w:tc>
          <w:tcPr>
            <w:tcW w:w="5120" w:type="dxa"/>
            <w:vAlign w:val="bottom"/>
            <w:tcBorders>
              <w:top w:val="single" w:sz="8" w:color="auto"/>
            </w:tcBorders>
          </w:tcPr>
          <w:p>
            <w:pPr>
              <w:jc w:val="right"/>
              <w:ind w:right="2128"/>
              <w:spacing w:after="0"/>
              <w:rPr>
                <w:sz w:val="20"/>
                <w:szCs w:val="20"/>
                <w:color w:val="auto"/>
              </w:rPr>
            </w:pPr>
            <w:r>
              <w:rPr>
                <w:rFonts w:ascii="Arial" w:cs="Arial" w:eastAsia="Arial" w:hAnsi="Arial"/>
                <w:sz w:val="14"/>
                <w:szCs w:val="14"/>
                <w:color w:val="auto"/>
              </w:rPr>
              <w:t>232,790,389</w:t>
            </w:r>
          </w:p>
        </w:tc>
        <w:tc>
          <w:tcPr>
            <w:tcW w:w="600" w:type="dxa"/>
            <w:vAlign w:val="bottom"/>
          </w:tcPr>
          <w:p>
            <w:pPr>
              <w:spacing w:after="0"/>
              <w:rPr>
                <w:sz w:val="15"/>
                <w:szCs w:val="15"/>
                <w:color w:val="auto"/>
              </w:rPr>
            </w:pPr>
          </w:p>
        </w:tc>
      </w:tr>
      <w:tr>
        <w:trPr>
          <w:trHeight w:val="797"/>
        </w:trPr>
        <w:tc>
          <w:tcPr>
            <w:tcW w:w="5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Forward-looking statements in this document include, but are not limited to, statements regarding the extent and duration of the economic disruptions related to the novel coronavirus COVID-19 (including variants thereof, "COVID-19") global pandemic on our tenants' operations and our taxable real estate investment trust ("REIT") subsidiaries' ("TRS") operations.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62" w:lineRule="exact"/>
        <w:rPr>
          <w:sz w:val="20"/>
          <w:szCs w:val="20"/>
          <w:color w:val="auto"/>
        </w:rPr>
      </w:pPr>
    </w:p>
    <w:p>
      <w:pPr>
        <w:ind w:left="660" w:right="40" w:hanging="328"/>
        <w:spacing w:after="0" w:line="305"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6"/>
          <w:szCs w:val="16"/>
          <w:color w:val="auto"/>
        </w:rPr>
        <w:t>The novel coronavirus COVID-19 (including variants thereof, "COVID-19") had, and may continue to have, a significant impact on our tenants' financial conditions and operations. As a result of the outbreak, our casino operations and those of our tenants were forced to close temporarily, as</w:t>
      </w:r>
    </w:p>
    <w:p>
      <w:pPr>
        <w:spacing w:after="0" w:line="1" w:lineRule="exact"/>
        <w:rPr>
          <w:rFonts w:ascii="Arial" w:cs="Arial" w:eastAsia="Arial" w:hAnsi="Arial"/>
          <w:sz w:val="19"/>
          <w:szCs w:val="19"/>
          <w:color w:val="auto"/>
        </w:rPr>
      </w:pPr>
    </w:p>
    <w:p>
      <w:pPr>
        <w:ind w:left="660"/>
        <w:spacing w:after="0" w:line="259" w:lineRule="auto"/>
        <w:rPr>
          <w:rFonts w:ascii="Arial" w:cs="Arial" w:eastAsia="Arial" w:hAnsi="Arial"/>
          <w:sz w:val="19"/>
          <w:szCs w:val="19"/>
          <w:color w:val="auto"/>
        </w:rPr>
      </w:pPr>
      <w:r>
        <w:rPr>
          <w:rFonts w:ascii="Arial" w:cs="Arial" w:eastAsia="Arial" w:hAnsi="Arial"/>
          <w:sz w:val="18"/>
          <w:szCs w:val="18"/>
          <w:color w:val="auto"/>
        </w:rPr>
        <w:t>federal, state and local officials undertook various steps to mitigate the spread of infections from COVID-19. Although the majority of our tenants' operations have recommenced operations to strong results and our tenants have improved their liquidity profiles, there can be no assurance whether these encouraging results will continue in future periods, particularly with the potential for continued increased transmission from new strains of COVID-19;</w:t>
      </w:r>
    </w:p>
    <w:p>
      <w:pPr>
        <w:spacing w:after="0" w:line="254" w:lineRule="exact"/>
        <w:rPr>
          <w:rFonts w:ascii="Arial" w:cs="Arial" w:eastAsia="Arial" w:hAnsi="Arial"/>
          <w:sz w:val="19"/>
          <w:szCs w:val="19"/>
          <w:color w:val="auto"/>
        </w:rPr>
      </w:pPr>
    </w:p>
    <w:p>
      <w:pPr>
        <w:ind w:left="660" w:right="80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impact that the sharp increase in unemployment levels and uncertainty with respect to the future state of the economy could have on discretionary consumer spending, including on casino operations;</w:t>
      </w:r>
    </w:p>
    <w:p>
      <w:pPr>
        <w:spacing w:after="0" w:line="1" w:lineRule="exact"/>
        <w:rPr>
          <w:rFonts w:ascii="Arial" w:cs="Arial" w:eastAsia="Arial" w:hAnsi="Arial"/>
          <w:sz w:val="22"/>
          <w:szCs w:val="22"/>
          <w:color w:val="auto"/>
        </w:rPr>
      </w:pPr>
    </w:p>
    <w:p>
      <w:pPr>
        <w:ind w:left="660" w:right="2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uncertain future impact of the COVID-19 outbreak, including its effect on the ability or desire of people to gather in large groups (including in casinos), which is expected to impact our financial results, operations, outlooks, plans, goals, growth, cash flows, liquidity, and stock price;</w:t>
      </w:r>
    </w:p>
    <w:p>
      <w:pPr>
        <w:spacing w:after="0" w:line="2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consequences related to United States government stimulus packages or a failure to mitigate the sharp economic downturn from COVID-19;</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52"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status as a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92" w:lineRule="exact"/>
        <w:rPr>
          <w:rFonts w:ascii="Arial" w:cs="Arial" w:eastAsia="Arial" w:hAnsi="Arial"/>
          <w:sz w:val="17"/>
          <w:szCs w:val="17"/>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97"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10" w:lineRule="exact"/>
        <w:rPr>
          <w:rFonts w:ascii="Arial" w:cs="Arial" w:eastAsia="Arial" w:hAnsi="Arial"/>
          <w:sz w:val="18"/>
          <w:szCs w:val="18"/>
          <w:color w:val="auto"/>
        </w:rPr>
      </w:pPr>
    </w:p>
    <w:p>
      <w:pPr>
        <w:ind w:left="660" w:right="6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660" w:right="5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refinancings due to maturities;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fluctuating interest rates, inflation, and the potential phasing out of the London Interbank Offered Rate ("LIBOR") after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GLPI's obligation to indemnify Penn National Gaming, Inc. (NASDAQ: PENN) ("Penn") and its subsidiaries in certain circumstances if the spin-off transaction described in Note 1 to the condensed consolidated financial statements fails to be tax-free;</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REITs or the gaming, lodging or hospitality industries;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52"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weather or climate events or conditions, natural disasters, acts of terrorism and other international hostilities, war or political instability;</w:t>
      </w:r>
    </w:p>
    <w:p>
      <w:pPr>
        <w:spacing w:after="0" w:line="197"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97"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as discussed in the Company’s Annual Report on Form 10-K for the year ended December 31, 2020 (our "Annual Report"), in this Quarterly Report on Form 10-Q and Current Reports on Form 8-K as filed with the United States Securities and Exchange Commission.</w:t>
      </w:r>
    </w:p>
    <w:p>
      <w:pPr>
        <w:spacing w:after="0" w:line="124"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80" w:type="dxa"/>
            <w:vAlign w:val="bottom"/>
            <w:gridSpan w:val="15"/>
          </w:tcPr>
          <w:p>
            <w:pPr>
              <w:jc w:val="center"/>
              <w:ind w:right="1820"/>
              <w:spacing w:after="0"/>
              <w:rPr>
                <w:sz w:val="20"/>
                <w:szCs w:val="20"/>
                <w:color w:val="auto"/>
              </w:rPr>
            </w:pPr>
            <w:r>
              <w:rPr>
                <w:rFonts w:ascii="Arial" w:cs="Arial" w:eastAsia="Arial" w:hAnsi="Arial"/>
                <w:sz w:val="18"/>
                <w:szCs w:val="18"/>
                <w:b w:val="1"/>
                <w:bCs w:val="1"/>
                <w:color w:val="auto"/>
              </w:rPr>
              <w:t>GAMING AND LEISURE PROPERTIES, INC. AND SUBSIDIARIES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0" w:type="dxa"/>
            <w:vAlign w:val="bottom"/>
            <w:gridSpan w:val="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PART I.</w:t>
              </w:r>
            </w:hyperlink>
          </w:p>
        </w:tc>
        <w:tc>
          <w:tcPr>
            <w:tcW w:w="836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INFORMATION</w:t>
              </w:r>
            </w:hyperlink>
          </w:p>
        </w:tc>
        <w:tc>
          <w:tcPr>
            <w:tcW w:w="740" w:type="dxa"/>
            <w:vAlign w:val="bottom"/>
            <w:gridSpan w:val="3"/>
          </w:tcPr>
          <w:p>
            <w:pPr>
              <w:jc w:val="center"/>
              <w:ind w:left="47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83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740" w:type="dxa"/>
            <w:vAlign w:val="bottom"/>
            <w:gridSpan w:val="3"/>
          </w:tcPr>
          <w:p>
            <w:pPr>
              <w:jc w:val="center"/>
              <w:ind w:left="4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3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 March 31, 2021 and December 31, 2020</w:t>
              </w:r>
            </w:hyperlink>
          </w:p>
        </w:tc>
        <w:tc>
          <w:tcPr>
            <w:tcW w:w="740" w:type="dxa"/>
            <w:vAlign w:val="bottom"/>
            <w:gridSpan w:val="3"/>
          </w:tcPr>
          <w:p>
            <w:pPr>
              <w:jc w:val="center"/>
              <w:ind w:left="4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Income - Three Months Ended March 31, 2021 and 2020</w:t>
              </w:r>
            </w:hyperlink>
          </w:p>
        </w:tc>
        <w:tc>
          <w:tcPr>
            <w:tcW w:w="140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360" w:type="dxa"/>
            <w:vAlign w:val="bottom"/>
            <w:gridSpan w:val="19"/>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Condensed Consolidated Statements of Changes in Shareholders' Equity - Three Months Ended March 31, 2021 and</w:t>
              </w:r>
            </w:hyperlink>
          </w:p>
        </w:tc>
        <w:tc>
          <w:tcPr>
            <w:tcW w:w="740" w:type="dxa"/>
            <w:vAlign w:val="bottom"/>
            <w:gridSpan w:val="3"/>
            <w:vMerge w:val="restart"/>
          </w:tcPr>
          <w:p>
            <w:pPr>
              <w:jc w:val="center"/>
              <w:ind w:left="47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Borders>
              <w:top w:val="single" w:sz="8" w:color="0000FF"/>
            </w:tcBorders>
            <w:gridSpan w:val="2"/>
          </w:tcPr>
          <w:p>
            <w:pPr>
              <w:jc w:val="right"/>
              <w:spacing w:after="0" w:line="156" w:lineRule="exact"/>
              <w:rPr>
                <w:rFonts w:ascii="Arial" w:cs="Arial" w:eastAsia="Arial" w:hAnsi="Arial"/>
                <w:sz w:val="18"/>
                <w:szCs w:val="18"/>
                <w:color w:val="0000FF"/>
              </w:rPr>
            </w:pPr>
            <w:hyperlink w:anchor="page28">
              <w:r>
                <w:rPr>
                  <w:rFonts w:ascii="Arial" w:cs="Arial" w:eastAsia="Arial" w:hAnsi="Arial"/>
                  <w:sz w:val="18"/>
                  <w:szCs w:val="18"/>
                  <w:color w:val="0000FF"/>
                </w:rPr>
                <w:t>2020</w:t>
              </w:r>
            </w:hyperlink>
          </w:p>
        </w:tc>
        <w:tc>
          <w:tcPr>
            <w:tcW w:w="3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6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Cash Flows - Three Months Ended March 31, 2021 and 2020</w:t>
              </w:r>
            </w:hyperlink>
          </w:p>
        </w:tc>
        <w:tc>
          <w:tcPr>
            <w:tcW w:w="110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4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the Condensed Consolidated Financial Statements</w:t>
              </w:r>
            </w:hyperlink>
          </w:p>
        </w:tc>
        <w:tc>
          <w:tcPr>
            <w:tcW w:w="4120" w:type="dxa"/>
            <w:vAlign w:val="bottom"/>
            <w:gridSpan w:val="7"/>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2.</w:t>
              </w:r>
            </w:hyperlink>
          </w:p>
        </w:tc>
        <w:tc>
          <w:tcPr>
            <w:tcW w:w="8360" w:type="dxa"/>
            <w:vAlign w:val="bottom"/>
            <w:gridSpan w:val="1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w:t>
              </w:r>
            </w:hyperlink>
          </w:p>
        </w:tc>
        <w:tc>
          <w:tcPr>
            <w:tcW w:w="740" w:type="dxa"/>
            <w:vAlign w:val="bottom"/>
            <w:gridSpan w:val="3"/>
            <w:vMerge w:val="restart"/>
          </w:tcPr>
          <w:p>
            <w:pPr>
              <w:jc w:val="center"/>
              <w:ind w:left="47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155"/>
        </w:trPr>
        <w:tc>
          <w:tcPr>
            <w:tcW w:w="5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Borders>
              <w:top w:val="single" w:sz="8" w:color="0000FF"/>
            </w:tcBorders>
            <w:gridSpan w:val="4"/>
          </w:tcPr>
          <w:p>
            <w:pPr>
              <w:spacing w:after="0" w:line="156"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OPERATIONS</w:t>
              </w:r>
            </w:hyperlink>
          </w:p>
        </w:tc>
        <w:tc>
          <w:tcPr>
            <w:tcW w:w="6660" w:type="dxa"/>
            <w:vAlign w:val="bottom"/>
            <w:tcBorders>
              <w:top w:val="single" w:sz="8" w:color="0000FF"/>
            </w:tcBorders>
            <w:gridSpan w:val="14"/>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836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836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PART II.</w:t>
              </w:r>
            </w:hyperlink>
          </w:p>
        </w:tc>
        <w:tc>
          <w:tcPr>
            <w:tcW w:w="836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18"/>
                <w:szCs w:val="18"/>
                <w:color w:val="0000FF"/>
                <w:w w:val="98"/>
              </w:rPr>
            </w:pPr>
            <w:hyperlink w:anchor="page47">
              <w:r>
                <w:rPr>
                  <w:rFonts w:ascii="Arial" w:cs="Arial" w:eastAsia="Arial" w:hAnsi="Arial"/>
                  <w:sz w:val="18"/>
                  <w:szCs w:val="18"/>
                  <w:color w:val="0000FF"/>
                  <w:w w:val="98"/>
                </w:rPr>
                <w:t>ITEM 1.</w:t>
              </w:r>
            </w:hyperlink>
          </w:p>
        </w:tc>
        <w:tc>
          <w:tcPr>
            <w:tcW w:w="1160" w:type="dxa"/>
            <w:vAlign w:val="bottom"/>
            <w:gridSpan w:val="3"/>
          </w:tcPr>
          <w:p>
            <w:pPr>
              <w:spacing w:after="0"/>
              <w:rPr>
                <w:sz w:val="24"/>
                <w:szCs w:val="24"/>
                <w:color w:val="auto"/>
              </w:rPr>
            </w:pPr>
          </w:p>
        </w:tc>
        <w:tc>
          <w:tcPr>
            <w:tcW w:w="836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gridSpan w:val="3"/>
          </w:tcPr>
          <w:p>
            <w:pPr>
              <w:spacing w:after="0"/>
              <w:rPr>
                <w:rFonts w:ascii="Arial" w:cs="Arial" w:eastAsia="Arial" w:hAnsi="Arial"/>
                <w:sz w:val="18"/>
                <w:szCs w:val="18"/>
                <w:color w:val="0000FF"/>
                <w:w w:val="98"/>
              </w:rPr>
            </w:pPr>
            <w:hyperlink w:anchor="page47">
              <w:r>
                <w:rPr>
                  <w:rFonts w:ascii="Arial" w:cs="Arial" w:eastAsia="Arial" w:hAnsi="Arial"/>
                  <w:sz w:val="18"/>
                  <w:szCs w:val="18"/>
                  <w:color w:val="0000FF"/>
                  <w:w w:val="98"/>
                </w:rPr>
                <w:t>ITEM 1A.</w:t>
              </w:r>
            </w:hyperlink>
          </w:p>
        </w:tc>
        <w:tc>
          <w:tcPr>
            <w:tcW w:w="1040" w:type="dxa"/>
            <w:vAlign w:val="bottom"/>
            <w:gridSpan w:val="2"/>
          </w:tcPr>
          <w:p>
            <w:pPr>
              <w:spacing w:after="0"/>
              <w:rPr>
                <w:sz w:val="24"/>
                <w:szCs w:val="24"/>
                <w:color w:val="auto"/>
              </w:rPr>
            </w:pPr>
          </w:p>
        </w:tc>
        <w:tc>
          <w:tcPr>
            <w:tcW w:w="836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RISK FACTORS</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gridSpan w:val="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2.</w:t>
              </w:r>
            </w:hyperlink>
          </w:p>
        </w:tc>
        <w:tc>
          <w:tcPr>
            <w:tcW w:w="1040" w:type="dxa"/>
            <w:vAlign w:val="bottom"/>
            <w:gridSpan w:val="2"/>
          </w:tcPr>
          <w:p>
            <w:pPr>
              <w:spacing w:after="0"/>
              <w:rPr>
                <w:sz w:val="24"/>
                <w:szCs w:val="24"/>
                <w:color w:val="auto"/>
              </w:rPr>
            </w:pPr>
          </w:p>
        </w:tc>
        <w:tc>
          <w:tcPr>
            <w:tcW w:w="836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3.</w:t>
              </w:r>
            </w:hyperlink>
          </w:p>
        </w:tc>
        <w:tc>
          <w:tcPr>
            <w:tcW w:w="836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DEFAULTS UPON SENIOR SECURITIES</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4.</w:t>
              </w:r>
            </w:hyperlink>
          </w:p>
        </w:tc>
        <w:tc>
          <w:tcPr>
            <w:tcW w:w="836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5.</w:t>
              </w:r>
            </w:hyperlink>
          </w:p>
        </w:tc>
        <w:tc>
          <w:tcPr>
            <w:tcW w:w="836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520" w:type="dxa"/>
            <w:vAlign w:val="bottom"/>
            <w:tcBorders>
              <w:left w:val="single" w:sz="8" w:color="0000FF"/>
            </w:tcBorders>
            <w:gridSpan w:val="13"/>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6.</w:t>
              </w:r>
            </w:hyperlink>
          </w:p>
        </w:tc>
        <w:tc>
          <w:tcPr>
            <w:tcW w:w="836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740" w:type="dxa"/>
            <w:vAlign w:val="bottom"/>
            <w:gridSpan w:val="3"/>
          </w:tcPr>
          <w:p>
            <w:pPr>
              <w:jc w:val="center"/>
              <w:ind w:left="4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SIGNATURE</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gridSpan w:val="3"/>
          </w:tcPr>
          <w:p>
            <w:pPr>
              <w:jc w:val="center"/>
              <w:ind w:left="47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3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2"/>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Real estate investments,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7,230,769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7,287,158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used in operations,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80,618</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61,448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of Tropicana Las Vegas,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304,831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Right-of-use assets and land rights,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765,932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769,197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486,451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9,013,490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9,034,368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81,558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72,285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salaries and wages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Gaming, property, and other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151,904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152,203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Long-term debt, net of unamortized debt issuance costs, bond premiums and original issuance discounts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5,754,689</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Deferred rental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333,061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6,366,847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6,359,350</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0"/>
              </w:rPr>
              <w:t>Preferred stock ($.01 par value, 50,000,000 shares authorized, no shares issued or outstanding at March 31,</w:t>
            </w: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2021 and December 31, 2020)</w:t>
            </w: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400"/>
              <w:spacing w:after="0" w:line="176" w:lineRule="exact"/>
              <w:rPr>
                <w:sz w:val="20"/>
                <w:szCs w:val="20"/>
                <w:color w:val="auto"/>
              </w:rPr>
            </w:pPr>
            <w:r>
              <w:rPr>
                <w:rFonts w:ascii="Arial" w:cs="Arial" w:eastAsia="Arial" w:hAnsi="Arial"/>
                <w:sz w:val="18"/>
                <w:szCs w:val="18"/>
                <w:color w:val="auto"/>
                <w:w w:val="89"/>
              </w:rPr>
              <w:t>Common stock ($.01 par value, 500,000,000 shares authorized, 232,781,653 and 232,452,220 shares issued</w:t>
            </w: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29"/>
        </w:trPr>
        <w:tc>
          <w:tcPr>
            <w:tcW w:w="8240" w:type="dxa"/>
            <w:vAlign w:val="bottom"/>
          </w:tcPr>
          <w:p>
            <w:pPr>
              <w:ind w:left="400"/>
              <w:spacing w:after="0"/>
              <w:rPr>
                <w:sz w:val="20"/>
                <w:szCs w:val="20"/>
                <w:color w:val="auto"/>
              </w:rPr>
            </w:pPr>
            <w:r>
              <w:rPr>
                <w:rFonts w:ascii="Arial" w:cs="Arial" w:eastAsia="Arial" w:hAnsi="Arial"/>
                <w:sz w:val="18"/>
                <w:szCs w:val="18"/>
                <w:color w:val="auto"/>
              </w:rPr>
              <w:t>and outstanding at March 31, 2021 and December 31, 2020, respectively)</w:t>
            </w: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4,280,723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4,284,789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(1,636,408)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(1,612,096)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2,646,643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2,675,018</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9,013,490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9,034,368</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5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260" w:type="dxa"/>
            <w:vAlign w:val="bottom"/>
          </w:tcPr>
          <w:p>
            <w:pPr>
              <w:ind w:left="14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263,842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249,407</w:t>
            </w:r>
          </w:p>
        </w:tc>
      </w:tr>
      <w:tr>
        <w:trPr>
          <w:trHeight w:val="229"/>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 from real estate loans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Total income from real estate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256,723</w:t>
            </w:r>
          </w:p>
        </w:tc>
      </w:tr>
      <w:tr>
        <w:trPr>
          <w:trHeight w:val="229"/>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26,759</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283,482</w:t>
            </w:r>
          </w:p>
        </w:tc>
      </w:tr>
      <w:tr>
        <w:trPr>
          <w:trHeight w:val="216"/>
        </w:trPr>
        <w:tc>
          <w:tcPr>
            <w:tcW w:w="5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Gaming, food, beverage and other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w:t>
            </w:r>
          </w:p>
        </w:tc>
      </w:tr>
      <w:tr>
        <w:trPr>
          <w:trHeight w:val="229"/>
        </w:trPr>
        <w:tc>
          <w:tcPr>
            <w:tcW w:w="5260" w:type="dxa"/>
            <w:vAlign w:val="bottom"/>
          </w:tcPr>
          <w:p>
            <w:pPr>
              <w:ind w:left="140"/>
              <w:spacing w:after="0"/>
              <w:rPr>
                <w:sz w:val="20"/>
                <w:szCs w:val="20"/>
                <w:color w:val="auto"/>
              </w:rPr>
            </w:pPr>
            <w:r>
              <w:rPr>
                <w:rFonts w:ascii="Arial" w:cs="Arial" w:eastAsia="Arial" w:hAnsi="Arial"/>
                <w:sz w:val="18"/>
                <w:szCs w:val="18"/>
                <w:color w:val="auto"/>
              </w:rPr>
              <w:t>Land rights and ground lease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8,078</w:t>
            </w:r>
          </w:p>
        </w:tc>
      </w:tr>
      <w:tr>
        <w:trPr>
          <w:trHeight w:val="229"/>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15,987</w:t>
            </w:r>
          </w:p>
        </w:tc>
      </w:tr>
      <w:tr>
        <w:trPr>
          <w:trHeight w:val="230"/>
        </w:trPr>
        <w:tc>
          <w:tcPr>
            <w:tcW w:w="5260" w:type="dxa"/>
            <w:vAlign w:val="bottom"/>
          </w:tcPr>
          <w:p>
            <w:pPr>
              <w:ind w:left="140"/>
              <w:spacing w:after="0"/>
              <w:rPr>
                <w:sz w:val="20"/>
                <w:szCs w:val="20"/>
                <w:color w:val="auto"/>
              </w:rPr>
            </w:pPr>
            <w:r>
              <w:rPr>
                <w:rFonts w:ascii="Arial" w:cs="Arial" w:eastAsia="Arial" w:hAnsi="Arial"/>
                <w:sz w:val="18"/>
                <w:szCs w:val="18"/>
                <w:color w:val="auto"/>
              </w:rPr>
              <w:t>(Gains) losses from dispositions of property</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56,563</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97,132</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186,350</w:t>
            </w: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(70,413)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(72,004)</w:t>
            </w:r>
          </w:p>
        </w:tc>
      </w:tr>
      <w:tr>
        <w:trPr>
          <w:trHeight w:val="230"/>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260" w:type="dxa"/>
            <w:vAlign w:val="bottom"/>
          </w:tcPr>
          <w:p>
            <w:pPr>
              <w:ind w:left="100"/>
              <w:spacing w:after="0"/>
              <w:rPr>
                <w:sz w:val="20"/>
                <w:szCs w:val="20"/>
                <w:color w:val="auto"/>
              </w:rPr>
            </w:pPr>
            <w:r>
              <w:rPr>
                <w:rFonts w:ascii="Arial" w:cs="Arial" w:eastAsia="Arial" w:hAnsi="Arial"/>
                <w:sz w:val="18"/>
                <w:szCs w:val="18"/>
                <w:color w:val="auto"/>
              </w:rPr>
              <w:t>Losses on debt extinguishment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(17,329)</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(89,137)</w:t>
            </w: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97,213</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bl>
    <w:p>
      <w:pPr>
        <w:spacing w:after="0" w:line="31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ind w:left="920"/>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restart"/>
          </w:tcPr>
          <w:p>
            <w:pPr>
              <w:jc w:val="center"/>
              <w:ind w:right="360"/>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restart"/>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116"/>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232,452,220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4,284,789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(1,612,096)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90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net of</w:t>
            </w:r>
          </w:p>
        </w:tc>
        <w:tc>
          <w:tcPr>
            <w:tcW w:w="20" w:type="dxa"/>
            <w:vAlign w:val="bottom"/>
          </w:tcPr>
          <w:p>
            <w:pPr>
              <w:spacing w:after="0"/>
              <w:rPr>
                <w:sz w:val="15"/>
                <w:szCs w:val="15"/>
                <w:color w:val="auto"/>
              </w:rPr>
            </w:pP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ATM Program offering costs</w:t>
            </w:r>
          </w:p>
        </w:tc>
        <w:tc>
          <w:tcPr>
            <w:tcW w:w="20" w:type="dxa"/>
            <w:vAlign w:val="bottom"/>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activity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329,433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Dividends paid ($0.65 per common share)</w:t>
            </w:r>
          </w:p>
        </w:tc>
        <w:tc>
          <w:tcPr>
            <w:tcW w:w="2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(151,496)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Balance, March 31, 2021</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232,781,653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4,280,723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(1,636,408)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8"/>
          </w:tcPr>
          <w:p>
            <w:pPr>
              <w:ind w:left="9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restart"/>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76"/>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214,694,165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3,959,383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(1,887,285)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2,074,245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900" w:type="dxa"/>
            <w:vAlign w:val="bottom"/>
          </w:tcPr>
          <w:p>
            <w:pPr>
              <w:ind w:left="160"/>
              <w:spacing w:after="0" w:line="176" w:lineRule="exact"/>
              <w:rPr>
                <w:sz w:val="20"/>
                <w:szCs w:val="20"/>
                <w:color w:val="auto"/>
              </w:rPr>
            </w:pPr>
            <w:r>
              <w:rPr>
                <w:rFonts w:ascii="Arial" w:cs="Arial" w:eastAsia="Arial" w:hAnsi="Arial"/>
                <w:sz w:val="18"/>
                <w:szCs w:val="18"/>
                <w:color w:val="auto"/>
              </w:rPr>
              <w:t>Issuance of common stock, net of</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7,971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ATM Program offering costs</w:t>
            </w: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Dividends paid ($0.70 per common share)</w:t>
            </w:r>
          </w:p>
        </w:tc>
        <w:tc>
          <w:tcPr>
            <w:tcW w:w="2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(150,796)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Balance, March 31, 2020</w:t>
            </w:r>
          </w:p>
        </w:tc>
        <w:tc>
          <w:tcPr>
            <w:tcW w:w="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215,107,229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3,951,341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(1,941,187)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2,012,305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48"/>
        </w:trPr>
        <w:tc>
          <w:tcPr>
            <w:tcW w:w="8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96,894</w:t>
            </w: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59,583</w:t>
            </w:r>
          </w:p>
        </w:tc>
      </w:tr>
      <w:tr>
        <w:trPr>
          <w:trHeight w:val="229"/>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Amortization of debt issuance costs, bond premiums and original issuance discounts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29"/>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Losses on dispositions of property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r>
      <w:tr>
        <w:trPr>
          <w:trHeight w:val="230"/>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Straight-line rent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8,644</w:t>
            </w:r>
          </w:p>
        </w:tc>
      </w:tr>
      <w:tr>
        <w:trPr>
          <w:trHeight w:val="229"/>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Losses on debt extinguishment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w:t>
            </w:r>
          </w:p>
        </w:tc>
      </w:tr>
      <w:tr>
        <w:trPr>
          <w:trHeight w:val="162"/>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decrease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gridSpan w:val="2"/>
          </w:tcPr>
          <w:p>
            <w:pPr>
              <w:ind w:left="5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6,467</w:t>
            </w:r>
          </w:p>
        </w:tc>
      </w:tr>
      <w:tr>
        <w:trPr>
          <w:trHeight w:val="229"/>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(decrease)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gridSpan w:val="2"/>
          </w:tcPr>
          <w:p>
            <w:pPr>
              <w:ind w:left="5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8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30"/>
        </w:trPr>
        <w:tc>
          <w:tcPr>
            <w:tcW w:w="8240" w:type="dxa"/>
            <w:vAlign w:val="bottom"/>
            <w:gridSpan w:val="2"/>
          </w:tcPr>
          <w:p>
            <w:pPr>
              <w:ind w:left="56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16,869</w:t>
            </w:r>
          </w:p>
        </w:tc>
      </w:tr>
      <w:tr>
        <w:trPr>
          <w:trHeight w:val="229"/>
        </w:trPr>
        <w:tc>
          <w:tcPr>
            <w:tcW w:w="8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Accrued salaries and wages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w:t>
            </w:r>
          </w:p>
        </w:tc>
      </w:tr>
      <w:tr>
        <w:trPr>
          <w:trHeight w:val="229"/>
        </w:trPr>
        <w:tc>
          <w:tcPr>
            <w:tcW w:w="8240" w:type="dxa"/>
            <w:vAlign w:val="bottom"/>
            <w:gridSpan w:val="2"/>
          </w:tcPr>
          <w:p>
            <w:pPr>
              <w:ind w:left="560"/>
              <w:spacing w:after="0"/>
              <w:rPr>
                <w:sz w:val="20"/>
                <w:szCs w:val="20"/>
                <w:color w:val="auto"/>
              </w:rPr>
            </w:pPr>
            <w:r>
              <w:rPr>
                <w:rFonts w:ascii="Arial" w:cs="Arial" w:eastAsia="Arial" w:hAnsi="Arial"/>
                <w:sz w:val="18"/>
                <w:szCs w:val="18"/>
                <w:color w:val="auto"/>
              </w:rPr>
              <w:t>Gaming, property and other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Borders>
              <w:bottom w:val="single" w:sz="8" w:color="CCEEFF"/>
            </w:tcBorders>
            <w:gridSpan w:val="2"/>
          </w:tcPr>
          <w:p>
            <w:pPr>
              <w:ind w:left="5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198,785</w:t>
            </w:r>
          </w:p>
        </w:tc>
      </w:tr>
      <w:tr>
        <w:trPr>
          <w:trHeight w:val="210"/>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Capital project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Capital maintenance expenditures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10"/>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(150,796)</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Taxes paid related to shares withheld for tax purposes on restricted stock award vestings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(12,583)</w:t>
            </w: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(Costs) proceeds from issuance of common stock,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1,174,600</w:t>
            </w: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(661,206)</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(15,742)</w:t>
            </w: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334,583</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increase in cash and cash equivalents, including cash classified within assets held for sale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532,722</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net change in cash classified within assets held for sale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532,722</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559,545</w:t>
            </w: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16 to the condensed consolidated financial statements for supplemental cash flow information and noncash investing and financing activities.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7"/>
          <w:szCs w:val="17"/>
          <w:i w:val="1"/>
          <w:iCs w:val="1"/>
          <w:color w:val="auto"/>
        </w:rPr>
        <w:t>Spinoffs and Reverse Spinoffs ("</w:t>
      </w:r>
      <w:r>
        <w:rPr>
          <w:rFonts w:ascii="Arial" w:cs="Arial" w:eastAsia="Arial" w:hAnsi="Arial"/>
          <w:sz w:val="17"/>
          <w:szCs w:val="17"/>
          <w:color w:val="auto"/>
        </w:rPr>
        <w:t>ASC 505"</w:t>
      </w:r>
      <w:r>
        <w:rPr>
          <w:rFonts w:ascii="Arial" w:cs="Arial" w:eastAsia="Arial" w:hAnsi="Arial"/>
          <w:sz w:val="17"/>
          <w:szCs w:val="17"/>
          <w:i w:val="1"/>
          <w:iCs w:val="1"/>
          <w:color w:val="auto"/>
        </w:rPr>
        <w:t>).</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addition, during 2020, the Company and Tropicana LV, LLC, a wholly owned subsidiary of the Company which holds the real estate of Tropicana Las Vegas Casino Hotel Resort ("Tropicana Las Vegas") , elected to treat Tropicana LV, LLC as a TRS, which together with the TRS Properties and GLP Holdings, Inc. is the Company's TRS segment (the "TRS Segment").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March 31, 2021, GLPI’s portfolio consisted of interests in 48 gaming and related facilities, including the TRS Properties, the real property associated with 33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and the real property associated with property operated by Casino Queen Holding Company Inc. ("Casino Queen") in East St. Louis, Illinois. These facilities, including our corporate headquarters building, are geographically diversified across 16 states and contain approximately 24.3 million square feet. As of March 31, 2021, the Company's properties were 100% occupied. GLPI expects to continue growing its portfolio by pursuing opportunities to acquire additional gaming facilities to lease to gaming operators under prudent terms.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 and Casino Queen Lease</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a result of the Spin-Off, GLPI owns substantially all of Penn’s former real property assets (as of the consummation of the Spin-Off) and leases back most of those assets to Penn for use by its subsidiaries, under a unitary master lease, a triple-net operating lease the term of which expires October 31, 2033, with no purchase option, followed by three remaining 5-year renewal options (exercisable by the tenant) on the same terms and conditions (the "Penn Master Lease"), and GLPI also owns and operates the TRS Properties. GLPI leases the Casino Queen property in East St. Louis back to its operator on a triple-net basis on terms similar to those in the Penn Master Lease (the "Casino Queen Lease").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Pinnacle Master Lease, Boyd Master Lease and Belterra Park Lease</w:t>
      </w:r>
    </w:p>
    <w:p>
      <w:pPr>
        <w:spacing w:after="0" w:line="252" w:lineRule="exact"/>
        <w:rPr>
          <w:sz w:val="20"/>
          <w:szCs w:val="20"/>
          <w:color w:val="auto"/>
        </w:rPr>
      </w:pPr>
    </w:p>
    <w:p>
      <w:pPr>
        <w:jc w:val="both"/>
        <w:ind w:right="100" w:firstLine="648"/>
        <w:spacing w:after="0" w:line="273" w:lineRule="auto"/>
        <w:rPr>
          <w:sz w:val="20"/>
          <w:szCs w:val="20"/>
          <w:color w:val="auto"/>
        </w:rPr>
      </w:pPr>
      <w:r>
        <w:rPr>
          <w:rFonts w:ascii="Arial" w:cs="Arial" w:eastAsia="Arial" w:hAnsi="Arial"/>
          <w:sz w:val="17"/>
          <w:szCs w:val="17"/>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p>
    <w:p>
      <w:pPr>
        <w:ind w:right="80"/>
        <w:spacing w:after="0" w:line="259" w:lineRule="auto"/>
        <w:rPr>
          <w:sz w:val="20"/>
          <w:szCs w:val="20"/>
          <w:color w:val="auto"/>
        </w:rPr>
      </w:pPr>
      <w:r>
        <w:rPr>
          <w:rFonts w:ascii="Arial" w:cs="Arial" w:eastAsia="Arial" w:hAnsi="Arial"/>
          <w:sz w:val="18"/>
          <w:szCs w:val="18"/>
          <w:color w:val="auto"/>
        </w:rPr>
        <w:t>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Meadows Lease</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real estate assets of the Meadows Racetrack and Casino are leased to Penn pursuant to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Caesars Master Lease</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w:t>
      </w:r>
    </w:p>
    <w:p>
      <w:pPr>
        <w:spacing w:after="0" w:line="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This resulted in a non-cash gain of $41.4 million in the fourth quarter of 2020, which represented the difference between the fair value of the properties received compared to the carrying value of Tropicana Evansville and the cash payment made. In connection with the Exchange Agreement, the annual building base rent was increased to $62.5 million and the annual land component was increased to$23.7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Place Lease</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Las Vegas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April 16, 2020, the Company and certain of its subsidiaries acquired the real property associated with the Tropicana Las Vegas from Penn in exchange for $307.5 million of rent credits to be applied against future rent obligations. This asset has been placed in our TRS Segment. See Note 7 for further details related to this transaction. Additionally, see Note 18 for the anticipated sale of the building and sale-lease back of the land for this asset.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Consumer Price Index (the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(the "Morgantown Lease").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first quarter of 2020, it became clear that there was a global outbreak of a new strain of novel coronavirus COVID-19. The global, domestic and local response to the COVID-19 outbreak continues to evolve. Responses to the COVID-19 outbreak have included mandates from federal, state, and/or local authorities that required temporary closures of or imposed limitations on the operations of non-essential businesses. All of the Company's tenants' casino operations, in addition to the Company's two TRS Properties, were closed in mid-March 2020. Our properties began reopening at limited capacity in May 2020 and by early July 2020 nearly all had resumed operations at limited capacity. However, in the fourth quarter of 2020, increased spread of COVID-19 led some jurisdictions to impose temporary closures once again. As of the date of this filing, none of our properties are closed.</w:t>
      </w:r>
    </w:p>
    <w:p>
      <w:pPr>
        <w:spacing w:after="0" w:line="18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("GAAP") for interim financial information and with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condensed consolidated financial statements include the accounts of GLPI and its subsidiaries. All intercompany accounts and transactions have been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Certain prior period amounts have been reclassified to conform to the current period presentation. Specifically, gains and losses from dispositions of properties were previously classified within General and administrative expenses and are now presented separately on the Condensed Consolidated Statements of Income.</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Operating results for the three months ended March 31, 2021 are not necessarily indicative of the results that may be expected for the year ending December 31, 2021. The notes to the consolidated financial statements contained in our Annual Report on Form 10-K for the year ended December 31, 2020 (our "Annual Report") should be read in conjunction with these condensed consolidated financial statements. The December 31, 2020 financial information has been derived from the Company’s audited consolidated financial statements.</w:t>
      </w:r>
    </w:p>
    <w:p>
      <w:pPr>
        <w:spacing w:after="0" w:line="21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5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("ASU 2020-04"). Reference rates such as London Interbank Offered Rate ("LIBOR") are widely used in a broad range of financial instruments and other agreements.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this reform initiative, certain widely used rates such as LIBOR are expected to be discontinued. ASU 2020-04 provides optional expedients for applying the guidance for contract modifications or other situations affected by reference rate reform, specifically addressing the accounting for modifications of contracts within the scope of ASC Topic 310 on receivables, ASC 470 on debt, and ASC 842 on leases and ASC subtopic 815-15 on embedded derivatives. Based on the limited amount of obligations and contracts the Company currently has that references LIBOR, the Company does not anticipate any material impact from this pronouncement.</w:t>
      </w:r>
    </w:p>
    <w:p>
      <w:pPr>
        <w:spacing w:after="0" w:line="18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45 rental properties and the corporate headquarters building and is summarized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2020</w:t>
            </w:r>
          </w:p>
        </w:tc>
      </w:tr>
      <w:tr>
        <w:trPr>
          <w:trHeight w:val="183"/>
        </w:trPr>
        <w:tc>
          <w:tcPr>
            <w:tcW w:w="7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4"/>
          </w:tcPr>
          <w:p>
            <w:pPr>
              <w:jc w:val="right"/>
              <w:ind w:right="97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2,667,616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2,667,616</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 and improvements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6,030,482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6,030,482</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real estate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8,698,098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8,698,098</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1"/>
              </w:rPr>
              <w:t>(1,467,329)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1"/>
              </w:rPr>
              <w:t>(1,410,940)</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7,287,158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29" w:lineRule="exact"/>
        <w:rPr>
          <w:sz w:val="20"/>
          <w:szCs w:val="20"/>
          <w:color w:val="auto"/>
        </w:rPr>
      </w:pPr>
    </w:p>
    <w:p>
      <w:pPr>
        <w:ind w:right="180" w:firstLine="648"/>
        <w:spacing w:after="0" w:line="284" w:lineRule="auto"/>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at the TRS Properties as the real estate will be leased to third party operators subsequent to the completion of the sale transactions as discussed in Note 6.</w:t>
      </w:r>
    </w:p>
    <w:tbl>
      <w:tblPr>
        <w:tblLayout w:type="fixed"/>
        <w:tblInd w:w="220" w:type="dxa"/>
        <w:tblCellMar>
          <w:top w:w="0" w:type="dxa"/>
          <w:left w:w="0" w:type="dxa"/>
          <w:bottom w:w="0" w:type="dxa"/>
          <w:right w:w="0" w:type="dxa"/>
        </w:tblCellMar>
      </w:tblPr>
      <w:tr>
        <w:trPr>
          <w:trHeight w:val="146"/>
        </w:trPr>
        <w:tc>
          <w:tcPr>
            <w:tcW w:w="7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240" w:type="dxa"/>
            <w:vAlign w:val="bottom"/>
          </w:tcPr>
          <w:p>
            <w:pPr>
              <w:jc w:val="right"/>
              <w:ind w:right="214"/>
              <w:spacing w:after="0" w:line="146" w:lineRule="exact"/>
              <w:rPr>
                <w:sz w:val="20"/>
                <w:szCs w:val="20"/>
                <w:color w:val="auto"/>
              </w:rPr>
            </w:pPr>
            <w:r>
              <w:rPr>
                <w:rFonts w:ascii="Arial" w:cs="Arial" w:eastAsia="Arial" w:hAnsi="Arial"/>
                <w:sz w:val="14"/>
                <w:szCs w:val="14"/>
                <w:b w:val="1"/>
                <w:bCs w:val="1"/>
                <w:color w:val="auto"/>
              </w:rPr>
              <w:t>December 31,</w:t>
            </w:r>
          </w:p>
        </w:tc>
      </w:tr>
      <w:tr>
        <w:trPr>
          <w:trHeight w:val="188"/>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3"/>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117,333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177,114</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(96,496)</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Assets Held for Sale</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November 25, 2020, the Company entered into a definitive agreement to sell the operations of our Hollywood Casino Baton Rouge to Casino Queen for $28.2 million. The Company will retain ownership of all real estate assets at Hollywood Casino Baton Rouge and will simultaneously enter into a master lease with Casino Queen, which will include the Casino Queen property in East St. Louis that is currently leased by us to Casino Queen and the Hollywood Casino Baton Rouge facility (the "Casino Queen Master Lease"). The initial annual cash rent on the retained real estate will be approximately $21.4 million and the Casino Queen Master Lease will have an initial term of 15 years with four 5-year renewal options exercisable by the tenant. Additionally, the Company will complete the current land side development project that is in process and the rent under the Casino Queen Master Lease will be adjusted upon delivery to reflect a yield of 8.25% on GLPI's project costs. The transaction is subject to customary closing conditions and regulatory approvals and is expected to close in the second half of 2021.</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11, 2020, Penn agreed to purchase from the Company the operations of our Hollywood Casino Perryville, located in Perryville, Maryland, for $31.1 million, with the closing of such purchase, subject to regulatory approvals, expected to occur during the second half of 2021. Upon closing, the Company will lease the real estate of the Perryville facility to Penn pursuant to a lease providing for initial annual rent on the retained real estate of $7.77 million, subject to escalation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classified the operating assets of the two properties above as Assets held for sale since we expect these transactions to close within 12 months and classified the respective liabilities within Other liabilities on the Condensed Consolidated Balance Sheet which is comprised of the following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2920" w:type="dxa"/>
        <w:tblCellMar>
          <w:top w:w="0" w:type="dxa"/>
          <w:left w:w="0" w:type="dxa"/>
          <w:bottom w:w="0" w:type="dxa"/>
          <w:right w:w="0" w:type="dxa"/>
        </w:tblCellMar>
      </w:tblPr>
      <w:tr>
        <w:trPr>
          <w:trHeight w:val="22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Property and equipment, used in operations,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9,153</w:t>
            </w:r>
          </w:p>
        </w:tc>
      </w:tr>
      <w:tr>
        <w:trPr>
          <w:trHeight w:val="22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and land rights, net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30,626</w:t>
            </w: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16,067</w:t>
            </w: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r>
      <w:tr>
        <w:trPr>
          <w:trHeight w:val="229"/>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r>
      <w:tr>
        <w:trPr>
          <w:trHeight w:val="22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70,457</w:t>
            </w:r>
          </w:p>
        </w:tc>
      </w:tr>
      <w:tr>
        <w:trPr>
          <w:trHeight w:val="270"/>
        </w:trPr>
        <w:tc>
          <w:tcPr>
            <w:tcW w:w="4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Accrued salaries and wages</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w:t>
            </w:r>
          </w:p>
        </w:tc>
      </w:tr>
      <w:tr>
        <w:trPr>
          <w:trHeight w:val="22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Gaming, property and other taxes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Lease liabilities</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Total which is classified in Other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7,359</w:t>
            </w:r>
          </w:p>
        </w:tc>
      </w:tr>
    </w:tbl>
    <w:p>
      <w:pPr>
        <w:spacing w:after="0" w:line="200" w:lineRule="exact"/>
        <w:rPr>
          <w:sz w:val="20"/>
          <w:szCs w:val="20"/>
          <w:color w:val="auto"/>
        </w:rPr>
      </w:pPr>
    </w:p>
    <w:p>
      <w:pPr>
        <w:spacing w:after="0" w:line="2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assets held for sale reside in the Company's TRS Segment. See Note 15 for the pre-tax income of this segment for the three month periods ended March 31, 2021 and 2020, respectively, which is comprised solely of the properties above with the exception of $0.9 million of depreciation expense associated with Tropicana Las Vegas for the three months ended March 31, 2021.</w:t>
      </w:r>
    </w:p>
    <w:p>
      <w:pPr>
        <w:spacing w:after="0" w:line="200" w:lineRule="exact"/>
        <w:rPr>
          <w:sz w:val="20"/>
          <w:szCs w:val="20"/>
          <w:color w:val="auto"/>
        </w:rPr>
      </w:pPr>
    </w:p>
    <w:p>
      <w:pPr>
        <w:spacing w:after="0" w:line="250" w:lineRule="exact"/>
        <w:rPr>
          <w:sz w:val="20"/>
          <w:szCs w:val="20"/>
          <w:color w:val="auto"/>
        </w:rPr>
      </w:pPr>
    </w:p>
    <w:p>
      <w:pPr>
        <w:ind w:right="8460" w:firstLine="8"/>
        <w:spacing w:after="0" w:line="534"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 Assets and Lease Liabilities Lease Assets</w:t>
      </w:r>
    </w:p>
    <w:p>
      <w:pPr>
        <w:spacing w:after="0" w:line="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 in conjunction with the Company's assumption of below market leases at the time it acquired the related land and building assets, the Company is required to report the right-of-use assets and land rights in the aggregate on the condensed consolidated balance sheet.</w:t>
      </w:r>
    </w:p>
    <w:p>
      <w:pPr>
        <w:spacing w:after="0" w:line="2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line="342" w:lineRule="auto"/>
        <w:rPr>
          <w:sz w:val="20"/>
          <w:szCs w:val="20"/>
          <w:color w:val="auto"/>
        </w:rPr>
      </w:pPr>
      <w:r>
        <w:rPr>
          <w:rFonts w:ascii="Arial" w:cs="Arial" w:eastAsia="Arial" w:hAnsi="Arial"/>
          <w:sz w:val="16"/>
          <w:szCs w:val="16"/>
          <w:color w:val="auto"/>
        </w:rPr>
        <w:t>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the Company's right-of use assets and land rights, net are detailed below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 2020</w:t>
            </w:r>
          </w:p>
        </w:tc>
      </w:tr>
      <w:tr>
        <w:trPr>
          <w:trHeight w:val="230"/>
        </w:trPr>
        <w:tc>
          <w:tcPr>
            <w:tcW w:w="5700" w:type="dxa"/>
            <w:vAlign w:val="bottom"/>
          </w:tcPr>
          <w:p>
            <w:pPr>
              <w:spacing w:after="0" w:line="230" w:lineRule="exact"/>
              <w:rPr>
                <w:sz w:val="20"/>
                <w:szCs w:val="20"/>
                <w:color w:val="auto"/>
              </w:rPr>
            </w:pPr>
            <w:r>
              <w:rPr>
                <w:rFonts w:ascii="Arial" w:cs="Arial" w:eastAsia="Arial" w:hAnsi="Arial"/>
                <w:sz w:val="18"/>
                <w:szCs w:val="18"/>
                <w:color w:val="auto"/>
              </w:rPr>
              <w:t xml:space="preserve">Right-of use assets - operating leases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150,917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151,339</w:t>
            </w:r>
          </w:p>
        </w:tc>
      </w:tr>
      <w:tr>
        <w:trPr>
          <w:trHeight w:val="22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Land rights, net</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615,015</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617,858</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Right-of-use assets and land rights,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765,932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769,197</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40" w:firstLine="656"/>
        <w:spacing w:after="0" w:line="267" w:lineRule="auto"/>
        <w:tabs>
          <w:tab w:leader="none" w:pos="829"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 addition, there is $0.1 million and $0.3 million of operating lease right-of-use assets included in assets held for sale at March 31, 2021 and December 31,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21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183"/>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ind w:left="740"/>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667,751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667,751</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5"/>
              </w:rPr>
              <w:t>(52,736)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(49,893)</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615,015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617,858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2021, estimated future amortization expense related to the Company’s land rights by fiscal year is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040" w:type="dxa"/>
            <w:vAlign w:val="bottom"/>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(remainder of year)</w:t>
            </w:r>
          </w:p>
        </w:tc>
        <w:tc>
          <w:tcPr>
            <w:tcW w:w="5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15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11,372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4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2024</w:t>
            </w:r>
          </w:p>
        </w:tc>
        <w:tc>
          <w:tcPr>
            <w:tcW w:w="15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11,372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54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560,998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615,015</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3190"/>
              <w:spacing w:after="0"/>
              <w:rPr>
                <w:sz w:val="20"/>
                <w:szCs w:val="20"/>
                <w:color w:val="auto"/>
              </w:rPr>
            </w:pPr>
            <w:r>
              <w:rPr>
                <w:rFonts w:ascii="Arial" w:cs="Arial" w:eastAsia="Arial" w:hAnsi="Arial"/>
                <w:sz w:val="18"/>
                <w:szCs w:val="18"/>
                <w:color w:val="auto"/>
              </w:rPr>
              <w:t>14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Lease Liabilities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2021, maturities of the Company's operating lease liabilities were as follows (in thousands):</w:t>
      </w:r>
    </w:p>
    <w:p>
      <w:pPr>
        <w:spacing w:after="0" w:line="281"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6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(remainder of year)</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r>
      <w:tr>
        <w:trPr>
          <w:trHeight w:val="229"/>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11,082</w:t>
            </w:r>
          </w:p>
        </w:tc>
      </w:tr>
      <w:tr>
        <w:trPr>
          <w:trHeight w:val="229"/>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2024</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11,034</w:t>
            </w:r>
          </w:p>
        </w:tc>
      </w:tr>
      <w:tr>
        <w:trPr>
          <w:trHeight w:val="229"/>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w:t>
            </w:r>
          </w:p>
        </w:tc>
      </w:tr>
      <w:tr>
        <w:trPr>
          <w:trHeight w:val="229"/>
        </w:trPr>
        <w:tc>
          <w:tcPr>
            <w:tcW w:w="3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569,957</w:t>
            </w:r>
          </w:p>
        </w:tc>
      </w:tr>
      <w:tr>
        <w:trPr>
          <w:trHeight w:val="223"/>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622,448</w:t>
            </w:r>
          </w:p>
        </w:tc>
      </w:tr>
      <w:tr>
        <w:trPr>
          <w:trHeight w:val="229"/>
        </w:trPr>
        <w:tc>
          <w:tcPr>
            <w:tcW w:w="3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interest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(470,544)</w:t>
            </w:r>
          </w:p>
        </w:tc>
      </w:tr>
      <w:tr>
        <w:trPr>
          <w:trHeight w:val="248"/>
        </w:trPr>
        <w:tc>
          <w:tcPr>
            <w:tcW w:w="374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151,904</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In addition, there is $0.1 million of lease liabilities included in other liabilities related to liabilities held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lease costs represent the entire amount of expense recognized for operating leases that are recorded on the condensed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ectPr>
          <w:pgSz w:w="11900" w:h="16838" w:orient="portrait"/>
          <w:cols w:equalWidth="0" w:num="1">
            <w:col w:w="11080"/>
          </w:cols>
          <w:pgMar w:left="320" w:top="1134" w:right="499" w:bottom="1440" w:gutter="0" w:footer="0" w:header="0"/>
        </w:sect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expense were as follows:</w:t>
      </w:r>
    </w:p>
    <w:p>
      <w:pPr>
        <w:spacing w:after="0" w:line="200" w:lineRule="exact"/>
        <w:rPr>
          <w:sz w:val="20"/>
          <w:szCs w:val="20"/>
          <w:color w:val="auto"/>
        </w:rPr>
      </w:pPr>
    </w:p>
    <w:p>
      <w:pPr>
        <w:spacing w:after="0" w:line="39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Variable lease cost</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Amortization of land right assets</w:t>
      </w:r>
    </w:p>
    <w:p>
      <w:pPr>
        <w:spacing w:after="0" w:line="6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Three Months Ended March 31, Three Months Ended 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2020</w:t>
            </w:r>
          </w:p>
        </w:tc>
      </w:tr>
      <w:tr>
        <w:trPr>
          <w:trHeight w:val="180"/>
        </w:trPr>
        <w:tc>
          <w:tcPr>
            <w:tcW w:w="360" w:type="dxa"/>
            <w:vAlign w:val="bottom"/>
          </w:tcPr>
          <w:p>
            <w:pPr>
              <w:spacing w:after="0"/>
              <w:rPr>
                <w:sz w:val="15"/>
                <w:szCs w:val="15"/>
                <w:color w:val="auto"/>
              </w:rPr>
            </w:pPr>
          </w:p>
        </w:tc>
        <w:tc>
          <w:tcPr>
            <w:tcW w:w="1680" w:type="dxa"/>
            <w:vAlign w:val="bottom"/>
          </w:tcPr>
          <w:p>
            <w:pPr>
              <w:jc w:val="right"/>
              <w:ind w:right="475"/>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720" w:type="dxa"/>
            <w:vAlign w:val="bottom"/>
          </w:tcPr>
          <w:p>
            <w:pPr>
              <w:jc w:val="right"/>
              <w:ind w:right="51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2,928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3,695</w:t>
            </w:r>
          </w:p>
        </w:tc>
      </w:tr>
      <w:tr>
        <w:trPr>
          <w:trHeight w:val="230"/>
        </w:trPr>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30"/>
        </w:trPr>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327</w:t>
            </w: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-770890</wp:posOffset>
            </wp:positionV>
            <wp:extent cx="498919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-479425</wp:posOffset>
            </wp:positionV>
            <wp:extent cx="498919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-187960</wp:posOffset>
            </wp:positionV>
            <wp:extent cx="49891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640"/>
          </w:cols>
          <w:pgMar w:left="320" w:top="1134" w:right="499" w:bottom="1440" w:gutter="0" w:footer="0" w:header="0"/>
          <w:type w:val="continuous"/>
        </w:sectPr>
      </w:pPr>
    </w:p>
    <w:p>
      <w:pPr>
        <w:spacing w:after="0" w:line="1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Amortization expense related to the land right intangibles, as well as variable lease costs and the majority of the Company's operating lease costs are recorded within land rights and ground lease expense in the condensed consolidated statements of income. The Company's short-term lease costs as well as a small portion of operating lease costs are recorded in both gaming, food, beverage and other expense and general and administrative expense in the condensed consolidated statements of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Related to Leases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84" w:lineRule="exact"/>
        <w:rPr>
          <w:sz w:val="20"/>
          <w:szCs w:val="20"/>
          <w:color w:val="auto"/>
        </w:rPr>
      </w:pPr>
    </w:p>
    <w:tbl>
      <w:tblPr>
        <w:tblLayout w:type="fixed"/>
        <w:tblInd w:w="178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March 31, 2021</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56.23 years</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6.73%</w:t>
            </w:r>
          </w:p>
        </w:tc>
      </w:tr>
    </w:tbl>
    <w:p>
      <w:pPr>
        <w:spacing w:after="0" w:line="337" w:lineRule="exact"/>
        <w:rPr>
          <w:sz w:val="20"/>
          <w:szCs w:val="20"/>
          <w:color w:val="auto"/>
        </w:rPr>
      </w:pPr>
    </w:p>
    <w:p>
      <w:pPr>
        <w:ind w:right="2220" w:firstLine="648"/>
        <w:spacing w:after="0" w:line="308" w:lineRule="auto"/>
        <w:rPr>
          <w:sz w:val="20"/>
          <w:szCs w:val="20"/>
          <w:color w:val="auto"/>
        </w:rPr>
      </w:pPr>
      <w:r>
        <w:rPr>
          <w:rFonts w:ascii="Arial" w:cs="Arial" w:eastAsia="Arial" w:hAnsi="Arial"/>
          <w:sz w:val="17"/>
          <w:szCs w:val="17"/>
          <w:color w:val="auto"/>
        </w:rPr>
        <w:t>In addition, the weighted average remaining lease term and the weighted average discount rate for those operating leases included in assets held for sale and other liabilities is 1.73 years and 4.36%, respectively.</w:t>
      </w:r>
    </w:p>
    <w:p>
      <w:pPr>
        <w:sectPr>
          <w:pgSz w:w="11900" w:h="16838" w:orient="portrait"/>
          <w:cols w:equalWidth="0" w:num="1">
            <w:col w:w="11080"/>
          </w:cols>
          <w:pgMar w:left="320" w:top="113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34" w:right="499" w:bottom="1440" w:gutter="0" w:footer="0" w:header="0"/>
          <w:type w:val="continuous"/>
        </w:sectPr>
      </w:pPr>
    </w:p>
    <w:bookmarkStart w:id="16" w:name="page17"/>
    <w:bookmarkEnd w:id="16"/>
    <w:p>
      <w:pPr>
        <w:ind w:left="660"/>
        <w:spacing w:after="0"/>
        <w:rPr>
          <w:sz w:val="20"/>
          <w:szCs w:val="20"/>
          <w:color w:val="auto"/>
        </w:rPr>
      </w:pPr>
      <w:r>
        <w:rPr>
          <w:rFonts w:ascii="Arial" w:cs="Arial" w:eastAsia="Arial" w:hAnsi="Arial"/>
          <w:sz w:val="16"/>
          <w:szCs w:val="16"/>
          <w:color w:val="auto"/>
        </w:rPr>
        <w:t>Supplemental cash flow information related to the Company's operating leases was as follows:</w:t>
      </w:r>
    </w:p>
    <w:p>
      <w:pPr>
        <w:sectPr>
          <w:pgSz w:w="11900" w:h="16838" w:orient="portrait"/>
          <w:cols w:equalWidth="0" w:num="1">
            <w:col w:w="11240"/>
          </w:cols>
          <w:pgMar w:left="320" w:top="895" w:right="339" w:bottom="1440" w:gutter="0" w:footer="0" w:header="0"/>
        </w:sectPr>
      </w:pPr>
    </w:p>
    <w:p>
      <w:pPr>
        <w:spacing w:after="0" w:line="307" w:lineRule="exact"/>
        <w:rPr>
          <w:sz w:val="20"/>
          <w:szCs w:val="20"/>
          <w:color w:val="auto"/>
        </w:rPr>
      </w:pPr>
    </w:p>
    <w:p>
      <w:pPr>
        <w:jc w:val="center"/>
        <w:ind w:left="7360"/>
        <w:spacing w:after="0"/>
        <w:rPr>
          <w:sz w:val="20"/>
          <w:szCs w:val="20"/>
          <w:color w:val="auto"/>
        </w:rPr>
      </w:pPr>
      <w:r>
        <w:rPr>
          <w:rFonts w:ascii="Arial" w:cs="Arial" w:eastAsia="Arial" w:hAnsi="Arial"/>
          <w:sz w:val="13"/>
          <w:szCs w:val="13"/>
          <w:b w:val="1"/>
          <w:bCs w:val="1"/>
          <w:color w:val="auto"/>
        </w:rPr>
        <w:t>Three Months Ended</w:t>
      </w:r>
    </w:p>
    <w:p>
      <w:pPr>
        <w:spacing w:after="0" w:line="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13335</wp:posOffset>
            </wp:positionV>
            <wp:extent cx="22459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820"/>
        <w:spacing w:after="0"/>
        <w:rPr>
          <w:sz w:val="20"/>
          <w:szCs w:val="20"/>
          <w:color w:val="auto"/>
        </w:rPr>
      </w:pPr>
      <w:r>
        <w:rPr>
          <w:rFonts w:ascii="Arial" w:cs="Arial" w:eastAsia="Arial" w:hAnsi="Arial"/>
          <w:sz w:val="13"/>
          <w:szCs w:val="13"/>
          <w:b w:val="1"/>
          <w:bCs w:val="1"/>
          <w:color w:val="auto"/>
        </w:rPr>
        <w:t>Three Months Ended</w:t>
      </w:r>
    </w:p>
    <w:p>
      <w:pPr>
        <w:spacing w:after="0" w:line="2" w:lineRule="exact"/>
        <w:rPr>
          <w:sz w:val="20"/>
          <w:szCs w:val="20"/>
          <w:color w:val="auto"/>
        </w:rPr>
      </w:pPr>
    </w:p>
    <w:p>
      <w:pPr>
        <w:jc w:val="center"/>
        <w:ind w:right="820"/>
        <w:spacing w:after="0"/>
        <w:rPr>
          <w:sz w:val="20"/>
          <w:szCs w:val="20"/>
          <w:color w:val="auto"/>
        </w:rPr>
      </w:pPr>
      <w:r>
        <w:rPr>
          <w:rFonts w:ascii="Arial" w:cs="Arial" w:eastAsia="Arial" w:hAnsi="Arial"/>
          <w:sz w:val="14"/>
          <w:szCs w:val="14"/>
          <w:b w:val="1"/>
          <w:bCs w:val="1"/>
          <w:color w:val="auto"/>
        </w:rPr>
        <w:t>March 31, 2020</w:t>
      </w:r>
    </w:p>
    <w:p>
      <w:pPr>
        <w:spacing w:after="0" w:line="26" w:lineRule="exact"/>
        <w:rPr>
          <w:sz w:val="20"/>
          <w:szCs w:val="20"/>
          <w:color w:val="auto"/>
        </w:rPr>
      </w:pPr>
    </w:p>
    <w:p>
      <w:pPr>
        <w:sectPr>
          <w:pgSz w:w="11900" w:h="16838" w:orient="portrait"/>
          <w:cols w:equalWidth="0" w:num="2">
            <w:col w:w="8660" w:space="460"/>
            <w:col w:w="2120"/>
          </w:cols>
          <w:pgMar w:left="320" w:top="895" w:right="339" w:bottom="1440" w:gutter="0" w:footer="0" w:header="0"/>
          <w:type w:val="continuous"/>
        </w:sectPr>
      </w:pPr>
    </w:p>
    <w:p>
      <w:pPr>
        <w:ind w:left="846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leases liabilities:</w:t>
            </w:r>
          </w:p>
        </w:tc>
        <w:tc>
          <w:tcPr>
            <w:tcW w:w="1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88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3"/>
                <w:szCs w:val="23"/>
                <w:color w:val="auto"/>
                <w:vertAlign w:val="superscript"/>
              </w:rPr>
              <w:t>(1) (2)</w:t>
            </w:r>
          </w:p>
        </w:tc>
        <w:tc>
          <w:tcPr>
            <w:tcW w:w="14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404</w:t>
            </w: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56"/>
        </w:trPr>
        <w:tc>
          <w:tcPr>
            <w:tcW w:w="58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1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4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bl>
    <w:p>
      <w:pPr>
        <w:spacing w:after="0" w:line="337" w:lineRule="exact"/>
        <w:rPr>
          <w:sz w:val="20"/>
          <w:szCs w:val="20"/>
          <w:color w:val="auto"/>
        </w:rPr>
      </w:pPr>
    </w:p>
    <w:p>
      <w:pPr>
        <w:ind w:firstLine="656"/>
        <w:spacing w:after="0" w:line="282" w:lineRule="auto"/>
        <w:tabs>
          <w:tab w:leader="none" w:pos="813" w:val="left"/>
        </w:tabs>
        <w:numPr>
          <w:ilvl w:val="1"/>
          <w:numId w:val="13"/>
        </w:numPr>
        <w:rPr>
          <w:rFonts w:ascii="Arial" w:cs="Arial" w:eastAsia="Arial" w:hAnsi="Arial"/>
          <w:sz w:val="19"/>
          <w:szCs w:val="19"/>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ind w:right="620" w:firstLine="656"/>
        <w:spacing w:after="0" w:line="248" w:lineRule="auto"/>
        <w:tabs>
          <w:tab w:leader="none" w:pos="829" w:val="left"/>
        </w:tabs>
        <w:numPr>
          <w:ilvl w:val="1"/>
          <w:numId w:val="13"/>
        </w:numPr>
        <w:rPr>
          <w:rFonts w:ascii="Arial" w:cs="Arial" w:eastAsia="Arial" w:hAnsi="Arial"/>
          <w:sz w:val="21"/>
          <w:szCs w:val="21"/>
          <w:color w:val="auto"/>
          <w:vertAlign w:val="superscript"/>
        </w:rPr>
      </w:pPr>
      <w:r>
        <w:rPr>
          <w:rFonts w:ascii="Arial" w:cs="Arial" w:eastAsia="Arial" w:hAnsi="Arial"/>
          <w:sz w:val="16"/>
          <w:szCs w:val="16"/>
          <w:color w:val="auto"/>
        </w:rPr>
        <w:t>In addition, there is $36 thousand related to assets held for sale and other liabilities for operating cash flows from cash paid for amounts included in the measurement of lease liabilities for the three months ended March 31, 2021.</w:t>
      </w:r>
    </w:p>
    <w:p>
      <w:pPr>
        <w:spacing w:after="0" w:line="217" w:lineRule="exact"/>
        <w:rPr>
          <w:rFonts w:ascii="Arial" w:cs="Arial" w:eastAsia="Arial" w:hAnsi="Arial"/>
          <w:sz w:val="21"/>
          <w:szCs w:val="21"/>
          <w:color w:val="auto"/>
          <w:vertAlign w:val="superscript"/>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18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183"/>
        </w:trPr>
        <w:tc>
          <w:tcPr>
            <w:tcW w:w="180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5"/>
          </w:tcPr>
          <w:p>
            <w:pPr>
              <w:jc w:val="right"/>
              <w:ind w:right="952"/>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$1,175 million revolver</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Unsecured term loan A-2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424,019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424,019</w:t>
            </w: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$400 million 3.35% senior unsecured notes due September 2024</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$850 million 5.25% senior unsecured notes due June 2025</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975,000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975,000</w:t>
            </w: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$500 million 5.75% senior unsecured notes due June 2028</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$750 million 5.30% senior unsecured notes due January 2029</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$700 million 4.00% senior unsecured notes due January 2030</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$700 million 4.00%senior unsecured notes due January 2031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700,000</w:t>
            </w: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liability</w:t>
            </w:r>
          </w:p>
        </w:tc>
        <w:tc>
          <w:tcPr>
            <w:tcW w:w="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2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5,799,846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5,799,879</w:t>
            </w: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bond premiums and original issuance discounts</w:t>
            </w:r>
          </w:p>
        </w:tc>
        <w:tc>
          <w:tcPr>
            <w:tcW w:w="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(45,190)</w:t>
            </w: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8"/>
                <w:szCs w:val="18"/>
                <w:color w:val="auto"/>
                <w:w w:val="93"/>
              </w:rPr>
              <w:t>Total long-term debt, net of unamortized debt issuance costs, bond premiums and original issuance discounts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5,757,125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5,754,689</w:t>
            </w:r>
          </w:p>
        </w:tc>
      </w:tr>
      <w:tr>
        <w:trPr>
          <w:trHeight w:val="20"/>
        </w:trPr>
        <w:tc>
          <w:tcPr>
            <w:tcW w:w="18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61"/>
        </w:trPr>
        <w:tc>
          <w:tcPr>
            <w:tcW w:w="9780" w:type="dxa"/>
            <w:vAlign w:val="bottom"/>
            <w:gridSpan w:val="7"/>
          </w:tcPr>
          <w:p>
            <w:pPr>
              <w:ind w:left="640"/>
              <w:spacing w:after="0"/>
              <w:rPr>
                <w:sz w:val="20"/>
                <w:szCs w:val="20"/>
                <w:color w:val="auto"/>
              </w:rPr>
            </w:pPr>
            <w:r>
              <w:rPr>
                <w:rFonts w:ascii="Arial" w:cs="Arial" w:eastAsia="Arial" w:hAnsi="Arial"/>
                <w:sz w:val="18"/>
                <w:szCs w:val="18"/>
                <w:color w:val="auto"/>
              </w:rPr>
              <w:t>The following is a schedule of future minimum repayments of long-term debt as of March 31, 2021 (in thousands):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18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180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2-3 years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924,313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4-5 years</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5 years</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3,625,072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180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5,799,846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0"/>
        </w:trPr>
        <w:tc>
          <w:tcPr>
            <w:tcW w:w="180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56"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7" w:name="page18"/>
    <w:bookmarkEnd w:id="17"/>
    <w:p>
      <w:pPr>
        <w:ind w:right="140" w:firstLine="648"/>
        <w:spacing w:after="0" w:line="270" w:lineRule="auto"/>
        <w:rPr>
          <w:sz w:val="20"/>
          <w:szCs w:val="20"/>
          <w:color w:val="auto"/>
        </w:rPr>
      </w:pPr>
      <w:r>
        <w:rPr>
          <w:rFonts w:ascii="Arial" w:cs="Arial" w:eastAsia="Arial" w:hAnsi="Arial"/>
          <w:sz w:val="17"/>
          <w:szCs w:val="17"/>
          <w:color w:val="auto"/>
        </w:rPr>
        <w:t>The Company fully drew down on its Revolver in the first quarter of 2020 to increase its liquidity position and repay certain senior unsecured notes.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also closed on an offering of $500 million of 4.00% unsecured senior notes due in January 2031 at an issue price equal to 98.827% of the principal amount. The Company utilized the proceeds from these two financings along with cash on hand to repay all outstanding obligations under its Revolver. On August 18, 2020, the Company borrowed an additional $200 million of 4.00% unsecured senior notes due in January 2031 at an issue price equal to 103.824% of the principal amount. The Company utilized the net proceeds from this additional borrowing to repay indebtedness under the Term Loan A-1 facility.</w:t>
      </w:r>
    </w:p>
    <w:p>
      <w:pPr>
        <w:spacing w:after="0" w:line="208"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At March 31, 2021, the Amended Credit Facility had a gross outstanding balance of $424.0 million, consisting of the Term Loan A-2 facility. Additionally, at March 31, 2021, the Company was contingently obligated under letters of credit issued pursuant to the Amended Credit Facility with face amounts aggregating approximately $0.4 million, resulting in $1,174.6 million available borrowing capacity under the Revolver as of March 31, 2021.</w:t>
      </w:r>
    </w:p>
    <w:p>
      <w:pPr>
        <w:spacing w:after="0" w:line="17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Credit Facility. At March 31, 2021,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Credit Facility. At March 31, 2021, the commitment fee rate was 0.25%. The Company is not required to repay any loans under the Credit Facility prior to maturity and may prepay all or any portion of the loans under the Credit Facility prior to maturity without premium or penalty, subject to reimbursement of any LIBOR breakage costs of the lenders. The Company's wholly owned subsidiary, GLP Capital, is the primary obligor under the Credit Facility, which is guaranteed by GLPI.</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March 31, 2021, the Company was in compliance with all required financial covenants under the Amended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The Company recorded a loss on the early extinguishment of debt related to the redemption of $17.3 million, primarily for call premium charges and debt issuance write-offs.</w:t>
      </w:r>
    </w:p>
    <w:p>
      <w:pPr>
        <w:spacing w:after="0" w:line="214"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At March 31, 2021, the Company had $5,375.0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2021, the Company was in compliance with all required financial covenants under its Senior Notes.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Fair Value of Financial Assets and Liabilities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1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52"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25" w:lineRule="exact"/>
        <w:rPr>
          <w:sz w:val="20"/>
          <w:szCs w:val="20"/>
          <w:color w:val="auto"/>
        </w:rPr>
      </w:pPr>
    </w:p>
    <w:p>
      <w:pPr>
        <w:ind w:right="400" w:firstLine="177"/>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methods and assumptions are used to estimate the fair value of each class of financial instruments for which it is practicable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fair value of the Senior Notes are estimated based on quoted prices in active markets and as such is a Level 1 measurement as defined under ASC 820. The fair value of the obligations in our Amended Credit Facility is based on indicative pricing from market information (Level 2 inputs).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Borders>
              <w:bottom w:val="single" w:sz="8" w:color="auto"/>
            </w:tcBorders>
          </w:tcPr>
          <w:p>
            <w:pPr>
              <w:spacing w:after="0"/>
              <w:rPr>
                <w:sz w:val="16"/>
                <w:szCs w:val="16"/>
                <w:color w:val="auto"/>
              </w:rPr>
            </w:pPr>
          </w:p>
        </w:tc>
      </w:tr>
      <w:tr>
        <w:trPr>
          <w:trHeight w:val="134"/>
        </w:trPr>
        <w:tc>
          <w:tcPr>
            <w:tcW w:w="5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1"/>
                <w:szCs w:val="11"/>
                <w:color w:val="auto"/>
              </w:rPr>
            </w:pPr>
          </w:p>
        </w:tc>
        <w:tc>
          <w:tcPr>
            <w:tcW w:w="960" w:type="dxa"/>
            <w:vAlign w:val="bottom"/>
          </w:tcPr>
          <w:p>
            <w:pPr>
              <w:jc w:val="center"/>
              <w:ind w:right="416"/>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1"/>
                <w:szCs w:val="11"/>
                <w:color w:val="auto"/>
              </w:rPr>
            </w:pPr>
          </w:p>
        </w:tc>
        <w:tc>
          <w:tcPr>
            <w:tcW w:w="900" w:type="dxa"/>
            <w:vAlign w:val="bottom"/>
          </w:tcPr>
          <w:p>
            <w:pPr>
              <w:jc w:val="right"/>
              <w:ind w:right="516"/>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500" w:type="dxa"/>
            <w:vAlign w:val="bottom"/>
          </w:tcPr>
          <w:p>
            <w:pPr>
              <w:spacing w:after="0"/>
              <w:rPr>
                <w:sz w:val="16"/>
                <w:szCs w:val="16"/>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900" w:type="dxa"/>
            <w:vAlign w:val="bottom"/>
          </w:tcPr>
          <w:p>
            <w:pPr>
              <w:jc w:val="right"/>
              <w:ind w:right="456"/>
              <w:spacing w:after="0"/>
              <w:rPr>
                <w:sz w:val="20"/>
                <w:szCs w:val="20"/>
                <w:color w:val="auto"/>
              </w:rPr>
            </w:pPr>
            <w:r>
              <w:rPr>
                <w:rFonts w:ascii="Arial" w:cs="Arial" w:eastAsia="Arial" w:hAnsi="Arial"/>
                <w:sz w:val="14"/>
                <w:szCs w:val="14"/>
                <w:b w:val="1"/>
                <w:bCs w:val="1"/>
                <w:color w:val="auto"/>
                <w:w w:val="90"/>
              </w:rPr>
              <w:t>Value</w:t>
            </w:r>
          </w:p>
        </w:tc>
      </w:tr>
      <w:tr>
        <w:trPr>
          <w:trHeight w:val="211"/>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520,740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520,740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486,451</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486,451</w:t>
            </w: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35,514</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Amended Credit Facility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424,019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424,019</w:t>
            </w: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Notes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6,026,840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9" w:name="page20"/>
    <w:bookmarkEnd w:id="19"/>
    <w:p>
      <w:pPr>
        <w:ind w:left="820" w:hanging="164"/>
        <w:spacing w:after="0"/>
        <w:tabs>
          <w:tab w:leader="none" w:pos="82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In addition, there is $30.6 million at March 31, 2021 and $22.1 million at December 31, 2020 in cash and cash equivalents in assets held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assets or liabilities measured at fair value on a nonrecurring basis during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895" w:right="679" w:bottom="1440" w:gutter="0" w:footer="0" w:header="0"/>
        </w:sectPr>
      </w:pPr>
    </w:p>
    <w:bookmarkStart w:id="20" w:name="page21"/>
    <w:bookmarkEnd w:id="20"/>
    <w:p>
      <w:pPr>
        <w:ind w:right="8240" w:firstLine="8"/>
        <w:spacing w:after="0" w:line="518" w:lineRule="auto"/>
        <w:tabs>
          <w:tab w:leader="none" w:pos="44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Recognition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March 31, 2021,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Amended and Restated Caesars Master Lease and 3 of the Company's real estate investment properties were leased to a subsidiary of Boyd under the Boyd Master Lease. Additionally, the Meadows real estate assets are leased to Penn pursuant to the Meadows Lease, the land under a Penn development facility is subject to the Morgantown Lease and the Casino Queen real estate assets are leased back to the operator under the Casino Queen Lease. Finally, the Company has single property triple net leases with Caesars under the Lumière Place Lease and Boyd under the Belterra Park Lease.</w:t>
      </w:r>
    </w:p>
    <w:p>
      <w:pPr>
        <w:spacing w:after="0" w:line="20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obligations under the Penn Master Lease and Amended Pinnacle Master Lease, as well as the Meadows Lease and Morgantown Lease are guaranteed by Penn and, with respect to each lease, jointly and severally by Penn's subsidiaries that occupy and operate the facilities covered by such lease. Similarly, the obligations under the Amended and Restated Caesars Master Lease are jointly and severally guaranteed by Caesars and by most of Caesars subsidiaries that occupy and operate the leased facilities. The obligations under the Boyd Master Lease are jointly and severally guaranteed by Boyd's subsidiaries that occupy and operate the facilities leased under the Boyd Master Lease.</w:t>
      </w:r>
    </w:p>
    <w:p>
      <w:pPr>
        <w:spacing w:after="0" w:line="10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which equals $22.9 million annually due to Penn's acquisition of a competing facility, Greektown Casino-Hotel in Detroit, Michigan.</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in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addition, the guaranteed fixed escalations in the new initial lease term will be recognized on a straight line basis.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18, 2020, following the receipt of required regulatory approvals, the Company and Caesars completed the Exchange Agreement with subsidiaries of Caesars in which Caesars transferred to the Company the real estate assets of Waterloo and Bettendorf in exchange for the transfer by the Company to Caesars of the real property assets of Tropicana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Evansville, plus a cash payment of $5.7 million. The Waterloo and Bettendorf facilities were added to the Amended and Restated Caesars Master Lease and the rent was increased by $520,000 annually. This Exchange Transaction resulted in a reconsideration of the Amended and Restated Caesars Master Lease which resulted in the continuation of operating lease treatment for accounting classification purposes.</w:t>
      </w:r>
    </w:p>
    <w:p>
      <w:pPr>
        <w:spacing w:after="0" w:line="211"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2020, the Company acquired the real estate of Belterra Park in satisfaction of the Belterra Park Loan, subject to the Belterra Park Lease</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29, 2020, the Company acquired the real estate of Lumière Place in satisfaction of the CZR loan, subject to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19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21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Morgantown Lease became effective on October 1, 2020 whereby the Company is leasing the land under Penn's gaming facility under construction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20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19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Penn's Hollywood Casino Toledo property, as a result of Penn's purchase of the operations of the Greektown Casino-Hotel in Detroit, Michigan and a floor on the Amended Pinnacle Master Lease was triggered on the Bossier City Boomtown property due to Penn's acquisition of Margaritaville Resort Casino.</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80" w:firstLine="8"/>
        <w:spacing w:after="0" w:line="255"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right="80" w:firstLine="648"/>
        <w:spacing w:after="0" w:line="288" w:lineRule="auto"/>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 could continue as a going concern without the property(ies) that are leased to them under the Penn Master Lease and the Casino Queen Master Lease.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the Company concluded that the term of the Penn Master Lease and the Casino Queen Lease is 35 years, equal to the initial 15-year term plus all four of the 5-year renewal options.</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was 10 years, equal to the initial 10-year term only.</w:t>
      </w:r>
    </w:p>
    <w:p>
      <w:pPr>
        <w:spacing w:after="0" w:line="20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Because the Meadows Lease was a single property lease operated by a large multi-property operator, GLPI concluded it was not reasonably assured at lease inception that the operator would elect to exercise any lease renewal options. Therefore, the Company concluded that the lease term of the Meadows Lease was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or Boyd would elect to exercise all lease renewal options under the Caesars Master Lease and the Boyd Master Lease as the earnings from these properties did not represent a meaningful portion of either tenant's business at lease inception; therefore the Company concluded that the lease term of the Amended and Restated Caesars Master Lease was its remaining initial lease term which was extended by 5 years when the Amended and Restated Caesars Master Lease became effective on July 23, 2020. The lease term of the Boyd Master Lease is 10 years, equal to the initial term of such master lease.</w:t>
      </w:r>
    </w:p>
    <w:p>
      <w:pPr>
        <w:spacing w:after="0" w:line="20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Belterra Park Lease, Morgantown Lease and Lumière Park Lease are single property leases operated by large-multi-property operators and as such the Company concluded it was not reasonably assured at lease inception that the operator would elect to exercise any renewal options. Accordingly, the lease term of these leases is equal to their initial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color w:val="auto"/>
        </w:rPr>
        <w:t>Details of the Company's rental income for the three months ended March 31, 2021 was as follows (in thousands):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 xml:space="preserve">Building base rent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-163195</wp:posOffset>
            </wp:positionV>
            <wp:extent cx="38404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40480" cy="154305"/>
                    </a:xfrm>
                    <a:prstGeom prst="rect">
                      <a:avLst/>
                    </a:prstGeom>
                    <a:noFill/>
                  </pic:spPr>
                </pic:pic>
              </a:graphicData>
            </a:graphic>
          </wp:anchor>
        </w:drawing>
      </w:r>
    </w:p>
    <w:p>
      <w:pPr>
        <w:ind w:left="2620"/>
        <w:spacing w:after="0"/>
        <w:rPr>
          <w:sz w:val="20"/>
          <w:szCs w:val="20"/>
          <w:color w:val="auto"/>
        </w:rPr>
      </w:pPr>
      <w:r>
        <w:rPr>
          <w:rFonts w:ascii="Arial" w:cs="Arial" w:eastAsia="Arial" w:hAnsi="Arial"/>
          <w:sz w:val="18"/>
          <w:szCs w:val="18"/>
          <w:color w:val="auto"/>
        </w:rPr>
        <w:t>Land base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4445</wp:posOffset>
            </wp:positionV>
            <wp:extent cx="38404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40480" cy="145415"/>
                    </a:xfrm>
                    <a:prstGeom prst="rect">
                      <a:avLst/>
                    </a:prstGeom>
                    <a:noFill/>
                  </pic:spPr>
                </pic:pic>
              </a:graphicData>
            </a:graphic>
          </wp:anchor>
        </w:drawing>
      </w:r>
    </w:p>
    <w:p>
      <w:pPr>
        <w:ind w:left="2620"/>
        <w:spacing w:after="0"/>
        <w:rPr>
          <w:sz w:val="20"/>
          <w:szCs w:val="20"/>
          <w:color w:val="auto"/>
        </w:rPr>
      </w:pPr>
      <w:r>
        <w:rPr>
          <w:rFonts w:ascii="Arial" w:cs="Arial" w:eastAsia="Arial" w:hAnsi="Arial"/>
          <w:sz w:val="18"/>
          <w:szCs w:val="18"/>
          <w:color w:val="auto"/>
        </w:rPr>
        <w:t>Percentage rent</w:t>
      </w:r>
    </w:p>
    <w:p>
      <w:pPr>
        <w:spacing w:after="0" w:line="3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Total cash rental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38404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40480" cy="145415"/>
                    </a:xfrm>
                    <a:prstGeom prst="rect">
                      <a:avLst/>
                    </a:prstGeom>
                    <a:noFill/>
                  </pic:spPr>
                </pic:pic>
              </a:graphicData>
            </a:graphic>
          </wp:anchor>
        </w:drawing>
      </w:r>
    </w:p>
    <w:p>
      <w:pPr>
        <w:spacing w:after="0" w:line="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Straight-line rent adjustments</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Ground rent in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14605</wp:posOffset>
            </wp:positionV>
            <wp:extent cx="384048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40480" cy="146050"/>
                    </a:xfrm>
                    <a:prstGeom prst="rect">
                      <a:avLst/>
                    </a:prstGeom>
                    <a:noFill/>
                  </pic:spPr>
                </pic:pic>
              </a:graphicData>
            </a:graphic>
          </wp:anchor>
        </w:drawing>
      </w:r>
    </w:p>
    <w:p>
      <w:pPr>
        <w:spacing w:after="0" w:line="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Other rental revenue</w:t>
      </w:r>
    </w:p>
    <w:p>
      <w:pPr>
        <w:spacing w:after="0" w:line="58"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Total rental income</w:t>
      </w:r>
    </w:p>
    <w:p>
      <w:pPr>
        <w:spacing w:after="0" w:line="380"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Building base rent is subject to the annual rent escalators described above.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700"/>
        <w:spacing w:after="0"/>
        <w:rPr>
          <w:sz w:val="20"/>
          <w:szCs w:val="20"/>
          <w:color w:val="auto"/>
        </w:rPr>
      </w:pPr>
      <w:r>
        <w:rPr>
          <w:rFonts w:ascii="Arial" w:cs="Arial" w:eastAsia="Arial" w:hAnsi="Arial"/>
          <w:sz w:val="13"/>
          <w:szCs w:val="13"/>
          <w:b w:val="1"/>
          <w:bCs w:val="1"/>
          <w:color w:val="auto"/>
        </w:rPr>
        <w:t>Three Months Ended March</w:t>
      </w:r>
    </w:p>
    <w:p>
      <w:pPr>
        <w:spacing w:after="0" w:line="2" w:lineRule="exact"/>
        <w:rPr>
          <w:sz w:val="20"/>
          <w:szCs w:val="20"/>
          <w:color w:val="auto"/>
        </w:rPr>
      </w:pPr>
    </w:p>
    <w:p>
      <w:pPr>
        <w:jc w:val="center"/>
        <w:ind w:right="2700"/>
        <w:spacing w:after="0"/>
        <w:rPr>
          <w:sz w:val="20"/>
          <w:szCs w:val="20"/>
          <w:color w:val="auto"/>
        </w:rPr>
      </w:pPr>
      <w:r>
        <w:rPr>
          <w:rFonts w:ascii="Arial" w:cs="Arial" w:eastAsia="Arial" w:hAnsi="Arial"/>
          <w:sz w:val="14"/>
          <w:szCs w:val="14"/>
          <w:b w:val="1"/>
          <w:bCs w:val="1"/>
          <w:color w:val="auto"/>
        </w:rPr>
        <w:t>31, 2021</w:t>
      </w:r>
    </w:p>
    <w:p>
      <w:pPr>
        <w:spacing w:after="0" w:line="34" w:lineRule="exact"/>
        <w:rPr>
          <w:sz w:val="20"/>
          <w:szCs w:val="20"/>
          <w:color w:val="auto"/>
        </w:rPr>
      </w:pPr>
    </w:p>
    <w:p>
      <w:pPr>
        <w:ind w:left="1120" w:hanging="1111"/>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172,449</w:t>
      </w:r>
    </w:p>
    <w:p>
      <w:pPr>
        <w:spacing w:after="0" w:line="34" w:lineRule="exact"/>
        <w:rPr>
          <w:rFonts w:ascii="Arial" w:cs="Arial" w:eastAsia="Arial" w:hAnsi="Arial"/>
          <w:sz w:val="17"/>
          <w:szCs w:val="17"/>
          <w:color w:val="auto"/>
        </w:rPr>
      </w:pPr>
    </w:p>
    <w:p>
      <w:pPr>
        <w:ind w:left="1220"/>
        <w:spacing w:after="0"/>
        <w:rPr>
          <w:rFonts w:ascii="Arial" w:cs="Arial" w:eastAsia="Arial" w:hAnsi="Arial"/>
          <w:sz w:val="17"/>
          <w:szCs w:val="17"/>
          <w:color w:val="auto"/>
        </w:rPr>
      </w:pPr>
      <w:r>
        <w:rPr>
          <w:rFonts w:ascii="Arial" w:cs="Arial" w:eastAsia="Arial" w:hAnsi="Arial"/>
          <w:sz w:val="17"/>
          <w:szCs w:val="17"/>
          <w:color w:val="auto"/>
        </w:rPr>
        <w:t>51,408</w:t>
      </w:r>
    </w:p>
    <w:p>
      <w:pPr>
        <w:spacing w:after="0" w:line="34" w:lineRule="exact"/>
        <w:rPr>
          <w:rFonts w:ascii="Arial" w:cs="Arial" w:eastAsia="Arial" w:hAnsi="Arial"/>
          <w:sz w:val="17"/>
          <w:szCs w:val="17"/>
          <w:color w:val="auto"/>
        </w:rPr>
      </w:pPr>
    </w:p>
    <w:p>
      <w:pPr>
        <w:ind w:left="1220"/>
        <w:spacing w:after="0"/>
        <w:rPr>
          <w:rFonts w:ascii="Arial" w:cs="Arial" w:eastAsia="Arial" w:hAnsi="Arial"/>
          <w:sz w:val="17"/>
          <w:szCs w:val="17"/>
          <w:color w:val="auto"/>
        </w:rPr>
      </w:pPr>
      <w:r>
        <w:rPr>
          <w:rFonts w:ascii="Arial" w:cs="Arial" w:eastAsia="Arial" w:hAnsi="Arial"/>
          <w:sz w:val="17"/>
          <w:szCs w:val="17"/>
          <w:color w:val="auto"/>
        </w:rPr>
        <w:t>35,996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1398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7" w:lineRule="exact"/>
        <w:rPr>
          <w:sz w:val="20"/>
          <w:szCs w:val="20"/>
          <w:color w:val="auto"/>
        </w:rPr>
      </w:pPr>
    </w:p>
    <w:p>
      <w:pPr>
        <w:ind w:left="1120" w:hanging="1111"/>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259,853</w:t>
      </w:r>
    </w:p>
    <w:p>
      <w:pPr>
        <w:spacing w:after="0" w:line="34"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828</w:t>
      </w:r>
    </w:p>
    <w:p>
      <w:pPr>
        <w:spacing w:after="0" w:line="23" w:lineRule="exact"/>
        <w:rPr>
          <w:sz w:val="20"/>
          <w:szCs w:val="20"/>
          <w:color w:val="auto"/>
        </w:rPr>
      </w:pPr>
    </w:p>
    <w:p>
      <w:pPr>
        <w:jc w:val="right"/>
        <w:ind w:right="2760"/>
        <w:spacing w:after="0"/>
        <w:rPr>
          <w:sz w:val="20"/>
          <w:szCs w:val="20"/>
          <w:color w:val="auto"/>
        </w:rPr>
      </w:pPr>
      <w:r>
        <w:rPr>
          <w:rFonts w:ascii="Arial" w:cs="Arial" w:eastAsia="Arial" w:hAnsi="Arial"/>
          <w:sz w:val="18"/>
          <w:szCs w:val="18"/>
          <w:color w:val="auto"/>
        </w:rPr>
        <w:t>3,111</w:t>
      </w:r>
    </w:p>
    <w:p>
      <w:pPr>
        <w:spacing w:after="0" w:line="23" w:lineRule="exact"/>
        <w:rPr>
          <w:sz w:val="20"/>
          <w:szCs w:val="20"/>
          <w:color w:val="auto"/>
        </w:rPr>
      </w:pPr>
    </w:p>
    <w:p>
      <w:pPr>
        <w:jc w:val="right"/>
        <w:ind w:right="27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398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5" w:lineRule="exact"/>
        <w:rPr>
          <w:sz w:val="20"/>
          <w:szCs w:val="20"/>
          <w:color w:val="auto"/>
        </w:rPr>
      </w:pPr>
    </w:p>
    <w:p>
      <w:pPr>
        <w:ind w:left="1120" w:hanging="1111"/>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263,842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1398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11398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776" w:lineRule="exact"/>
        <w:rPr>
          <w:sz w:val="20"/>
          <w:szCs w:val="20"/>
          <w:color w:val="auto"/>
        </w:rPr>
      </w:pPr>
    </w:p>
    <w:p>
      <w:pPr>
        <w:sectPr>
          <w:pgSz w:w="11900" w:h="16838" w:orient="portrait"/>
          <w:cols w:equalWidth="0" w:num="2">
            <w:col w:w="6020" w:space="720"/>
            <w:col w:w="4480"/>
          </w:cols>
          <w:pgMar w:left="320" w:top="895" w:right="359" w:bottom="1440" w:gutter="0" w:footer="0" w:header="0"/>
          <w:type w:val="continuous"/>
        </w:sectPr>
      </w:pPr>
    </w:p>
    <w:p>
      <w:pPr>
        <w:ind w:firstLine="648"/>
        <w:spacing w:after="0" w:line="277" w:lineRule="auto"/>
        <w:rPr>
          <w:sz w:val="20"/>
          <w:szCs w:val="20"/>
          <w:color w:val="auto"/>
        </w:rPr>
      </w:pPr>
      <w:r>
        <w:rPr>
          <w:rFonts w:ascii="Arial" w:cs="Arial" w:eastAsia="Arial" w:hAnsi="Arial"/>
          <w:sz w:val="18"/>
          <w:szCs w:val="18"/>
          <w:color w:val="auto"/>
        </w:rPr>
        <w:t>As of March 31, 2021, the future minimum rental income from the Company's rental properties under non-cancelable operating leases, including any reasonably assured renewal periods, was as follows (in thousands):</w:t>
      </w:r>
    </w:p>
    <w:p>
      <w:pPr>
        <w:spacing w:after="0" w:line="200" w:lineRule="exact"/>
        <w:rPr>
          <w:sz w:val="20"/>
          <w:szCs w:val="20"/>
          <w:color w:val="auto"/>
        </w:rPr>
      </w:pPr>
    </w:p>
    <w:p>
      <w:pPr>
        <w:spacing w:after="0" w:line="256"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Future Rental</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Straight-Line Rent</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Future Base</w:t>
            </w:r>
          </w:p>
        </w:tc>
        <w:tc>
          <w:tcPr>
            <w:tcW w:w="100" w:type="dxa"/>
            <w:vAlign w:val="bottom"/>
          </w:tcPr>
          <w:p>
            <w:pPr>
              <w:spacing w:after="0"/>
              <w:rPr>
                <w:sz w:val="14"/>
                <w:szCs w:val="14"/>
                <w:color w:val="auto"/>
              </w:rPr>
            </w:pPr>
          </w:p>
        </w:tc>
        <w:tc>
          <w:tcPr>
            <w:tcW w:w="140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Future Income to be</w:t>
            </w:r>
          </w:p>
        </w:tc>
        <w:tc>
          <w:tcPr>
            <w:tcW w:w="0" w:type="dxa"/>
            <w:vAlign w:val="bottom"/>
          </w:tcPr>
          <w:p>
            <w:pPr>
              <w:spacing w:after="0"/>
              <w:rPr>
                <w:sz w:val="1"/>
                <w:szCs w:val="1"/>
                <w:color w:val="auto"/>
              </w:rPr>
            </w:pPr>
          </w:p>
        </w:tc>
      </w:tr>
      <w:tr>
        <w:trPr>
          <w:trHeight w:val="135"/>
        </w:trPr>
        <w:tc>
          <w:tcPr>
            <w:tcW w:w="4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Payments</w:t>
            </w:r>
          </w:p>
        </w:tc>
        <w:tc>
          <w:tcPr>
            <w:tcW w:w="13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Ground Rents</w:t>
            </w:r>
          </w:p>
        </w:tc>
        <w:tc>
          <w:tcPr>
            <w:tcW w:w="1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Recognized Related to</w:t>
            </w:r>
          </w:p>
        </w:tc>
        <w:tc>
          <w:tcPr>
            <w:tcW w:w="0" w:type="dxa"/>
            <w:vAlign w:val="bottom"/>
          </w:tcPr>
          <w:p>
            <w:pPr>
              <w:spacing w:after="0"/>
              <w:rPr>
                <w:sz w:val="1"/>
                <w:szCs w:val="1"/>
                <w:color w:val="auto"/>
              </w:rPr>
            </w:pPr>
          </w:p>
        </w:tc>
      </w:tr>
      <w:tr>
        <w:trPr>
          <w:trHeight w:val="148"/>
        </w:trPr>
        <w:tc>
          <w:tcPr>
            <w:tcW w:w="4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2"/>
                <w:szCs w:val="12"/>
                <w:color w:val="auto"/>
              </w:rPr>
            </w:pPr>
          </w:p>
        </w:tc>
        <w:tc>
          <w:tcPr>
            <w:tcW w:w="14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771,272</w:t>
            </w:r>
          </w:p>
        </w:tc>
        <w:tc>
          <w:tcPr>
            <w:tcW w:w="0" w:type="dxa"/>
            <w:vAlign w:val="bottom"/>
          </w:tcPr>
          <w:p>
            <w:pPr>
              <w:spacing w:after="0"/>
              <w:rPr>
                <w:sz w:val="1"/>
                <w:szCs w:val="1"/>
                <w:color w:val="auto"/>
              </w:rPr>
            </w:pPr>
          </w:p>
        </w:tc>
      </w:tr>
      <w:tr>
        <w:trPr>
          <w:trHeight w:val="23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1,019,433</w:t>
            </w:r>
          </w:p>
        </w:tc>
        <w:tc>
          <w:tcPr>
            <w:tcW w:w="0" w:type="dxa"/>
            <w:vAlign w:val="bottom"/>
          </w:tcPr>
          <w:p>
            <w:pPr>
              <w:spacing w:after="0"/>
              <w:rPr>
                <w:sz w:val="1"/>
                <w:szCs w:val="1"/>
                <w:color w:val="auto"/>
              </w:rPr>
            </w:pP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1,002,733</w:t>
            </w:r>
          </w:p>
        </w:tc>
        <w:tc>
          <w:tcPr>
            <w:tcW w:w="0" w:type="dxa"/>
            <w:vAlign w:val="bottom"/>
          </w:tcPr>
          <w:p>
            <w:pPr>
              <w:spacing w:after="0"/>
              <w:rPr>
                <w:sz w:val="1"/>
                <w:szCs w:val="1"/>
                <w:color w:val="auto"/>
              </w:rPr>
            </w:pPr>
          </w:p>
        </w:tc>
      </w:tr>
      <w:tr>
        <w:trPr>
          <w:trHeight w:val="23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930,017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969,550</w:t>
            </w:r>
          </w:p>
        </w:tc>
        <w:tc>
          <w:tcPr>
            <w:tcW w:w="0" w:type="dxa"/>
            <w:vAlign w:val="bottom"/>
          </w:tcPr>
          <w:p>
            <w:pPr>
              <w:spacing w:after="0"/>
              <w:rPr>
                <w:sz w:val="1"/>
                <w:szCs w:val="1"/>
                <w:color w:val="auto"/>
              </w:rPr>
            </w:pP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969,791</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12,488,695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12,784,915</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17,061,899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17,517,694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w:t>
      </w:r>
    </w:p>
    <w:p>
      <w:pPr>
        <w:spacing w:after="0" w:line="11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During the three months ended March 31, 2020, the Company had interest income from real estate loans of $7.3 million.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Gaming, Food, Beverage and Other Revenues</w:t>
      </w:r>
    </w:p>
    <w:p>
      <w:pPr>
        <w:spacing w:after="0" w:line="1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Gaming revenue generated by the TRS Properties mainly consists of revenue from slot machines, and to a lesser extent, table game and poker revenue. Gaming revenue is recognized net of certain sales incentives, including promotional allowances in accordance with ASC 606 -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also defers a portion of the revenue received from customers (who participate in points-based loyalty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play until a later period when the points are redeemed or forfeited. Other revenues at our TRS Properties are derived from our dining, retail and certain other ancillary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Company calculates earnings per share ("EPS") in accordance with ASC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r>
        <w:rPr>
          <w:rFonts w:ascii="Arial" w:cs="Arial" w:eastAsia="Arial" w:hAnsi="Arial"/>
          <w:sz w:val="18"/>
          <w:szCs w:val="18"/>
          <w:i w:val="1"/>
          <w:iCs w:val="1"/>
          <w:color w:val="auto"/>
        </w:rPr>
        <w:t>)</w:t>
      </w:r>
      <w:r>
        <w:rPr>
          <w:rFonts w:ascii="Arial" w:cs="Arial" w:eastAsia="Arial" w:hAnsi="Arial"/>
          <w:sz w:val="18"/>
          <w:szCs w:val="18"/>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the Company includes all performance-based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24" w:name="page25"/>
    <w:bookmarkEnd w:id="24"/>
    <w:p>
      <w:pPr>
        <w:ind w:right="460"/>
        <w:spacing w:after="0" w:line="308" w:lineRule="auto"/>
        <w:rPr>
          <w:sz w:val="20"/>
          <w:szCs w:val="20"/>
          <w:color w:val="auto"/>
        </w:rPr>
      </w:pPr>
      <w:r>
        <w:rPr>
          <w:rFonts w:ascii="Arial" w:cs="Arial" w:eastAsia="Arial" w:hAnsi="Arial"/>
          <w:sz w:val="17"/>
          <w:szCs w:val="17"/>
          <w:color w:val="auto"/>
        </w:rPr>
        <w:t>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7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months ended March 31, 2021 and 2020:</w:t>
      </w:r>
    </w:p>
    <w:p>
      <w:pPr>
        <w:spacing w:after="0" w:line="178"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2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51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2060" w:type="dxa"/>
            <w:vAlign w:val="bottom"/>
            <w:gridSpan w:val="3"/>
          </w:tcPr>
          <w:p>
            <w:pPr>
              <w:ind w:left="1120"/>
              <w:spacing w:after="0"/>
              <w:rPr>
                <w:sz w:val="20"/>
                <w:szCs w:val="20"/>
                <w:color w:val="auto"/>
              </w:rPr>
            </w:pPr>
            <w:r>
              <w:rPr>
                <w:rFonts w:ascii="Arial" w:cs="Arial" w:eastAsia="Arial" w:hAnsi="Arial"/>
                <w:sz w:val="14"/>
                <w:szCs w:val="14"/>
                <w:b w:val="1"/>
                <w:bCs w:val="1"/>
                <w:color w:val="auto"/>
                <w:w w:val="95"/>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Determination of shares:</w:t>
            </w: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232,775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215,090</w:t>
            </w:r>
          </w:p>
        </w:tc>
        <w:tc>
          <w:tcPr>
            <w:tcW w:w="10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conversion of restricted stock awards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Assumed conversion of performance-based restricted stock awards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The following table presents the calculation of basic and diluted EPS for the Company’s common stock for the three months ended March 31, 2021 and 2020:</w:t>
      </w:r>
    </w:p>
    <w:p>
      <w:pPr>
        <w:spacing w:after="0" w:line="202"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1"/>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Calculation of basic EPS: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127,184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127,027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Basic EPS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Calculation of diluted EPS: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1"/>
              </w:rPr>
              <w:t>Antidilutive securities excluded from the computation of diluted</w:t>
            </w: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9120" w:firstLine="8"/>
        <w:spacing w:after="0" w:line="534" w:lineRule="auto"/>
        <w:tabs>
          <w:tab w:leader="none" w:pos="44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August 14, 2019, the Company commenced a continuous equity offering under which the Company may sell up to an aggregate of $600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5" w:name="page26"/>
    <w:bookmarkEnd w:id="25"/>
    <w:p>
      <w:pPr>
        <w:ind w:right="200"/>
        <w:spacing w:after="0" w:line="277" w:lineRule="auto"/>
        <w:rPr>
          <w:sz w:val="20"/>
          <w:szCs w:val="20"/>
          <w:color w:val="auto"/>
        </w:rPr>
      </w:pPr>
      <w:r>
        <w:rPr>
          <w:rFonts w:ascii="Arial" w:cs="Arial" w:eastAsia="Arial" w:hAnsi="Arial"/>
          <w:sz w:val="18"/>
          <w:szCs w:val="18"/>
          <w:color w:val="auto"/>
        </w:rPr>
        <w:t>Company may also elect to cash settle or net share settle a particular forward sale agreement, in which case proceeds may or may not be received or cash may be owed to the forward purchaser.</w:t>
      </w:r>
    </w:p>
    <w:p>
      <w:pPr>
        <w:spacing w:after="0" w:line="197"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0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During the three months ended March 31, 2021, the Company did not sell any shares of its common stock under the ATM Program. As of March 31, 2021, the Company had $599.6 million remaining for issuance under the ATM Program and had not entered into any forward sale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lists the dividends declared and paid by the Company during the three months ended March 31, 2021 and 2020:</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Declaration Date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Dividend Per</w:t>
            </w:r>
          </w:p>
        </w:tc>
        <w:tc>
          <w:tcPr>
            <w:tcW w:w="19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Dividend Amount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Class</w:t>
            </w:r>
          </w:p>
        </w:tc>
        <w:tc>
          <w:tcPr>
            <w:tcW w:w="1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Share</w:t>
            </w:r>
          </w:p>
        </w:tc>
        <w:tc>
          <w:tcPr>
            <w:tcW w:w="192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178"/>
        </w:trPr>
        <w:tc>
          <w:tcPr>
            <w:tcW w:w="3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w w:val="84"/>
              </w:rPr>
              <w:t>2021</w:t>
            </w: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100" w:type="dxa"/>
            <w:vAlign w:val="bottom"/>
            <w:gridSpan w:val="4"/>
            <w:vMerge w:val="restart"/>
          </w:tcPr>
          <w:p>
            <w:pPr>
              <w:ind w:left="20"/>
              <w:spacing w:after="0"/>
              <w:rPr>
                <w:sz w:val="20"/>
                <w:szCs w:val="20"/>
                <w:color w:val="auto"/>
              </w:rPr>
            </w:pPr>
            <w:r>
              <w:rPr>
                <w:rFonts w:ascii="Arial" w:cs="Arial" w:eastAsia="Arial" w:hAnsi="Arial"/>
                <w:sz w:val="16"/>
                <w:szCs w:val="16"/>
                <w:color w:val="auto"/>
              </w:rPr>
              <w:t>February 22, 2021</w:t>
            </w:r>
          </w:p>
        </w:tc>
        <w:tc>
          <w:tcPr>
            <w:tcW w:w="1800" w:type="dxa"/>
            <w:vAlign w:val="bottom"/>
            <w:gridSpan w:val="2"/>
            <w:vMerge w:val="restart"/>
          </w:tcPr>
          <w:p>
            <w:pPr>
              <w:ind w:left="20"/>
              <w:spacing w:after="0"/>
              <w:rPr>
                <w:sz w:val="20"/>
                <w:szCs w:val="20"/>
                <w:color w:val="auto"/>
              </w:rPr>
            </w:pPr>
            <w:r>
              <w:rPr>
                <w:rFonts w:ascii="Arial" w:cs="Arial" w:eastAsia="Arial" w:hAnsi="Arial"/>
                <w:sz w:val="16"/>
                <w:szCs w:val="16"/>
                <w:color w:val="auto"/>
              </w:rPr>
              <w:t>March 9, 2021</w:t>
            </w:r>
          </w:p>
        </w:tc>
        <w:tc>
          <w:tcPr>
            <w:tcW w:w="112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2"/>
              </w:rPr>
              <w:t>Common</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4"/>
                <w:szCs w:val="14"/>
                <w:color w:val="auto"/>
              </w:rPr>
            </w:pPr>
          </w:p>
        </w:tc>
        <w:tc>
          <w:tcPr>
            <w:tcW w:w="1920" w:type="dxa"/>
            <w:vAlign w:val="bottom"/>
            <w:gridSpan w:val="2"/>
            <w:vMerge w:val="restart"/>
          </w:tcPr>
          <w:p>
            <w:pPr>
              <w:spacing w:after="0"/>
              <w:rPr>
                <w:sz w:val="20"/>
                <w:szCs w:val="20"/>
                <w:color w:val="auto"/>
              </w:rPr>
            </w:pPr>
            <w:r>
              <w:rPr>
                <w:rFonts w:ascii="Arial" w:cs="Arial" w:eastAsia="Arial" w:hAnsi="Arial"/>
                <w:sz w:val="16"/>
                <w:szCs w:val="16"/>
                <w:color w:val="auto"/>
              </w:rPr>
              <w:t>First Quarter 2021</w:t>
            </w:r>
          </w:p>
        </w:tc>
        <w:tc>
          <w:tcPr>
            <w:tcW w:w="1800" w:type="dxa"/>
            <w:vAlign w:val="bottom"/>
            <w:gridSpan w:val="2"/>
            <w:vMerge w:val="restart"/>
          </w:tcPr>
          <w:p>
            <w:pPr>
              <w:spacing w:after="0"/>
              <w:rPr>
                <w:sz w:val="20"/>
                <w:szCs w:val="20"/>
                <w:color w:val="auto"/>
              </w:rPr>
            </w:pPr>
            <w:r>
              <w:rPr>
                <w:rFonts w:ascii="Arial" w:cs="Arial" w:eastAsia="Arial" w:hAnsi="Arial"/>
                <w:sz w:val="16"/>
                <w:szCs w:val="16"/>
                <w:color w:val="auto"/>
              </w:rPr>
              <w:t>March 23, 2021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151,308</w:t>
            </w:r>
          </w:p>
        </w:tc>
        <w:tc>
          <w:tcPr>
            <w:tcW w:w="0" w:type="dxa"/>
            <w:vAlign w:val="bottom"/>
          </w:tcPr>
          <w:p>
            <w:pPr>
              <w:spacing w:after="0"/>
              <w:rPr>
                <w:sz w:val="1"/>
                <w:szCs w:val="1"/>
                <w:color w:val="auto"/>
              </w:rPr>
            </w:pPr>
          </w:p>
        </w:tc>
      </w:tr>
      <w:tr>
        <w:trPr>
          <w:trHeight w:val="209"/>
        </w:trPr>
        <w:tc>
          <w:tcPr>
            <w:tcW w:w="2100" w:type="dxa"/>
            <w:vAlign w:val="bottom"/>
            <w:gridSpan w:val="4"/>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w w:val="84"/>
              </w:rPr>
              <w:t>2020</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100" w:type="dxa"/>
            <w:vAlign w:val="bottom"/>
            <w:gridSpan w:val="4"/>
            <w:vMerge w:val="restart"/>
            <w:shd w:val="clear" w:color="auto" w:fill="CCEEFF"/>
          </w:tcPr>
          <w:p>
            <w:pPr>
              <w:ind w:left="20"/>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March 6, 2020</w:t>
            </w:r>
          </w:p>
        </w:tc>
        <w:tc>
          <w:tcPr>
            <w:tcW w:w="1120" w:type="dxa"/>
            <w:vAlign w:val="bottom"/>
            <w:gridSpan w:val="2"/>
            <w:shd w:val="clear" w:color="auto" w:fill="CCEEFF"/>
          </w:tcPr>
          <w:p>
            <w:pPr>
              <w:jc w:val="center"/>
              <w:ind w:right="120"/>
              <w:spacing w:after="0" w:line="166"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Quarter 2020</w:t>
            </w:r>
          </w:p>
        </w:tc>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March 20, 2020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150,574</w:t>
            </w:r>
          </w:p>
        </w:tc>
        <w:tc>
          <w:tcPr>
            <w:tcW w:w="0" w:type="dxa"/>
            <w:vAlign w:val="bottom"/>
          </w:tcPr>
          <w:p>
            <w:pPr>
              <w:spacing w:after="0"/>
              <w:rPr>
                <w:sz w:val="1"/>
                <w:szCs w:val="1"/>
                <w:color w:val="auto"/>
              </w:rPr>
            </w:pPr>
          </w:p>
        </w:tc>
      </w:tr>
      <w:tr>
        <w:trPr>
          <w:trHeight w:val="212"/>
        </w:trPr>
        <w:tc>
          <w:tcPr>
            <w:tcW w:w="2100" w:type="dxa"/>
            <w:vAlign w:val="bottom"/>
            <w:gridSpan w:val="4"/>
            <w:vMerge w:val="continue"/>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addition, for both the three months ended March 31, 2021 and 2020, dividend payments were made to GLPI restricted stock award holders in the amount of $0.2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Company accounts for stock compensation under ASC 718 -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March 31, 2021, there was $6.8 million of total unrecognized compensation cost for restricted stock awards that will be recognized over the grants' remaining weighted average vesting period of 1.90 years. For the three months ended March 31, 2021, the Company recognized $3.4 million of compensation expense associated with these awards, compared to $1.8 million for the three months ended March 31, 2020, within general and administrative expenses on the condensed consolidated statements of income.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three months ended March 31, 2021:</w:t>
      </w:r>
    </w:p>
    <w:p>
      <w:pPr>
        <w:spacing w:after="0" w:line="24"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40" w:type="dxa"/>
            <w:vAlign w:val="bottom"/>
          </w:tcPr>
          <w:p>
            <w:pPr>
              <w:jc w:val="right"/>
              <w:ind w:right="295"/>
              <w:spacing w:after="0"/>
              <w:rPr>
                <w:sz w:val="20"/>
                <w:szCs w:val="20"/>
                <w:color w:val="auto"/>
              </w:rPr>
            </w:pPr>
            <w:r>
              <w:rPr>
                <w:rFonts w:ascii="Arial" w:cs="Arial" w:eastAsia="Arial" w:hAnsi="Arial"/>
                <w:sz w:val="14"/>
                <w:szCs w:val="14"/>
                <w:b w:val="1"/>
                <w:bCs w:val="1"/>
                <w:color w:val="auto"/>
              </w:rPr>
              <w:t>Number of Award</w:t>
            </w:r>
          </w:p>
        </w:tc>
      </w:tr>
      <w:tr>
        <w:trPr>
          <w:trHeight w:val="186"/>
        </w:trPr>
        <w:tc>
          <w:tcPr>
            <w:tcW w:w="4660" w:type="dxa"/>
            <w:vAlign w:val="bottom"/>
          </w:tcPr>
          <w:p>
            <w:pPr>
              <w:spacing w:after="0"/>
              <w:rPr>
                <w:sz w:val="16"/>
                <w:szCs w:val="16"/>
                <w:color w:val="auto"/>
              </w:rPr>
            </w:pPr>
          </w:p>
        </w:tc>
        <w:tc>
          <w:tcPr>
            <w:tcW w:w="18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Shares</w:t>
            </w:r>
          </w:p>
        </w:tc>
      </w:tr>
      <w:tr>
        <w:trPr>
          <w:trHeight w:val="226"/>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840" w:type="dxa"/>
            <w:vAlign w:val="bottom"/>
          </w:tcPr>
          <w:p>
            <w:pPr>
              <w:jc w:val="right"/>
              <w:spacing w:after="0"/>
              <w:rPr>
                <w:sz w:val="20"/>
                <w:szCs w:val="20"/>
                <w:color w:val="auto"/>
              </w:rPr>
            </w:pPr>
            <w:r>
              <w:rPr>
                <w:rFonts w:ascii="Arial" w:cs="Arial" w:eastAsia="Arial" w:hAnsi="Arial"/>
                <w:sz w:val="18"/>
                <w:szCs w:val="18"/>
                <w:color w:val="auto"/>
              </w:rPr>
              <w:t>252,560</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236,569</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Released</w:t>
            </w:r>
          </w:p>
        </w:tc>
        <w:tc>
          <w:tcPr>
            <w:tcW w:w="1840" w:type="dxa"/>
            <w:vAlign w:val="bottom"/>
          </w:tcPr>
          <w:p>
            <w:pPr>
              <w:jc w:val="right"/>
              <w:spacing w:after="0"/>
              <w:rPr>
                <w:sz w:val="20"/>
                <w:szCs w:val="20"/>
                <w:color w:val="auto"/>
              </w:rPr>
            </w:pPr>
            <w:r>
              <w:rPr>
                <w:rFonts w:ascii="Arial" w:cs="Arial" w:eastAsia="Arial" w:hAnsi="Arial"/>
                <w:sz w:val="18"/>
                <w:szCs w:val="18"/>
                <w:color w:val="auto"/>
              </w:rPr>
              <w:t>(200,542)</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March 31, 2021</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288,287</w:t>
            </w:r>
          </w:p>
        </w:tc>
      </w:tr>
      <w:tr>
        <w:trPr>
          <w:trHeight w:val="21"/>
        </w:trPr>
        <w:tc>
          <w:tcPr>
            <w:tcW w:w="4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6" w:name="page27"/>
    <w:bookmarkEnd w:id="26"/>
    <w:p>
      <w:pPr>
        <w:ind w:right="60" w:firstLine="648"/>
        <w:spacing w:after="0" w:line="270" w:lineRule="auto"/>
        <w:rPr>
          <w:sz w:val="20"/>
          <w:szCs w:val="20"/>
          <w:color w:val="auto"/>
        </w:rPr>
      </w:pPr>
      <w:r>
        <w:rPr>
          <w:rFonts w:ascii="Arial" w:cs="Arial" w:eastAsia="Arial" w:hAnsi="Arial"/>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March 31, 2021, there was $18.6 million of total unrecognized compensation cost, which will be recognized over the performance-based restricted stock awards' remaining weighted average vesting period of 2.25 years. For both the three months ended March 31, 2021 and 2020, the Company recognized $2.4 million of compensation expense associated with these awards within general and administrative expenses on the condensed consolidated statements of income.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contains information on performance-based restricted stock award activity for the three months ended March 31, 2021:</w:t>
      </w:r>
    </w:p>
    <w:p>
      <w:pPr>
        <w:spacing w:after="0" w:line="36"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20" w:type="dxa"/>
            <w:vAlign w:val="bottom"/>
          </w:tcPr>
          <w:p>
            <w:pPr>
              <w:jc w:val="right"/>
              <w:ind w:right="155"/>
              <w:spacing w:after="0"/>
              <w:rPr>
                <w:sz w:val="20"/>
                <w:szCs w:val="20"/>
                <w:color w:val="auto"/>
              </w:rPr>
            </w:pPr>
            <w:r>
              <w:rPr>
                <w:rFonts w:ascii="Arial" w:cs="Arial" w:eastAsia="Arial" w:hAnsi="Arial"/>
                <w:sz w:val="14"/>
                <w:szCs w:val="14"/>
                <w:b w:val="1"/>
                <w:bCs w:val="1"/>
                <w:color w:val="auto"/>
              </w:rPr>
              <w:t>Number of Performance-Based</w:t>
            </w:r>
          </w:p>
        </w:tc>
      </w:tr>
      <w:tr>
        <w:trPr>
          <w:trHeight w:val="186"/>
        </w:trPr>
        <w:tc>
          <w:tcPr>
            <w:tcW w:w="4660" w:type="dxa"/>
            <w:vAlign w:val="bottom"/>
          </w:tcPr>
          <w:p>
            <w:pPr>
              <w:spacing w:after="0"/>
              <w:rPr>
                <w:sz w:val="16"/>
                <w:szCs w:val="16"/>
                <w:color w:val="auto"/>
              </w:rPr>
            </w:pPr>
          </w:p>
        </w:tc>
        <w:tc>
          <w:tcPr>
            <w:tcW w:w="2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Award Shares</w:t>
            </w:r>
          </w:p>
        </w:tc>
      </w:tr>
      <w:tr>
        <w:trPr>
          <w:trHeight w:val="226"/>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2420" w:type="dxa"/>
            <w:vAlign w:val="bottom"/>
          </w:tcPr>
          <w:p>
            <w:pPr>
              <w:jc w:val="right"/>
              <w:spacing w:after="0"/>
              <w:rPr>
                <w:sz w:val="20"/>
                <w:szCs w:val="20"/>
                <w:color w:val="auto"/>
              </w:rPr>
            </w:pPr>
            <w:r>
              <w:rPr>
                <w:rFonts w:ascii="Arial" w:cs="Arial" w:eastAsia="Arial" w:hAnsi="Arial"/>
                <w:sz w:val="18"/>
                <w:szCs w:val="18"/>
                <w:color w:val="auto"/>
              </w:rPr>
              <w:t>1,193,994</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478,000</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Released</w:t>
            </w:r>
          </w:p>
        </w:tc>
        <w:tc>
          <w:tcPr>
            <w:tcW w:w="2420" w:type="dxa"/>
            <w:vAlign w:val="bottom"/>
          </w:tcPr>
          <w:p>
            <w:pPr>
              <w:jc w:val="right"/>
              <w:spacing w:after="0"/>
              <w:rPr>
                <w:sz w:val="20"/>
                <w:szCs w:val="20"/>
                <w:color w:val="auto"/>
              </w:rPr>
            </w:pPr>
            <w:r>
              <w:rPr>
                <w:rFonts w:ascii="Arial" w:cs="Arial" w:eastAsia="Arial" w:hAnsi="Arial"/>
                <w:sz w:val="18"/>
                <w:szCs w:val="18"/>
                <w:color w:val="auto"/>
              </w:rPr>
              <w:t>(366,888)</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March 31, 2021</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1,305,106</w:t>
            </w:r>
          </w:p>
        </w:tc>
      </w:tr>
      <w:tr>
        <w:trPr>
          <w:trHeight w:val="21"/>
        </w:trPr>
        <w:tc>
          <w:tcPr>
            <w:tcW w:w="466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Consistent with how the Company’s Chief Operating Decision Maker (as such term is defined in ASC 280 - </w:t>
      </w:r>
      <w:r>
        <w:rPr>
          <w:rFonts w:ascii="Arial" w:cs="Arial" w:eastAsia="Arial" w:hAnsi="Arial"/>
          <w:sz w:val="18"/>
          <w:szCs w:val="18"/>
          <w:i w:val="1"/>
          <w:iCs w:val="1"/>
          <w:color w:val="auto"/>
        </w:rPr>
        <w:t>Segment Reporting</w:t>
      </w:r>
      <w:r>
        <w:rPr>
          <w:rFonts w:ascii="Arial" w:cs="Arial" w:eastAsia="Arial" w:hAnsi="Arial"/>
          <w:sz w:val="18"/>
          <w:szCs w:val="18"/>
          <w:color w:val="auto"/>
        </w:rPr>
        <w:t>) reviews and assesses the Company’s financial performance, the Company has two reportable segments, GLP Capital, L.P. (a wholly-owned subsidiary of GLPI through which GLPI owns substantially all of its real estate assets) and the TRS Segment. The GLP Capital reportable segment consists of the leased real property and represents the majority of the Company’s business. The TRS Segment consists of Hollywood Casino Perryville and Hollywood Casino Baton Rouge, as well as the real estate of Tropicana Las Vegas.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2021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2020</w:t>
            </w:r>
          </w:p>
        </w:tc>
        <w:tc>
          <w:tcPr>
            <w:tcW w:w="740" w:type="dxa"/>
            <w:vAlign w:val="bottom"/>
            <w:tcBorders>
              <w:bottom w:val="single" w:sz="8" w:color="auto"/>
            </w:tcBorders>
          </w:tcPr>
          <w:p>
            <w:pPr>
              <w:spacing w:after="0"/>
              <w:rPr>
                <w:sz w:val="16"/>
                <w:szCs w:val="16"/>
                <w:color w:val="auto"/>
              </w:rPr>
            </w:pPr>
          </w:p>
        </w:tc>
      </w:tr>
      <w:tr>
        <w:trPr>
          <w:trHeight w:val="188"/>
        </w:trPr>
        <w:tc>
          <w:tcPr>
            <w:tcW w:w="252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6"/>
                <w:szCs w:val="16"/>
                <w:color w:val="auto"/>
              </w:rPr>
            </w:pPr>
          </w:p>
        </w:tc>
        <w:tc>
          <w:tcPr>
            <w:tcW w:w="1240" w:type="dxa"/>
            <w:vAlign w:val="bottom"/>
            <w:gridSpan w:val="2"/>
          </w:tcPr>
          <w:p>
            <w:pPr>
              <w:ind w:left="40"/>
              <w:spacing w:after="0" w:line="189" w:lineRule="exact"/>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18"/>
                <w:szCs w:val="18"/>
                <w:b w:val="1"/>
                <w:bCs w:val="1"/>
                <w:color w:val="auto"/>
                <w:vertAlign w:val="superscript"/>
              </w:rPr>
              <w:t>(1)</w:t>
            </w:r>
          </w:p>
        </w:tc>
        <w:tc>
          <w:tcPr>
            <w:tcW w:w="140" w:type="dxa"/>
            <w:vAlign w:val="bottom"/>
          </w:tcPr>
          <w:p>
            <w:pPr>
              <w:spacing w:after="0"/>
              <w:rPr>
                <w:sz w:val="16"/>
                <w:szCs w:val="16"/>
                <w:color w:val="auto"/>
              </w:rPr>
            </w:pPr>
          </w:p>
        </w:tc>
        <w:tc>
          <w:tcPr>
            <w:tcW w:w="1300" w:type="dxa"/>
            <w:vAlign w:val="bottom"/>
            <w:gridSpan w:val="2"/>
          </w:tcPr>
          <w:p>
            <w:pPr>
              <w:ind w:left="40"/>
              <w:spacing w:after="0" w:line="189" w:lineRule="exact"/>
              <w:rPr>
                <w:sz w:val="20"/>
                <w:szCs w:val="20"/>
                <w:color w:val="auto"/>
              </w:rPr>
            </w:pPr>
            <w:r>
              <w:rPr>
                <w:rFonts w:ascii="Arial" w:cs="Arial" w:eastAsia="Arial" w:hAnsi="Arial"/>
                <w:sz w:val="14"/>
                <w:szCs w:val="14"/>
                <w:b w:val="1"/>
                <w:bCs w:val="1"/>
                <w:color w:val="auto"/>
              </w:rPr>
              <w:t xml:space="preserve">TRS Segment </w:t>
            </w:r>
            <w:r>
              <w:rPr>
                <w:rFonts w:ascii="Arial" w:cs="Arial" w:eastAsia="Arial" w:hAnsi="Arial"/>
                <w:sz w:val="18"/>
                <w:szCs w:val="18"/>
                <w:b w:val="1"/>
                <w:bCs w:val="1"/>
                <w:color w:val="auto"/>
                <w:vertAlign w:val="superscript"/>
              </w:rPr>
              <w:t>(2)</w:t>
            </w:r>
          </w:p>
        </w:tc>
        <w:tc>
          <w:tcPr>
            <w:tcW w:w="340" w:type="dxa"/>
            <w:vAlign w:val="bottom"/>
          </w:tcPr>
          <w:p>
            <w:pPr>
              <w:spacing w:after="0"/>
              <w:rPr>
                <w:sz w:val="16"/>
                <w:szCs w:val="16"/>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40"/>
              <w:spacing w:after="0" w:line="189" w:lineRule="exact"/>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18"/>
                <w:szCs w:val="18"/>
                <w:b w:val="1"/>
                <w:bCs w:val="1"/>
                <w:color w:val="auto"/>
                <w:vertAlign w:val="superscript"/>
              </w:rPr>
              <w:t>(1)</w:t>
            </w: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TRS Segment</w:t>
            </w:r>
          </w:p>
        </w:tc>
        <w:tc>
          <w:tcPr>
            <w:tcW w:w="340" w:type="dxa"/>
            <w:vAlign w:val="bottom"/>
          </w:tcPr>
          <w:p>
            <w:pPr>
              <w:spacing w:after="0"/>
              <w:rPr>
                <w:sz w:val="16"/>
                <w:szCs w:val="16"/>
                <w:color w:val="auto"/>
              </w:rPr>
            </w:pPr>
          </w:p>
        </w:tc>
        <w:tc>
          <w:tcPr>
            <w:tcW w:w="74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3"/>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263,842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37,701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301,543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256,723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26,759</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283,482</w:t>
            </w:r>
          </w:p>
        </w:tc>
      </w:tr>
      <w:tr>
        <w:trPr>
          <w:trHeight w:val="186"/>
        </w:trPr>
        <w:tc>
          <w:tcPr>
            <w:tcW w:w="252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190,171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200,101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183,184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186,350</w:t>
            </w:r>
          </w:p>
        </w:tc>
      </w:tr>
      <w:tr>
        <w:trPr>
          <w:trHeight w:val="192"/>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65,954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72,004</w:t>
            </w:r>
          </w:p>
        </w:tc>
      </w:tr>
      <w:tr>
        <w:trPr>
          <w:trHeight w:val="186"/>
        </w:trPr>
        <w:tc>
          <w:tcPr>
            <w:tcW w:w="25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124,340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129,812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96,648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97,213</w:t>
            </w:r>
          </w:p>
        </w:tc>
      </w:tr>
      <w:tr>
        <w:trPr>
          <w:trHeight w:val="192"/>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w:t>
            </w:r>
          </w:p>
        </w:tc>
      </w:tr>
      <w:tr>
        <w:trPr>
          <w:trHeight w:val="186"/>
        </w:trPr>
        <w:tc>
          <w:tcPr>
            <w:tcW w:w="25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124,048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127,184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96,521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96,894</w:t>
            </w:r>
          </w:p>
        </w:tc>
      </w:tr>
      <w:tr>
        <w:trPr>
          <w:trHeight w:val="192"/>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56,861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56,563</w:t>
            </w:r>
          </w:p>
        </w:tc>
      </w:tr>
      <w:tr>
        <w:trPr>
          <w:trHeight w:val="186"/>
        </w:trPr>
        <w:tc>
          <w:tcPr>
            <w:tcW w:w="2520" w:type="dxa"/>
            <w:vAlign w:val="bottom"/>
            <w:gridSpan w:val="2"/>
          </w:tcPr>
          <w:p>
            <w:pPr>
              <w:spacing w:after="0"/>
              <w:rPr>
                <w:sz w:val="20"/>
                <w:szCs w:val="20"/>
                <w:color w:val="auto"/>
              </w:rPr>
            </w:pPr>
            <w:r>
              <w:rPr>
                <w:rFonts w:ascii="Arial" w:cs="Arial" w:eastAsia="Arial" w:hAnsi="Arial"/>
                <w:sz w:val="14"/>
                <w:szCs w:val="14"/>
                <w:color w:val="auto"/>
              </w:rPr>
              <w:t>Capital project expenditures</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maintenance expenditures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r>
    </w:tbl>
    <w:p>
      <w:pPr>
        <w:spacing w:after="0" w:line="200" w:lineRule="exact"/>
        <w:rPr>
          <w:sz w:val="20"/>
          <w:szCs w:val="20"/>
          <w:color w:val="auto"/>
        </w:rPr>
      </w:pPr>
    </w:p>
    <w:p>
      <w:pPr>
        <w:spacing w:after="0" w:line="371" w:lineRule="exact"/>
        <w:rPr>
          <w:sz w:val="20"/>
          <w:szCs w:val="20"/>
          <w:color w:val="auto"/>
        </w:rPr>
      </w:pPr>
    </w:p>
    <w:p>
      <w:pPr>
        <w:ind w:left="680" w:hanging="348"/>
        <w:spacing w:after="0"/>
        <w:tabs>
          <w:tab w:leader="none" w:pos="680" w:val="left"/>
        </w:tabs>
        <w:numPr>
          <w:ilvl w:val="0"/>
          <w:numId w:val="24"/>
        </w:numPr>
        <w:rPr>
          <w:rFonts w:ascii="Arial" w:cs="Arial" w:eastAsia="Arial" w:hAnsi="Arial"/>
          <w:sz w:val="10"/>
          <w:szCs w:val="10"/>
          <w:color w:val="auto"/>
        </w:rPr>
      </w:pPr>
      <w:r>
        <w:rPr>
          <w:rFonts w:ascii="Arial" w:cs="Arial" w:eastAsia="Arial" w:hAnsi="Arial"/>
          <w:sz w:val="14"/>
          <w:szCs w:val="14"/>
          <w:color w:val="auto"/>
        </w:rPr>
        <w:t>Interest expense is net of intercompany interest eliminations of $4.5 million and $2.6 million for the three months ended March 31, 2021 and 2020, respectively.</w:t>
      </w:r>
    </w:p>
    <w:p>
      <w:pPr>
        <w:spacing w:after="0" w:line="284" w:lineRule="exact"/>
        <w:rPr>
          <w:rFonts w:ascii="Arial" w:cs="Arial" w:eastAsia="Arial" w:hAnsi="Arial"/>
          <w:sz w:val="10"/>
          <w:szCs w:val="10"/>
          <w:color w:val="auto"/>
        </w:rPr>
      </w:pPr>
    </w:p>
    <w:p>
      <w:pPr>
        <w:ind w:left="480" w:hanging="148"/>
        <w:spacing w:after="0"/>
        <w:tabs>
          <w:tab w:leader="none" w:pos="480" w:val="left"/>
        </w:tabs>
        <w:numPr>
          <w:ilvl w:val="0"/>
          <w:numId w:val="24"/>
        </w:numPr>
        <w:rPr>
          <w:rFonts w:ascii="Arial" w:cs="Arial" w:eastAsia="Arial" w:hAnsi="Arial"/>
          <w:sz w:val="11"/>
          <w:szCs w:val="11"/>
          <w:color w:val="auto"/>
        </w:rPr>
      </w:pPr>
      <w:r>
        <w:rPr>
          <w:rFonts w:ascii="Arial" w:cs="Arial" w:eastAsia="Arial" w:hAnsi="Arial"/>
          <w:sz w:val="16"/>
          <w:szCs w:val="16"/>
          <w:color w:val="auto"/>
        </w:rPr>
        <w:t>Results for the three months ended March 31, 2021 include depreciation expense of $0.9 million associated with Tropicana Las Vegas.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27" w:name="page28"/>
    <w:bookmarkEnd w:id="27"/>
    <w:p>
      <w:pPr>
        <w:ind w:left="660" w:right="5060" w:hanging="652"/>
        <w:spacing w:after="0" w:line="463" w:lineRule="auto"/>
        <w:tabs>
          <w:tab w:leader="none" w:pos="36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Disclosures of Cash Flow Information and Noncash Activities </w:t>
      </w:r>
      <w:r>
        <w:rPr>
          <w:rFonts w:ascii="Arial" w:cs="Arial" w:eastAsia="Arial" w:hAnsi="Arial"/>
          <w:sz w:val="16"/>
          <w:szCs w:val="16"/>
          <w:color w:val="auto"/>
        </w:rPr>
        <w:t>Supplemental disclosures of cash flow information are as follows:</w:t>
      </w:r>
    </w:p>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52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r>
      <w:tr>
        <w:trPr>
          <w:trHeight w:val="183"/>
        </w:trPr>
        <w:tc>
          <w:tcPr>
            <w:tcW w:w="5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 net of refunds received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58,645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52,339</w:t>
            </w:r>
          </w:p>
        </w:tc>
        <w:tc>
          <w:tcPr>
            <w:tcW w:w="100" w:type="dxa"/>
            <w:vAlign w:val="bottom"/>
          </w:tcPr>
          <w:p>
            <w:pPr>
              <w:spacing w:after="0"/>
              <w:rPr>
                <w:sz w:val="20"/>
                <w:szCs w:val="20"/>
                <w:color w:val="auto"/>
              </w:rPr>
            </w:pPr>
          </w:p>
        </w:tc>
      </w:tr>
    </w:tbl>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did not engage in any noncash investing and financing activities during the three months ended March 31, 2021 and 2020.</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Pending Acquisitions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 addition to the two pending transactions discussed in Note 6, on October 27, 2020, the Company entered into a series of definitive agreements pursuant to which a subsidiary of Bally's Corporation (NYSE: BALY) ("Bally's") will reacquire 100% of the equity interests in the Caesars subsidiary that currently operates Tropicana Evansville and the Company will acquire the real property assets of Tropicana Evansville from Caesars for a cash purchase price of approximately $340.0 million. The Company also entered into a real estate purchase agreement with Bally's pursuant to which it will purchase the real estate assets of the Dover Downs Hotel &amp; Casino, located in Dover, Delaware, which is currently owned and operated by Bally's, for a cash purchase price of approximately$144.0 million. At the close of these transactions, which are expected to occur in mid-2021, subject to regulatory approvals, the Tropicana Evansville and Dover Downs Hotel &amp; Casino facilities will be added to a new master lease ("Bally's Master Lease"). The Company anticipates that the Bally's Master Lease will have an initial term of 15 years, with no purchase option, followed by four five-year renewal options (exercisable by Bally's) on the same terms and conditions. Rent under the Bally's Master Lease will be $40.0 million annually and is subject to an annual escalator of up to 2% determined in relation to the annual increase in the CPI.</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56"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On April 13, 2021, the Company announced that it had entered into a binding term sheet with Bally's to acquire the real estate of Bally’s casino property in Black Hawk, CO and the property Bally's plans to acquire in Rock Island, IL, in a transaction which is subject to regulatory approval. Total consideration for the acquisition is $150 million. The parties expect to add the properties to the Bally's Master Lease which is expected to generate incremental rent of $12 million. The acquisitions of the real estate assets by the Company of Bally’s properties in Rock Island and Black Hawk are expected to close in early 2022.</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Bally’s also plans to acquire both GLPI’s non-land real estate assets and Penn's outstanding equity interests in Tropicana Las Vegas Hotel and Casino, Inc. for an aggregate cash acquisition price of $150 million. GLPI would retain ownership of the land and would concurrently enter into a 50 years ground lease with initial annual rent of $10.5 million. The ground lease would be supported by a Bally’s corporate guarantee and cross-defaulted with the Bally's Master Lease. This transaction is expected to close in early 2022.</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Both GLPI and Bally’s have committed to a structure in which GLPI has the potential to acquire additional assets in sale-leaseback transactions to the extent Bally’s elects to utilize GLPI’s capital as a funding source for its proposed acquisition of Gamesys Group plc. The $500 million commitment provides Bally’s an alternative financing commitment which at GLPI’s sole discretion may be funded in the form of equity, additional pr.epaid sale-leaseback transactions or secured loans.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Louisiana Casino Cruises, Inc. (d/b/a Hollywood Casino Baton Rouge) and Penn Cecil Maryland, Inc. (d/b/a Hollywood Casino Perryville) (which are referred to herein as the "TRS Properties") and then spun-off GLPI to holders of Penn's common and preferred stock in a tax-free distribution (the "Spin-Off"). In addition, during 2020, the Company and Tropicana LV, LLC, a wholly owned subsidiary of the Company which holds the real estate of the Tropicana Las Vegas Casino Hotel Resort ("Tropicana Las Vegas"), elected to treat Tropicana LV, LLC as a “taxable REIT subsidiary,” which together with the TRS Properties and GLP Holdings, Inc. is the Company's TRS segment (the "TRS Segment").</w:t>
      </w:r>
    </w:p>
    <w:p>
      <w:pPr>
        <w:spacing w:after="0" w:line="11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for the year ended December 31, 2014,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The assets and liabilities of GLPI were recorded at their respective historical carrying values at the time of the Spin-Off.</w:t>
      </w:r>
    </w:p>
    <w:p>
      <w:pPr>
        <w:spacing w:after="0" w:line="1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March 31, 2021, GLPI's portfolio consisted of interests in 48 gaming and related facilities, including the TRS Segment, the real property associated with 33 gaming and related facilities operated by Penn, the real property associated with 7 gaming and related facilities operated by Caesars Entertainment Corporation ("Caesars"), the real property associated with 4 gaming and related facilities operated by Boyd Gaming Corporation ("Boyd") and the real property associated with the Casino Queen Holding Company Inc. ("Casino Queen") in East St. Louis, Illinois. These facilities, including our corporate headquarters building, are geographically diversified across 16 states and contain approximately 24.3 million square feet. As of March 31, 2021, our properties were 100% occupied. We expect to continue growing our portfolio by pursuing opportunities to acquire additional gaming facilities to lease to gaming operators under prudent terms.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 and Casino Queen Lease</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a result of the Spin-Off, GLPI owns substantially all of Penn’s former real property assets (as of the consummation of the Spin-Off) and leases back most of those assets to Penn for use by its subsidiaries, under a unitary master lease, a triple-net operating lease the term of which expires October 31, 2033, with no purchase option, followed by three remaining 5-year renewal options (exercisable by the tenant) on the same terms and conditions (the "Penn Master Lease"), and GLPI also owns and operates the TRS Properties. GLPI leases the Casino Queen property in East St. Louis back to its operators on a triple-net basis on terms similar to those in the Penn Master Lease (the "Casino Queen Lease").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Pinnacle Master Lease, Boyd Master Lease and Belterra Park Lease</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the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ind w:right="100"/>
        <w:spacing w:after="0" w:line="294" w:lineRule="auto"/>
        <w:rPr>
          <w:sz w:val="20"/>
          <w:szCs w:val="20"/>
          <w:color w:val="auto"/>
        </w:rPr>
      </w:pPr>
      <w:r>
        <w:rPr>
          <w:rFonts w:ascii="Arial" w:cs="Arial" w:eastAsia="Arial" w:hAnsi="Arial"/>
          <w:sz w:val="16"/>
          <w:szCs w:val="16"/>
          <w:color w:val="auto"/>
        </w:rPr>
        <w:t>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("Belterra Park") whereby the Company loaned Boyd $57.7 million (the "Belterra Park Loan"). In May 2020, the Company acquired the real estate of Belterra Park in satisfaction of the Belterra Park Loan, subject to a long-term lease (the "Belterra Park Lease") with a Boyd</w:t>
      </w:r>
    </w:p>
    <w:p>
      <w:pPr>
        <w:spacing w:after="0" w:line="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Meadows Lease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real estate assets of the Meadows Racetrack and Casino are leased to Penn pursuant to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Caesars Master Lease</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w:t>
      </w:r>
    </w:p>
    <w:p>
      <w:pPr>
        <w:spacing w:after="0" w:line="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This resulted in a non-cash gain of $41.4 million in the fourth quarter of 2020, which represented the difference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342" w:lineRule="auto"/>
        <w:rPr>
          <w:sz w:val="20"/>
          <w:szCs w:val="20"/>
          <w:color w:val="auto"/>
        </w:rPr>
      </w:pPr>
      <w:r>
        <w:rPr>
          <w:rFonts w:ascii="Arial" w:cs="Arial" w:eastAsia="Arial" w:hAnsi="Arial"/>
          <w:sz w:val="16"/>
          <w:szCs w:val="16"/>
          <w:color w:val="auto"/>
        </w:rPr>
        <w:t>between the fair value of the properties received compared to the carrying value of Tropicana Evansville and the cash payment made. In connection with the Exchange Agreement, the annual building base rent was increased to $62.5 million and the annual land component was increased to $23.7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Place Lease</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Las Vegas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We conducted a sale process with respect to the Tropicana Las Vegas, with Penn receiving 75% of the net proceeds above $307.5 million (plus certain taxes, expenses and costs) if a sale agreement is signed during the first 12 months following closing and 50% of net proceeds above $307.5 million (plus certain taxes, expenses and costs) if a sale agreement is signed during the subsequent 12 months following closing. Penn will not be entitled to receive any net sale proceeds if the relevant sale agreement is signed at any time after 24 months from closing.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1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w:t>
      </w:r>
    </w:p>
    <w:p>
      <w:pPr>
        <w:jc w:val="both"/>
        <w:spacing w:after="0" w:line="273" w:lineRule="auto"/>
        <w:rPr>
          <w:sz w:val="20"/>
          <w:szCs w:val="20"/>
          <w:color w:val="auto"/>
        </w:rPr>
      </w:pPr>
      <w:r>
        <w:rPr>
          <w:rFonts w:ascii="Arial" w:cs="Arial" w:eastAsia="Arial" w:hAnsi="Arial"/>
          <w:sz w:val="17"/>
          <w:szCs w:val="17"/>
          <w:color w:val="auto"/>
        </w:rPr>
        <w:t>quarter of 2020. The Company is leasing the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Consumer Price Index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(the "Morgantown Lease").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Baton Rouge</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November 25, 2020, the Company entered into a definitive agreement to sell the operations of our Hollywood Casino Baton Rouge to Casino Queen for $28.2 million (the "HCBR transaction"). The Company will retain ownership of all real estate assets at Hollywood Casino Baton Rouge and will simultaneously enter into a master lease with Casino Queen, which will include the Casino Queen property in East St. Louis that is currently leased by us to them and the Hollywood Casino Baton Rouge facility. The initial annual cash rent will be approximately $21.4 million and the lease will have an initial term of 15 years with four 5 year renewal options exercisable by the tenant.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master lease will be adjusted upon delivery to reflect a yield of 8.25% on GLPI's project costs. The Company will also have a right of first refusal with Casino Queen for other sale leaseback transactions up to $50 million over the next 2 years. Finally, upon the closing of the transaction, which is anticipated to occur in mid 2021, subject to regulatory approvals and customary closing conditions, GLPI will forgive the unsecured $13.0 million, 5.5 year term loan made to CQ Holding Company, Inc., an affiliate of Casino Queen, which has been previously written off in return for a one-time cash payment of $4 million.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Hollywood Casino Perryville</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11, 2020, Penn agreed to purchase from the Company the operations of our Hollywood Casino Perryville, located in Perryville, Maryland, for $31.1 million, with the closing of such purchase, subject to regulatory approvals, expected to occur during calendar year 2021 on a date selected by Penn with reasonable prior notice to the Company unless otherwise agreed by both parties. Upon closing, the Company will lease the real estate assets of the Hollywood Casino Perryville to Penn pursuant to a lease providing for initial annual rent of $7.77 million, $5.83 million of which will be subject to escalation provisions beginning in the second lease year through the fourth lease year and shall increase by 1.50% and then to 1.25% for the remaining lease term. The escalation provisions beginning in the fifth lease year are subject to the CPI being at least 0.5% for the preceding lease year.</w:t>
      </w:r>
    </w:p>
    <w:p>
      <w:pPr>
        <w:spacing w:after="0" w:line="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2021, the majority of our earnings are the result of the rental revenues we receive from our triple-net master leases with Penn, Boyd and Caesars. Additionally, we have rental revenue from the Casino Queen property which is leased back to a third-party operator on a triple-net basis pursuant to the Casino Queen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Additionally, in accordance with Accounting Standards Codification ("ASC") 842,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Business Outlook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spread of the novel coronavirus (COVID-19) and the recent developments surrounding the global pandemic had material negative impacts on the global and United States economies that resulted in an unprecedented drop in economic activity in 2020. In mid-March 2020, many businesses in the United States were forced to close by state governments in an effort to limit the spread of COVID-19, which resulted in record unemployment claims. As the U.S. economy began to reopen in the second quarter of 2020, the unemployment rate, which was approximately 3.5% at the beginning of 2020, declined from its April 2020 peak of 14.7% and steadily improved to its current rate of approximately 6.0%. Additional impacts and recent developments include:</w:t>
      </w:r>
    </w:p>
    <w:p>
      <w:pPr>
        <w:spacing w:after="0" w:line="219" w:lineRule="exact"/>
        <w:rPr>
          <w:sz w:val="20"/>
          <w:szCs w:val="20"/>
          <w:color w:val="auto"/>
        </w:rPr>
      </w:pPr>
    </w:p>
    <w:p>
      <w:pPr>
        <w:ind w:left="660" w:right="120" w:hanging="328"/>
        <w:spacing w:after="0" w:line="25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initial stages of the COVID-19 outbreak, federal, state and local government officials took steps to require various non-essential businesses to close to slow the spread of COVID-19. In mid-March 2020, all casinos closed across the country, which in turn had a significant negative impact on our tenants' and our own operating results. Although the majority of casinos have reopened throughout the country, it is possible that individual jurisdictions may elect to close them again (which has occurred in certain instances) to mitigate the spread of COVID-19. In addition, although the results of our tenants operations since they have reopened has been quite strong, the continuation of these impressive results is uncertain.</w:t>
      </w:r>
    </w:p>
    <w:p>
      <w:pPr>
        <w:spacing w:after="0" w:line="219" w:lineRule="exact"/>
        <w:rPr>
          <w:rFonts w:ascii="Arial" w:cs="Arial" w:eastAsia="Arial" w:hAnsi="Arial"/>
          <w:sz w:val="18"/>
          <w:szCs w:val="18"/>
          <w:color w:val="auto"/>
        </w:rPr>
      </w:pPr>
    </w:p>
    <w:p>
      <w:pPr>
        <w:ind w:left="660" w:right="180" w:hanging="328"/>
        <w:spacing w:after="0" w:line="25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wholly-owned and operated TRS Properties closed in mid-March 2020 due to the COVID-19 outbreak. Our property in Baton Rouge reopened on May 18, 2020 and our property in Perryville, Maryland reopened on June 19, 2020 with enhanced safety protocols and capacity restrictions. To date, both properties have performed well in spite of lower attendance levels; however we are unable to predict whether this will continue as we believe results have benefited from pent up demand, reduced competition from non-gaming leisure related activities and federal stimulus benefits.</w:t>
      </w:r>
    </w:p>
    <w:p>
      <w:pPr>
        <w:spacing w:after="0" w:line="214"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On October 27, 2020, the Company entered into a series of definitive agreements pursuant to which a subsidiary of Bally's Corporation (NYSE: BALY) ("Bally's") will reacquire 100% of the equity interests in the Caesars subsidiary that currently operates Tropicana Evansville and the Company will reacquire the real property assets of Tropicana Evansville from Caesars for a cash purchase price of approximately $340.0 million. In addition, the Company entered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left="660"/>
        <w:spacing w:after="0" w:line="271" w:lineRule="auto"/>
        <w:rPr>
          <w:sz w:val="20"/>
          <w:szCs w:val="20"/>
          <w:color w:val="auto"/>
        </w:rPr>
      </w:pPr>
      <w:r>
        <w:rPr>
          <w:rFonts w:ascii="Arial" w:cs="Arial" w:eastAsia="Arial" w:hAnsi="Arial"/>
          <w:sz w:val="17"/>
          <w:szCs w:val="17"/>
          <w:color w:val="auto"/>
        </w:rPr>
        <w:t>into a real estate purchase agreement with Bally's pursuant to which the Company will purchase the real estate assets of the Dover Downs Hotel &amp; Casino, located in Dover, Delaware which is currently owned and operated by Bally's, for a cash purchase price of approximately $144.0 million. At the closing of the transactions, which is expected in mid-2021, subject to regulatory approvals, the Tropicana Evansville and Dover Downs Hotel and Casino facilities will be added to a new master lease ("the Bally's Master Lease"). The Company anticipates that the Bally's Master Lease will have an initial term of 15 years, with no purchase option, followed by four five-year renewal options (exercisable by the tenant) on the same terms and conditions. Rent under the Bally's Master Lease will be $40.0 million annually and is subject to an annual escalator of up to 2% determined in relation to the annual increase in the CPI. On November 6, 2020, the Company issued 9.2 million common shares at $36.25 to partially finance the funding required for this transaction.</w:t>
      </w:r>
    </w:p>
    <w:p>
      <w:pPr>
        <w:spacing w:after="0" w:line="205" w:lineRule="exact"/>
        <w:rPr>
          <w:sz w:val="20"/>
          <w:szCs w:val="20"/>
          <w:color w:val="auto"/>
        </w:rPr>
      </w:pPr>
    </w:p>
    <w:p>
      <w:pPr>
        <w:ind w:left="660" w:right="2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13, 2021, the Company announced that it had entered into a binding term sheet with Bally's to acquire the real estate of Bally’s casino property in Black Hawk, CO and the property it plans to acquire in Rock Island, IL, in a transaction which is subject to regulatory approval and expected to close later this year. Total consideration for the acquisition is $150 million. The parties expect to add the properties to the Bally's Master Lease, which is expected to generate incremental rent of $12.0 million. Normalized rent coverage on the assets is expected to be 2.25x in the first calendar year post-acquisition. The acquisitions of the real estate assets of Bally’s properties in Rock Island and Black Hawk are expected to close in early 2022.</w:t>
      </w:r>
    </w:p>
    <w:p>
      <w:pPr>
        <w:spacing w:after="0" w:line="219"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210"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Bally’s also plans to acquire both GLPI’s non-land real estate assets and Penn's outstanding equity interests in Tropicana Las Vegas Hotel and Casino, Inc. for an aggregate cash acquisition price of $150 million. GLPI will retain ownership of the land and will concurrently enter into a 50-year ground lease with initial annual rent of $10.5 million. The ground lease will be supported by a Bally’s corporate guarantee and cross-defaulted with the Bally's Master Lease. This transaction is expected to close in early 2022.</w:t>
      </w:r>
    </w:p>
    <w:p>
      <w:pPr>
        <w:spacing w:after="0" w:line="213"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Both GLPI and Bally’s have committed to a structure in which GLPI has the potential to acquire additional assets in sale-leaseback transactions to the extent Bally’s elects to utilize GLPI’s capital as a funding source for their proposed acquisition of Gamesys Group plc. The $500 million commitment provides Bally’s an alternative financing commitment which at GLPI’s sole discretion may be funded in the form of equity, additional prepaid sale-leaseback transactions or secured loans.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Consistent with how our Chief Operating Decision Maker (as such term is defined in ASC 280 - </w:t>
      </w:r>
      <w:r>
        <w:rPr>
          <w:rFonts w:ascii="Arial" w:cs="Arial" w:eastAsia="Arial" w:hAnsi="Arial"/>
          <w:sz w:val="18"/>
          <w:szCs w:val="18"/>
          <w:i w:val="1"/>
          <w:iCs w:val="1"/>
          <w:color w:val="auto"/>
        </w:rPr>
        <w:t>Segment Reporting</w:t>
      </w:r>
      <w:r>
        <w:rPr>
          <w:rFonts w:ascii="Arial" w:cs="Arial" w:eastAsia="Arial" w:hAnsi="Arial"/>
          <w:sz w:val="18"/>
          <w:szCs w:val="18"/>
          <w:color w:val="auto"/>
        </w:rPr>
        <w:t>) reviews and assesses our financial performance, we have two reportable segments, GLP Capital and the TRS Segment. The GLP Capital reportable segment consists of the leased real property and represents the majority of our business. The TRS Segment consists of our operations at Hollywood Casino Perryville and Hollywood Casino Baton Rouge, as well as the real estate of Tropicana Las Vegas we acquired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We reported total revenues and income from operations of $301.5 million and $200.1 million for the three months ended March 31, 2021, respectively, compared to $283.5 million and $186.4 million, respectively, for the corresponding period in the prior year.</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major factors affecting our results for the three months ended March 31, 2021, as compared to the three months ended March 31, 2020, were as follows:</w:t>
      </w:r>
    </w:p>
    <w:p>
      <w:pPr>
        <w:spacing w:after="0" w:line="170" w:lineRule="exact"/>
        <w:rPr>
          <w:sz w:val="20"/>
          <w:szCs w:val="20"/>
          <w:color w:val="auto"/>
        </w:rPr>
      </w:pPr>
    </w:p>
    <w:p>
      <w:pPr>
        <w:ind w:left="660" w:right="40" w:hanging="328"/>
        <w:spacing w:after="0" w:line="301"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income from real estate was $263.8 million for the three months ended March 31, 2021, and $256.7 million for the three months ended March 31, 2020, respectively. Total income from real estate increased by $7.1 million for the three months ended March 31, 2021, as compared to the corresponding period in the prior year, primarily from favorable straight line rent adjustments of $9.5 million in accordance with ASC 842, higher percentage rent on our Penn Master Lease of $3.2 million due to strong results at Hollywood Casino Columbus and Hollywood Casino</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4" w:name="page35"/>
    <w:bookmarkEnd w:id="34"/>
    <w:p>
      <w:pPr>
        <w:ind w:left="660" w:right="20"/>
        <w:spacing w:after="0" w:line="269" w:lineRule="auto"/>
        <w:rPr>
          <w:sz w:val="20"/>
          <w:szCs w:val="20"/>
          <w:color w:val="auto"/>
        </w:rPr>
      </w:pPr>
      <w:r>
        <w:rPr>
          <w:rFonts w:ascii="Arial" w:cs="Arial" w:eastAsia="Arial" w:hAnsi="Arial"/>
          <w:sz w:val="17"/>
          <w:szCs w:val="17"/>
          <w:color w:val="auto"/>
        </w:rPr>
        <w:t>Toledo in the current year coupled with the negative impact from the temporary closures from COVID-19 in the prior year, and the impact of our Morgantown Lease that became effective on October 1, 2020 which added $0.75 million in rent during the three month period ended March 31, 2021. Partially offsetting these favorable variances was lower ground rents due to the Exchange Agreement with Caesars, which led to the exchange of the Tropicana Evansville property, which contained a ground lease, with Waterloo and Bettendorf, which did not contain ground leases, and lower percentage rents of $2.1 million on our Amended Pinnacle Master Lease, Boyd Master Lease and Meadows Lease as these leases reset in 2020 and were negatively impacted by COVID-19 mandated closures. The next resets of these leases is scheduled to occur in 2022. Additionally, we had lower cash rental income of $0.7 million from the Amended and Restated Caesars Master Lease that became effective in July 2020. Finally, in accordance with the rent deferral agreement that was signed in 2020 with Casino Queen, $2.1 million of rent was deferred due to the property's temporary closure in the first quarter of 2021. GLPI anticipates this amount will be collected at the closing of the HCBR transaction later this year.</w:t>
      </w:r>
    </w:p>
    <w:p>
      <w:pPr>
        <w:spacing w:after="0" w:line="212" w:lineRule="exact"/>
        <w:rPr>
          <w:sz w:val="20"/>
          <w:szCs w:val="20"/>
          <w:color w:val="auto"/>
        </w:rPr>
      </w:pPr>
    </w:p>
    <w:p>
      <w:pPr>
        <w:ind w:left="660" w:right="60" w:hanging="328"/>
        <w:spacing w:after="0" w:line="342"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Revenues for our TRS Properties increased by $10.9 million for the three months ended March 31, 2021, as compared to the corresponding period in the prior year, primarily due to strong results in 2021 and the impact of COVID-19 which closed both of these properties in mid-March 2020.</w:t>
      </w:r>
    </w:p>
    <w:p>
      <w:pPr>
        <w:spacing w:after="0" w:line="137" w:lineRule="exact"/>
        <w:rPr>
          <w:rFonts w:ascii="Arial" w:cs="Arial" w:eastAsia="Arial" w:hAnsi="Arial"/>
          <w:sz w:val="16"/>
          <w:szCs w:val="16"/>
          <w:color w:val="auto"/>
        </w:rPr>
      </w:pPr>
    </w:p>
    <w:p>
      <w:pPr>
        <w:ind w:left="660" w:right="60" w:hanging="328"/>
        <w:spacing w:after="0" w:line="286" w:lineRule="auto"/>
        <w:tabs>
          <w:tab w:leader="none" w:pos="621" w:val="left"/>
        </w:tabs>
        <w:numPr>
          <w:ilvl w:val="0"/>
          <w:numId w:val="30"/>
        </w:numPr>
        <w:rPr>
          <w:rFonts w:ascii="Arial" w:cs="Arial" w:eastAsia="Arial" w:hAnsi="Arial"/>
          <w:sz w:val="18"/>
          <w:szCs w:val="18"/>
          <w:b w:val="1"/>
          <w:bCs w:val="1"/>
          <w:color w:val="auto"/>
        </w:rPr>
      </w:pPr>
      <w:r>
        <w:rPr>
          <w:rFonts w:ascii="Arial" w:cs="Arial" w:eastAsia="Arial" w:hAnsi="Arial"/>
          <w:sz w:val="16"/>
          <w:szCs w:val="16"/>
          <w:color w:val="auto"/>
        </w:rPr>
        <w:t>Total operating expenses increased by $4.3 million for the three months ended March 31, 2021, as compared to the corresponding period in the prior year. The increase in operating expenses for the three months ended March 31, 2021 was primarily driven by higher expenses in our TRS Properties due to their closures in mid-March 2020 from COVID-19. Additionally, the Company had higher depreciation expense of $2.1 million due primarily to the acquisition of Belterra Park, Lumiere Place and the Tropicana Las Vegas transaction, which was partially offset by lower land rights and ground lease expense of $1.3 million due to the Exchange Agreement with Caesars, which led to the exchange of the Tropicana Evansville property, which contained a ground lease, with Waterloo and Bettendorf, which did not contain ground leases.</w:t>
      </w:r>
    </w:p>
    <w:p>
      <w:pPr>
        <w:spacing w:after="0" w:line="196" w:lineRule="exact"/>
        <w:rPr>
          <w:rFonts w:ascii="Arial" w:cs="Arial" w:eastAsia="Arial" w:hAnsi="Arial"/>
          <w:sz w:val="18"/>
          <w:szCs w:val="18"/>
          <w:b w:val="1"/>
          <w:bCs w:val="1"/>
          <w:color w:val="auto"/>
        </w:rPr>
      </w:pPr>
    </w:p>
    <w:p>
      <w:pPr>
        <w:ind w:left="660" w:right="40" w:hanging="328"/>
        <w:spacing w:after="0" w:line="286"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expenses decreased by $18.8 million for the three months ended March 31, 2021, as compared to the corresponding periods in the prior year due to debt extinguishment charges of $17.3 million for the three months ended March 31, 2020, as the Company retired certain near-term senior unsecured notes ("Senior Notes") to lengthen our average debt maturity and lower our financing costs.</w:t>
      </w:r>
    </w:p>
    <w:p>
      <w:pPr>
        <w:spacing w:after="0" w:line="192" w:lineRule="exact"/>
        <w:rPr>
          <w:rFonts w:ascii="Arial" w:cs="Arial" w:eastAsia="Arial" w:hAnsi="Arial"/>
          <w:sz w:val="17"/>
          <w:szCs w:val="17"/>
          <w:color w:val="auto"/>
        </w:rPr>
      </w:pPr>
    </w:p>
    <w:p>
      <w:pPr>
        <w:ind w:left="660" w:right="2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tax expense increased by $2.3 million for the three months ended March 31, 2021, as compared to the corresponding period in the prior year due to improved performance at the TRS Segment due to strong results in the current period as well as the impact of temporary closures related to COVID-19 in the prior year.</w:t>
      </w:r>
    </w:p>
    <w:p>
      <w:pPr>
        <w:spacing w:after="0" w:line="210"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income increased by $30.3 million for the three months ended March 31, 2021, as compared to the corresponding period in the prior year, primarily due to the variances explained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income taxes, and real estate investments as critical accounting estimates, as they are the most important to our financial statement presentation and require difficult, subjective and complex judgments.</w:t>
      </w:r>
    </w:p>
    <w:p>
      <w:pPr>
        <w:spacing w:after="0" w:line="15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on Form 10-K (our "Annual Report"). There has been no material change to these estimates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may contribute to our operating performance:</w:t>
      </w:r>
    </w:p>
    <w:p>
      <w:pPr>
        <w:spacing w:after="0" w:line="252" w:lineRule="exact"/>
        <w:rPr>
          <w:sz w:val="20"/>
          <w:szCs w:val="20"/>
          <w:color w:val="auto"/>
        </w:rPr>
      </w:pPr>
    </w:p>
    <w:p>
      <w:pPr>
        <w:ind w:left="660" w:right="120" w:hanging="328"/>
        <w:spacing w:after="0" w:line="271"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discussed previously, the impact of the COVID-19 outbreak resulted in the nationwide closures of all casino operations throughout the United States in mid March 2020 which extended in many jurisdictions where our properties were located through the summer of 2020. The majority of our leases have components of rent that are based on a percentage of the net revenues generated by the properties in the applicable leases as well as escalation clauses based on the applicable leases' adjusted revenues to rent ratios. Our tenants have reopened their facilities and generated strong operating performance from improved margins primarily from cost cutting measures and the elimination of lower margin offerings which have more than outpaced revenue declines, although the pace of the revenue declines has improved in recent months. We are unable to predict whether the strong operating performance that our tenants have experienced since reopening their operations will continue and the impact it will have on our rental income stream in future periods.</w:t>
      </w:r>
    </w:p>
    <w:p>
      <w:pPr>
        <w:spacing w:after="0" w:line="205"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fact that several wholly-owned subsidiaries of Penn lease a substantial number of our properties, pursuant to two master leases and two single property leases and account for a significant portion of our revenue.</w:t>
      </w:r>
    </w:p>
    <w:p>
      <w:pPr>
        <w:spacing w:after="0" w:line="197"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refinance our significant levels of debt at attractive terms and obtain favorable funding in connection with future business opportunities.</w:t>
      </w:r>
    </w:p>
    <w:p>
      <w:pPr>
        <w:spacing w:after="0" w:line="170" w:lineRule="exact"/>
        <w:rPr>
          <w:rFonts w:ascii="Arial" w:cs="Arial" w:eastAsia="Arial" w:hAnsi="Arial"/>
          <w:sz w:val="18"/>
          <w:szCs w:val="18"/>
          <w:color w:val="auto"/>
        </w:rPr>
      </w:pPr>
    </w:p>
    <w:p>
      <w:pPr>
        <w:ind w:left="660" w:right="20" w:hanging="328"/>
        <w:spacing w:after="0" w:line="286"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fact that the rules and regulations of U.S. federal income taxation are constantly under review by legislators, the Internal Revenue Service and the U.S. Department of the Treasury. Changes to the tax laws or interpretations thereof, including any changes proposed and implemented by the new administration, with or without retroactive application, could materially and adversely affect GLPI and its investors.</w:t>
      </w:r>
    </w:p>
    <w:p>
      <w:pPr>
        <w:spacing w:after="0" w:line="19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consolidated results of operations for the three months ended March 31, 2021 and 2020 are summarized below:</w:t>
      </w:r>
    </w:p>
    <w:p>
      <w:pPr>
        <w:spacing w:after="0" w:line="257"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51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r>
      <w:tr>
        <w:trPr>
          <w:trHeight w:val="183"/>
        </w:trPr>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301,543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283,482</w:t>
            </w:r>
          </w:p>
        </w:tc>
        <w:tc>
          <w:tcPr>
            <w:tcW w:w="100" w:type="dxa"/>
            <w:vAlign w:val="bottom"/>
            <w:shd w:val="clear" w:color="auto" w:fill="CCEEFF"/>
          </w:tcPr>
          <w:p>
            <w:pPr>
              <w:spacing w:after="0"/>
              <w:rPr>
                <w:sz w:val="20"/>
                <w:szCs w:val="20"/>
                <w:color w:val="auto"/>
              </w:rPr>
            </w:pPr>
          </w:p>
        </w:tc>
      </w:tr>
      <w:tr>
        <w:trPr>
          <w:trHeight w:val="23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101,442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97,132</w:t>
            </w:r>
          </w:p>
        </w:tc>
        <w:tc>
          <w:tcPr>
            <w:tcW w:w="100" w:type="dxa"/>
            <w:vAlign w:val="bottom"/>
            <w:tcBorders>
              <w:bottom w:val="single" w:sz="8" w:color="CCEEFF"/>
            </w:tcBorders>
          </w:tcPr>
          <w:p>
            <w:pPr>
              <w:spacing w:after="0"/>
              <w:rPr>
                <w:sz w:val="19"/>
                <w:szCs w:val="19"/>
                <w:color w:val="auto"/>
              </w:rPr>
            </w:pPr>
          </w:p>
        </w:tc>
      </w:tr>
      <w:tr>
        <w:trPr>
          <w:trHeight w:val="22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186,350</w:t>
            </w:r>
          </w:p>
        </w:tc>
        <w:tc>
          <w:tcPr>
            <w:tcW w:w="100" w:type="dxa"/>
            <w:vAlign w:val="bottom"/>
            <w:shd w:val="clear" w:color="auto" w:fill="CCEEFF"/>
          </w:tcPr>
          <w:p>
            <w:pPr>
              <w:spacing w:after="0"/>
              <w:rPr>
                <w:sz w:val="19"/>
                <w:szCs w:val="19"/>
                <w:color w:val="auto"/>
              </w:rPr>
            </w:pPr>
          </w:p>
        </w:tc>
      </w:tr>
      <w:tr>
        <w:trPr>
          <w:trHeight w:val="23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(89,137)</w:t>
            </w:r>
          </w:p>
        </w:tc>
        <w:tc>
          <w:tcPr>
            <w:tcW w:w="100" w:type="dxa"/>
            <w:vAlign w:val="bottom"/>
            <w:tcBorders>
              <w:bottom w:val="single" w:sz="8" w:color="CCEEFF"/>
            </w:tcBorders>
          </w:tcPr>
          <w:p>
            <w:pPr>
              <w:spacing w:after="0"/>
              <w:rPr>
                <w:sz w:val="19"/>
                <w:szCs w:val="19"/>
                <w:color w:val="auto"/>
              </w:rPr>
            </w:pPr>
          </w:p>
        </w:tc>
      </w:tr>
      <w:tr>
        <w:trPr>
          <w:trHeight w:val="22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97,213</w:t>
            </w:r>
          </w:p>
        </w:tc>
        <w:tc>
          <w:tcPr>
            <w:tcW w:w="100" w:type="dxa"/>
            <w:vAlign w:val="bottom"/>
            <w:shd w:val="clear" w:color="auto" w:fill="CCEEFF"/>
          </w:tcPr>
          <w:p>
            <w:pPr>
              <w:spacing w:after="0"/>
              <w:rPr>
                <w:sz w:val="19"/>
                <w:szCs w:val="19"/>
                <w:color w:val="auto"/>
              </w:rPr>
            </w:pPr>
          </w:p>
        </w:tc>
      </w:tr>
      <w:tr>
        <w:trPr>
          <w:trHeight w:val="23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r>
      <w:tr>
        <w:trPr>
          <w:trHeight w:val="248"/>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three months ended March 31, 2021 and 2020 is summarized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3"/>
        </w:trPr>
        <w:tc>
          <w:tcPr>
            <w:tcW w:w="5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Income from Operations</w:t>
            </w:r>
          </w:p>
        </w:tc>
      </w:tr>
      <w:tr>
        <w:trPr>
          <w:trHeight w:val="183"/>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GLP Capital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263,842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183,184</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TRS Properties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ind w:right="360"/>
        <w:spacing w:after="0" w:line="277" w:lineRule="auto"/>
        <w:rPr>
          <w:sz w:val="20"/>
          <w:szCs w:val="20"/>
          <w:color w:val="auto"/>
        </w:rPr>
      </w:pPr>
      <w:r>
        <w:rPr>
          <w:rFonts w:ascii="Arial" w:cs="Arial" w:eastAsia="Arial" w:hAnsi="Arial"/>
          <w:sz w:val="18"/>
          <w:szCs w:val="18"/>
          <w:color w:val="auto"/>
        </w:rPr>
        <w:t>depreciation and we believe that real estate values fluctuate based on market conditions rather than depreciating in value ratably on a straight-line basis over time.</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the amortization of land rights, straight-line rent adjustments, and losses on debt extinguishment, reduced by maintenance capital expenditures. Finally, we define Adjusted EBITDA as net income excluding interest, taxes on income, depreciation, (gains) or losses from sales of property, stock based compensation expense, straight-line rent adjustments, the amortization of land rights, and losses on debt extinguishment.</w:t>
      </w:r>
    </w:p>
    <w:p>
      <w:pPr>
        <w:spacing w:after="0" w:line="20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93" w:lineRule="exact"/>
        <w:rPr>
          <w:sz w:val="20"/>
          <w:szCs w:val="20"/>
          <w:color w:val="auto"/>
        </w:rPr>
      </w:pPr>
    </w:p>
    <w:p>
      <w:pPr>
        <w:ind w:right="240" w:firstLine="690"/>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three months ended March 31, 2021 and 2020 is as follows:</w:t>
      </w:r>
    </w:p>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5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127,184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96,894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Losses from dispositions of property</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Real estate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Funds from operations</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183,573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151,174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Straight-line rent adjustments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Other depreciation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rights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line="176" w:lineRule="exact"/>
              <w:rPr>
                <w:sz w:val="20"/>
                <w:szCs w:val="20"/>
                <w:color w:val="auto"/>
              </w:rPr>
            </w:pPr>
            <w:r>
              <w:rPr>
                <w:rFonts w:ascii="Arial" w:cs="Arial" w:eastAsia="Arial" w:hAnsi="Arial"/>
                <w:sz w:val="18"/>
                <w:szCs w:val="18"/>
                <w:color w:val="auto"/>
                <w:w w:val="92"/>
              </w:rPr>
              <w:t>Amortization of debt issuance costs, bond premiums and original issuance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discounts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Losses on debt extinguishment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Capital maintenance expenditures</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Adjusted funds from operations</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195,720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188,810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Capital maintenance expenditures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line="176" w:lineRule="exact"/>
              <w:rPr>
                <w:sz w:val="20"/>
                <w:szCs w:val="20"/>
                <w:color w:val="auto"/>
              </w:rPr>
            </w:pPr>
            <w:r>
              <w:rPr>
                <w:rFonts w:ascii="Arial" w:cs="Arial" w:eastAsia="Arial" w:hAnsi="Arial"/>
                <w:sz w:val="18"/>
                <w:szCs w:val="18"/>
                <w:color w:val="auto"/>
                <w:w w:val="92"/>
              </w:rPr>
              <w:t>Amortization of debt issuance costs, bond premiums and original issuance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discounts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266,605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258,813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40" w:firstLine="648"/>
        <w:spacing w:after="0" w:line="269" w:lineRule="auto"/>
        <w:rPr>
          <w:sz w:val="20"/>
          <w:szCs w:val="20"/>
          <w:color w:val="auto"/>
        </w:rPr>
      </w:pPr>
      <w:r>
        <w:rPr>
          <w:rFonts w:ascii="Arial" w:cs="Arial" w:eastAsia="Arial" w:hAnsi="Arial"/>
          <w:sz w:val="18"/>
          <w:szCs w:val="18"/>
          <w:color w:val="auto"/>
        </w:rPr>
        <w:t>The reconciliation of each segment’s net income per GAAP to FFO, AFFO, and Adjusted EBITDA for the three months ended March 31, 2021 and 2020 is as follows:</w:t>
      </w: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w w:val="98"/>
              </w:rPr>
              <w:t>GLP Capital</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4"/>
                <w:szCs w:val="14"/>
                <w:b w:val="1"/>
                <w:bCs w:val="1"/>
                <w:color w:val="auto"/>
                <w:w w:val="92"/>
              </w:rPr>
              <w:t>TRS Properties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center"/>
              <w:ind w:right="27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4"/>
          </w:tcPr>
          <w:p>
            <w:pPr>
              <w:jc w:val="center"/>
              <w:ind w:right="39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67"/>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79"/>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124,048</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96,521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3,136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from dispositions of property</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180,437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150,800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Straight-line rent adjustments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depreciation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191,161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1,603</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254,835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253,859</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4,954</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056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80" w:right="220" w:hanging="648"/>
        <w:spacing w:after="0" w:line="227" w:lineRule="auto"/>
        <w:tabs>
          <w:tab w:leader="none" w:pos="96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Interest expense, net for the GLP Capital segment is net of intercompany interest eliminations of $4.5 million and $2.6 million for the three months ended March 31, 2021 and 2020, respectively.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for our GLP Capital segment was $124.0 million for the three months ended March 31, 2021 and $96.5 million for the three months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2020. FFO, AFFO, and Adjusted EBITDA for our GLP Capital segment were $180.4 million, $191.2 million and $254.8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2021, respectively. FFO, AFFO, and Adjusted EBITDA for our GLP Capital segment were $150.8 million, $187.2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and $253.9 million for the three months ended March 31, 2020, respectively. The increase in net income for our GLP Capital segment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2021, as compared to the three months ended March 31, 2020, was primarily driven by debt extinguishment charges of $17.3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prior year related to the redemption of certain Senior Notes, a $7.1 million increase in income from real estate, and lower interest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various refinancings that occurred in 2020.</w:t>
      </w:r>
    </w:p>
    <w:p>
      <w:pPr>
        <w:spacing w:after="0" w:line="23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increase in FFO in our GLP Capital segment for the three months ended March 31, 2021, as compared to the three months ended March 31, 2020, was driven by the explanations above, including an add-back for real estate depreciation expense. The increase in AFFO for our GLP Capital segment for the three months ended March 31, 2021, as compared to the three months ended March 31, 2020 was primarily driven by the changes described above, less the adjustments mentioned in the table above, primarily straight-line rent adjustments and losses on debt extinguishment. Adjusted EBITDA for our GLP Capital segment for the three months ended March 31, 2021, as compared to the three months ended March 31, 2020, also increased, driven by the explanations above, as well as adjustments mentioned in the table above, primarily related to interest expense.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ind w:right="200" w:firstLine="648"/>
        <w:spacing w:after="0" w:line="254" w:lineRule="auto"/>
        <w:rPr>
          <w:sz w:val="20"/>
          <w:szCs w:val="20"/>
          <w:color w:val="auto"/>
        </w:rPr>
      </w:pPr>
      <w:r>
        <w:rPr>
          <w:rFonts w:ascii="Arial" w:cs="Arial" w:eastAsia="Arial" w:hAnsi="Arial"/>
          <w:sz w:val="18"/>
          <w:szCs w:val="18"/>
          <w:color w:val="auto"/>
        </w:rPr>
        <w:t>Net income, FFO, AFFO and Adjusted EBITDA for our TRS Properties segment each increased from the corresponding period in the prior year primarily due to the impact of COVID-19, which resulted in both properties being forced to close in mid-March 2020. Hollywood Casino Baton Rouge reopened to the public on May 18, 2020 and Hollywood Casino Perryville reopened on June 19, 2020 with various restrictions to limit capacity in accordance with regulatory requirements.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the performance of our TRS Properties for the three months ended March 31, 2021 has exceeded the corresponding period in the prior years as spend per visit has increased coupled with reductions in marketing and payroll costs on various amenities that have been curtailed in light of the capacity restrictions.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months ended March 31, 2021 and 2020 were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Percentage</w:t>
            </w:r>
          </w:p>
        </w:tc>
      </w:tr>
      <w:tr>
        <w:trPr>
          <w:trHeight w:val="188"/>
        </w:trPr>
        <w:tc>
          <w:tcPr>
            <w:tcW w:w="5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Variance</w:t>
            </w:r>
          </w:p>
        </w:tc>
      </w:tr>
      <w:tr>
        <w:trPr>
          <w:trHeight w:val="224"/>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Interest income from real estate</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from real estate</w:t>
            </w: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256,723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5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Gaming, food, beverage and 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40.9 %</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income from real estate</w:t>
      </w:r>
    </w:p>
    <w:p>
      <w:pPr>
        <w:spacing w:after="0" w:line="229" w:lineRule="exact"/>
        <w:rPr>
          <w:sz w:val="20"/>
          <w:szCs w:val="20"/>
          <w:color w:val="auto"/>
        </w:rPr>
      </w:pPr>
    </w:p>
    <w:p>
      <w:pPr>
        <w:jc w:val="both"/>
        <w:ind w:right="180" w:firstLine="648"/>
        <w:spacing w:after="0" w:line="272" w:lineRule="auto"/>
        <w:rPr>
          <w:sz w:val="20"/>
          <w:szCs w:val="20"/>
          <w:color w:val="auto"/>
        </w:rPr>
      </w:pPr>
      <w:r>
        <w:rPr>
          <w:rFonts w:ascii="Arial" w:cs="Arial" w:eastAsia="Arial" w:hAnsi="Arial"/>
          <w:sz w:val="17"/>
          <w:szCs w:val="17"/>
          <w:color w:val="auto"/>
        </w:rPr>
        <w:t>For the three months ended March 31, 2021 and 2020, total income from real estate was $263.8 million and $256.7 million, respectively, for our GLP Capital segment.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 These amounts decreased by $1.4 million in the three months ended March 31, 2021 compared to the corresponding period in the prior year due to the Exchange Agreement with Caesars which swapped out the Tropicana Evansville property containing a ground lease with Waterloo and Bettendorf, which did not contain ground leases.</w:t>
      </w:r>
    </w:p>
    <w:p>
      <w:pPr>
        <w:spacing w:after="0" w:line="20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Total income from real estate increased $7.1 million, or 2.8%, for the three months ended March 31, 2021, as compared to the corresponding period in the prior year, primarily from favorable straight line rent adjustments of $9.5 million in accordance with ASC 842, and higher percentage rent on our Penn Master Lease of $3.2 million due to strong results at Hollywood Casino Columbus and Hollywood Casino Toledo in the current year coupled with the negative impact from the temporary closures from COVID-19 in the prior year and the impact of our Morgantown Lease that became effective on October 1, 2020, which added $0.75 million in rent during the three month period ended March 31, 2021. Partially offsetting these favorable variances was the variance discussed above related to ground rents and lower percentage rents of $2.1 million on our Amended Pinnacle Master Lease, Boyd Master Lease and Meadows Lease as these leases reset in 2020 and will not reset again until 2022. Additionally, we had lower cash rental income of $0.7 million from the Amended and Restated Caesars Master Lease that became effective in July 2020. Finally, in accordance with the rent deferral agreement that was signed in 2020 with Casino Queen, $2.1 million of rent was deferred due to the property's temporary closure in the first quarter of 2021. GLPI anticipates this amount will be collected at the closing of the HCBR transaction later this year.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Details of the Company's income from real estate for the three months ended March 31, 2021 was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Amended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Pinnacle</w:t>
            </w:r>
          </w:p>
        </w:tc>
        <w:tc>
          <w:tcPr>
            <w:tcW w:w="140" w:type="dxa"/>
            <w:vAlign w:val="bottom"/>
          </w:tcPr>
          <w:p>
            <w:pPr>
              <w:spacing w:after="0"/>
              <w:rPr>
                <w:sz w:val="14"/>
                <w:szCs w:val="14"/>
                <w:color w:val="auto"/>
              </w:rPr>
            </w:pPr>
          </w:p>
        </w:tc>
        <w:tc>
          <w:tcPr>
            <w:tcW w:w="68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Caesars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rPr>
              <w:t>BYD</w:t>
            </w:r>
          </w:p>
        </w:tc>
        <w:tc>
          <w:tcPr>
            <w:tcW w:w="12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Penn -</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Penn Master</w:t>
            </w:r>
          </w:p>
        </w:tc>
        <w:tc>
          <w:tcPr>
            <w:tcW w:w="140" w:type="dxa"/>
            <w:vAlign w:val="bottom"/>
          </w:tcPr>
          <w:p>
            <w:pPr>
              <w:spacing w:after="0"/>
              <w:rPr>
                <w:sz w:val="7"/>
                <w:szCs w:val="7"/>
                <w:color w:val="auto"/>
              </w:rPr>
            </w:pPr>
          </w:p>
        </w:tc>
        <w:tc>
          <w:tcPr>
            <w:tcW w:w="72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Master</w:t>
            </w:r>
          </w:p>
        </w:tc>
        <w:tc>
          <w:tcPr>
            <w:tcW w:w="140" w:type="dxa"/>
            <w:vAlign w:val="bottom"/>
          </w:tcPr>
          <w:p>
            <w:pPr>
              <w:spacing w:after="0"/>
              <w:rPr>
                <w:sz w:val="7"/>
                <w:szCs w:val="7"/>
                <w:color w:val="auto"/>
              </w:rPr>
            </w:pPr>
          </w:p>
        </w:tc>
        <w:tc>
          <w:tcPr>
            <w:tcW w:w="680" w:type="dxa"/>
            <w:vAlign w:val="bottom"/>
          </w:tcPr>
          <w:p>
            <w:pPr>
              <w:jc w:val="center"/>
              <w:ind w:right="17"/>
              <w:spacing w:after="0" w:line="81" w:lineRule="exact"/>
              <w:rPr>
                <w:sz w:val="20"/>
                <w:szCs w:val="20"/>
                <w:color w:val="auto"/>
              </w:rPr>
            </w:pPr>
            <w:r>
              <w:rPr>
                <w:rFonts w:ascii="Arial" w:cs="Arial" w:eastAsia="Arial" w:hAnsi="Arial"/>
                <w:sz w:val="9"/>
                <w:szCs w:val="9"/>
                <w:b w:val="1"/>
                <w:bCs w:val="1"/>
                <w:color w:val="auto"/>
              </w:rPr>
              <w:t>Master</w:t>
            </w:r>
          </w:p>
        </w:tc>
        <w:tc>
          <w:tcPr>
            <w:tcW w:w="180" w:type="dxa"/>
            <w:vAlign w:val="bottom"/>
          </w:tcPr>
          <w:p>
            <w:pPr>
              <w:spacing w:after="0"/>
              <w:rPr>
                <w:sz w:val="7"/>
                <w:szCs w:val="7"/>
                <w:color w:val="auto"/>
              </w:rPr>
            </w:pPr>
          </w:p>
        </w:tc>
        <w:tc>
          <w:tcPr>
            <w:tcW w:w="680" w:type="dxa"/>
            <w:vAlign w:val="bottom"/>
          </w:tcPr>
          <w:p>
            <w:pPr>
              <w:jc w:val="right"/>
              <w:ind w:right="55"/>
              <w:spacing w:after="0" w:line="81" w:lineRule="exact"/>
              <w:rPr>
                <w:sz w:val="20"/>
                <w:szCs w:val="20"/>
                <w:color w:val="auto"/>
              </w:rPr>
            </w:pPr>
            <w:r>
              <w:rPr>
                <w:rFonts w:ascii="Arial" w:cs="Arial" w:eastAsia="Arial" w:hAnsi="Arial"/>
                <w:sz w:val="9"/>
                <w:szCs w:val="9"/>
                <w:b w:val="1"/>
                <w:bCs w:val="1"/>
                <w:color w:val="auto"/>
              </w:rPr>
              <w:t>Lumiere</w:t>
            </w:r>
          </w:p>
        </w:tc>
        <w:tc>
          <w:tcPr>
            <w:tcW w:w="90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BYD Master</w:t>
            </w:r>
          </w:p>
        </w:tc>
        <w:tc>
          <w:tcPr>
            <w:tcW w:w="160" w:type="dxa"/>
            <w:vAlign w:val="bottom"/>
          </w:tcPr>
          <w:p>
            <w:pPr>
              <w:spacing w:after="0"/>
              <w:rPr>
                <w:sz w:val="7"/>
                <w:szCs w:val="7"/>
                <w:color w:val="auto"/>
              </w:rPr>
            </w:pPr>
          </w:p>
        </w:tc>
        <w:tc>
          <w:tcPr>
            <w:tcW w:w="720" w:type="dxa"/>
            <w:vAlign w:val="bottom"/>
          </w:tcPr>
          <w:p>
            <w:pPr>
              <w:jc w:val="center"/>
              <w:ind w:right="37"/>
              <w:spacing w:after="0" w:line="81" w:lineRule="exact"/>
              <w:rPr>
                <w:sz w:val="20"/>
                <w:szCs w:val="20"/>
                <w:color w:val="auto"/>
              </w:rPr>
            </w:pPr>
            <w:r>
              <w:rPr>
                <w:rFonts w:ascii="Arial" w:cs="Arial" w:eastAsia="Arial" w:hAnsi="Arial"/>
                <w:sz w:val="9"/>
                <w:szCs w:val="9"/>
                <w:b w:val="1"/>
                <w:bCs w:val="1"/>
                <w:color w:val="auto"/>
              </w:rPr>
              <w:t>Belterra</w:t>
            </w:r>
          </w:p>
        </w:tc>
        <w:tc>
          <w:tcPr>
            <w:tcW w:w="120" w:type="dxa"/>
            <w:vAlign w:val="bottom"/>
          </w:tcPr>
          <w:p>
            <w:pPr>
              <w:spacing w:after="0"/>
              <w:rPr>
                <w:sz w:val="7"/>
                <w:szCs w:val="7"/>
                <w:color w:val="auto"/>
              </w:rPr>
            </w:pPr>
          </w:p>
        </w:tc>
        <w:tc>
          <w:tcPr>
            <w:tcW w:w="7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Meadows</w:t>
            </w:r>
          </w:p>
        </w:tc>
        <w:tc>
          <w:tcPr>
            <w:tcW w:w="200" w:type="dxa"/>
            <w:vAlign w:val="bottom"/>
          </w:tcPr>
          <w:p>
            <w:pPr>
              <w:spacing w:after="0"/>
              <w:rPr>
                <w:sz w:val="7"/>
                <w:szCs w:val="7"/>
                <w:color w:val="auto"/>
              </w:rPr>
            </w:pPr>
          </w:p>
        </w:tc>
        <w:tc>
          <w:tcPr>
            <w:tcW w:w="680" w:type="dxa"/>
            <w:vAlign w:val="bottom"/>
          </w:tcPr>
          <w:p>
            <w:pPr>
              <w:jc w:val="right"/>
              <w:ind w:right="135"/>
              <w:spacing w:after="0" w:line="81" w:lineRule="exact"/>
              <w:rPr>
                <w:sz w:val="20"/>
                <w:szCs w:val="20"/>
                <w:color w:val="auto"/>
              </w:rPr>
            </w:pPr>
            <w:r>
              <w:rPr>
                <w:rFonts w:ascii="Arial" w:cs="Arial" w:eastAsia="Arial" w:hAnsi="Arial"/>
                <w:sz w:val="9"/>
                <w:szCs w:val="9"/>
                <w:b w:val="1"/>
                <w:bCs w:val="1"/>
                <w:color w:val="auto"/>
              </w:rPr>
              <w:t>Casino</w:t>
            </w:r>
          </w:p>
        </w:tc>
        <w:tc>
          <w:tcPr>
            <w:tcW w:w="120" w:type="dxa"/>
            <w:vAlign w:val="bottom"/>
          </w:tcPr>
          <w:p>
            <w:pPr>
              <w:spacing w:after="0"/>
              <w:rPr>
                <w:sz w:val="7"/>
                <w:szCs w:val="7"/>
                <w:color w:val="auto"/>
              </w:rPr>
            </w:pPr>
          </w:p>
        </w:tc>
        <w:tc>
          <w:tcPr>
            <w:tcW w:w="940" w:type="dxa"/>
            <w:vAlign w:val="bottom"/>
          </w:tcPr>
          <w:p>
            <w:pPr>
              <w:jc w:val="right"/>
              <w:ind w:right="276"/>
              <w:spacing w:after="0" w:line="81" w:lineRule="exact"/>
              <w:rPr>
                <w:sz w:val="20"/>
                <w:szCs w:val="20"/>
                <w:color w:val="auto"/>
              </w:rPr>
            </w:pPr>
            <w:r>
              <w:rPr>
                <w:rFonts w:ascii="Arial" w:cs="Arial" w:eastAsia="Arial" w:hAnsi="Arial"/>
                <w:sz w:val="9"/>
                <w:szCs w:val="9"/>
                <w:b w:val="1"/>
                <w:bCs w:val="1"/>
                <w:color w:val="auto"/>
              </w:rPr>
              <w:t>Penn</w:t>
            </w:r>
          </w:p>
        </w:tc>
        <w:tc>
          <w:tcPr>
            <w:tcW w:w="240" w:type="dxa"/>
            <w:vAlign w:val="bottom"/>
          </w:tcPr>
          <w:p>
            <w:pPr>
              <w:spacing w:after="0"/>
              <w:rPr>
                <w:sz w:val="7"/>
                <w:szCs w:val="7"/>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right"/>
              <w:ind w:right="740"/>
              <w:spacing w:after="0"/>
              <w:rPr>
                <w:sz w:val="20"/>
                <w:szCs w:val="20"/>
                <w:color w:val="auto"/>
              </w:rPr>
            </w:pPr>
            <w:r>
              <w:rPr>
                <w:rFonts w:ascii="Arial" w:cs="Arial" w:eastAsia="Arial" w:hAnsi="Arial"/>
                <w:sz w:val="13"/>
                <w:szCs w:val="13"/>
                <w:b w:val="1"/>
                <w:bCs w:val="1"/>
                <w:color w:val="auto"/>
                <w:w w:val="88"/>
              </w:rPr>
              <w:t>March 31, 2021</w:t>
            </w:r>
          </w:p>
        </w:tc>
        <w:tc>
          <w:tcPr>
            <w:tcW w:w="160" w:type="dxa"/>
            <w:vAlign w:val="bottom"/>
          </w:tcPr>
          <w:p>
            <w:pPr>
              <w:spacing w:after="0"/>
              <w:rPr>
                <w:sz w:val="12"/>
                <w:szCs w:val="12"/>
                <w:color w:val="auto"/>
              </w:rPr>
            </w:pPr>
          </w:p>
        </w:tc>
        <w:tc>
          <w:tcPr>
            <w:tcW w:w="6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Lease</w:t>
            </w:r>
          </w:p>
        </w:tc>
        <w:tc>
          <w:tcPr>
            <w:tcW w:w="14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Lease</w:t>
            </w:r>
          </w:p>
        </w:tc>
        <w:tc>
          <w:tcPr>
            <w:tcW w:w="140" w:type="dxa"/>
            <w:vAlign w:val="bottom"/>
          </w:tcPr>
          <w:p>
            <w:pPr>
              <w:spacing w:after="0"/>
              <w:rPr>
                <w:sz w:val="12"/>
                <w:szCs w:val="12"/>
                <w:color w:val="auto"/>
              </w:rPr>
            </w:pPr>
          </w:p>
        </w:tc>
        <w:tc>
          <w:tcPr>
            <w:tcW w:w="6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Lease</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Place Lease</w:t>
            </w:r>
          </w:p>
        </w:tc>
        <w:tc>
          <w:tcPr>
            <w:tcW w:w="220" w:type="dxa"/>
            <w:vAlign w:val="bottom"/>
          </w:tcPr>
          <w:p>
            <w:pPr>
              <w:spacing w:after="0"/>
              <w:rPr>
                <w:sz w:val="12"/>
                <w:szCs w:val="12"/>
                <w:color w:val="auto"/>
              </w:rPr>
            </w:pPr>
          </w:p>
        </w:tc>
        <w:tc>
          <w:tcPr>
            <w:tcW w:w="6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Lease</w:t>
            </w:r>
          </w:p>
        </w:tc>
        <w:tc>
          <w:tcPr>
            <w:tcW w:w="16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Lease</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Lease</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1"/>
              </w:rPr>
              <w:t>Queen Lease</w:t>
            </w:r>
          </w:p>
        </w:tc>
        <w:tc>
          <w:tcPr>
            <w:tcW w:w="120" w:type="dxa"/>
            <w:vAlign w:val="bottom"/>
          </w:tcPr>
          <w:p>
            <w:pPr>
              <w:spacing w:after="0"/>
              <w:rPr>
                <w:sz w:val="12"/>
                <w:szCs w:val="12"/>
                <w:color w:val="auto"/>
              </w:rPr>
            </w:pPr>
          </w:p>
        </w:tc>
        <w:tc>
          <w:tcPr>
            <w:tcW w:w="9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96"/>
              </w:rPr>
              <w:t>Morgantown</w:t>
            </w: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Building base 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172,449</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Land base rent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23,492</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17,814</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5,932</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2,946</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51,408</w:t>
            </w:r>
          </w:p>
        </w:tc>
        <w:tc>
          <w:tcPr>
            <w:tcW w:w="0" w:type="dxa"/>
            <w:vAlign w:val="bottom"/>
          </w:tcPr>
          <w:p>
            <w:pPr>
              <w:spacing w:after="0"/>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Percentage rent</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23,567</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35,996</w:t>
            </w:r>
          </w:p>
        </w:tc>
        <w:tc>
          <w:tcPr>
            <w:tcW w:w="0" w:type="dxa"/>
            <w:vAlign w:val="bottom"/>
          </w:tcPr>
          <w:p>
            <w:pPr>
              <w:spacing w:after="0"/>
              <w:rPr>
                <w:sz w:val="1"/>
                <w:szCs w:val="1"/>
                <w:color w:val="auto"/>
              </w:rPr>
            </w:pPr>
          </w:p>
        </w:tc>
      </w:tr>
      <w:tr>
        <w:trPr>
          <w:trHeight w:val="223"/>
        </w:trPr>
        <w:tc>
          <w:tcPr>
            <w:tcW w:w="23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Total cash rental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116,911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81,309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5,701</w:t>
            </w:r>
          </w:p>
        </w:tc>
        <w:tc>
          <w:tcPr>
            <w:tcW w:w="2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24,318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6,214</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259,853</w:t>
            </w:r>
          </w:p>
        </w:tc>
        <w:tc>
          <w:tcPr>
            <w:tcW w:w="0" w:type="dxa"/>
            <w:vAlign w:val="bottom"/>
          </w:tcPr>
          <w:p>
            <w:pPr>
              <w:spacing w:after="0"/>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spacing w:after="0"/>
              <w:rPr>
                <w:sz w:val="23"/>
                <w:szCs w:val="23"/>
                <w:color w:val="auto"/>
              </w:rPr>
            </w:pPr>
          </w:p>
        </w:tc>
        <w:tc>
          <w:tcPr>
            <w:tcW w:w="11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00" w:type="dxa"/>
            <w:vAlign w:val="bottom"/>
            <w:gridSpan w:val="6"/>
          </w:tcPr>
          <w:p>
            <w:pPr>
              <w:jc w:val="right"/>
              <w:spacing w:after="0"/>
              <w:rPr>
                <w:sz w:val="20"/>
                <w:szCs w:val="20"/>
                <w:color w:val="auto"/>
              </w:rPr>
            </w:pPr>
            <w:r>
              <w:rPr>
                <w:rFonts w:ascii="Arial" w:cs="Arial" w:eastAsia="Arial" w:hAnsi="Arial"/>
                <w:sz w:val="18"/>
                <w:szCs w:val="18"/>
                <w:color w:val="auto"/>
                <w:w w:val="97"/>
              </w:rPr>
              <w:t>Straight-line rent adjustments $</w:t>
            </w:r>
          </w:p>
        </w:tc>
        <w:tc>
          <w:tcPr>
            <w:tcW w:w="680" w:type="dxa"/>
            <w:vAlign w:val="bottom"/>
          </w:tcPr>
          <w:p>
            <w:pPr>
              <w:jc w:val="right"/>
              <w:spacing w:after="0"/>
              <w:rPr>
                <w:sz w:val="20"/>
                <w:szCs w:val="20"/>
                <w:color w:val="auto"/>
              </w:rPr>
            </w:pPr>
            <w:r>
              <w:rPr>
                <w:rFonts w:ascii="Arial" w:cs="Arial" w:eastAsia="Arial" w:hAnsi="Arial"/>
                <w:sz w:val="18"/>
                <w:szCs w:val="18"/>
                <w:color w:val="auto"/>
              </w:rPr>
              <w:t>2,231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Ground rent in revenue</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29"/>
        </w:trPr>
        <w:tc>
          <w:tcPr>
            <w:tcW w:w="5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w w:val="93"/>
              </w:rPr>
              <w:t>Other rental revenue</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Total income from real estate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119,844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263,842</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-1499235</wp:posOffset>
            </wp:positionV>
            <wp:extent cx="196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Gaming, food, beverage and other revenue for our TRS Properties segment increased by $10.9 million, or 40.9%, for the three months ended March 31, 2021, as compared to the three months ended March 31, 2020, primarily due to increases in revenues at both properties. These properties were closed in mid-March 2020 due to COVID-19. Hollywood Casino Baton Rouge reopened to the public on May 18, 2020 and Hollywood Casino Perryville reopened on June 19, 2020 with various restrictions to limit capacity in accordance with regulatory requirements. Results since reopening have exceeded the corresponding period in the prior years as spend per visit has increased coupled with reductions in marketing and payroll costs on various amenities that have been curtailed in light of the capacity restrictions.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months ended March 31, 2021 and 2020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362"/>
              <w:spacing w:after="0"/>
              <w:rPr>
                <w:sz w:val="20"/>
                <w:szCs w:val="20"/>
                <w:color w:val="auto"/>
              </w:rPr>
            </w:pPr>
            <w:r>
              <w:rPr>
                <w:rFonts w:ascii="Arial" w:cs="Arial" w:eastAsia="Arial" w:hAnsi="Arial"/>
                <w:sz w:val="14"/>
                <w:szCs w:val="14"/>
                <w:b w:val="1"/>
                <w:bCs w:val="1"/>
                <w:color w:val="auto"/>
              </w:rPr>
              <w:t>Percentage</w:t>
            </w:r>
          </w:p>
        </w:tc>
      </w:tr>
      <w:tr>
        <w:trPr>
          <w:trHeight w:val="188"/>
        </w:trPr>
        <w:tc>
          <w:tcPr>
            <w:tcW w:w="5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Variance</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Gaming, food, beverage and other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Land rights and ground lease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(Gains) losses from dispositions of property</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1"/>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Gaming, food, beverage and other expenses increased by $3.4 million, or 20.7%, for the three months ended March 31, 2021, as compared to the three months ended March 31, 2020, primarily due to the properties being closed in mid-March 2020 due to COVID-19. Hollywood Casino Baton Rouge reopened to the public on May 18, 2020 and Hollywood Casino Perryville reopened on June 19, 2020 with various restrictions to limit capacity in accordance with regulatory requirements.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56"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Land rights and ground lease expense includes the amortization of land rights and rent expense related to the Company's long-term ground leases. Land rights and ground lease expense decreased by $1.3 million, or (16.7)%, for the three months ended March 31, 2021, as compared to the three months ended March 31, 2020, primarily due to the Exchange Agreement with Caesars which swapped out the Evansville property containing a ground lease with Waterloo and Bettendorf, which did not contain ground leases.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General and administrative expenses include items such as compensation costs (including stock based compensation), professional services and costs associated with development activities. General and administrative expenses increased by $0.1 million, or 0.6%, for the three months ended March 31, 2021, as compared to the three months ended March 31, 2020, primarily due to higher stock compensation expense partially offset by lower total payroll costs.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256"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Depreciation expense increased by $2.1 million, or 3.8%, to $58.7 million for the three months ended March 31, 2021 as compared to the three months ended March 31, 2020, primarily due to the acquisition of Belterra Park, Lumiere Place and the Tropicana Las Vegas.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months ended March 31, 2021 and 2020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Arial" w:cs="Arial" w:eastAsia="Arial" w:hAnsi="Arial"/>
                <w:sz w:val="14"/>
                <w:szCs w:val="14"/>
                <w:b w:val="1"/>
                <w:bCs w:val="1"/>
                <w:color w:val="auto"/>
              </w:rPr>
              <w:t>Percentage</w:t>
            </w:r>
          </w:p>
        </w:tc>
      </w:tr>
      <w:tr>
        <w:trPr>
          <w:trHeight w:val="188"/>
        </w:trPr>
        <w:tc>
          <w:tcPr>
            <w:tcW w:w="51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Variance</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(89,137)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Interest expense decreased by $1.6 million, or 2.2%, for the three months ended March 31, 2021, as compared to the three months ended</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March 31, 2020. Results for the three months ended March 31, 2021 benefited from reductions in outstanding obligations under our senior unsecured credit facility (the "Amended Credit Facility") compared to the corresponding period in the prior year. This was partially offset by higher Senior Note balances in the current year as the Company extended the duration of its debt obligations through the issuance of $700 million, 4.00% senior unsecured notes due January 2031.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on debt extinguishment</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a loss on the early extinguishment of debt related to this retirement of $17.3 million, primarily for call premium charges and debt issuance write-offs.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three months ended March 31, 2021 and 2020, income tax expense was approximately $2.6 million and $0.3 million, respectively. Our effective tax rate (income taxes as a percentage of income before income taxes) was 2.0% for the three months ended March 31, 2021, as compared to 0.3% for the three months ended March 31, 2020. The reason for the increase was due to improved performance at our TRS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Net cash provided by operating activities was $205.2 million and $198.8 million during the three months ended March 31, 2021 and 2020, respectively. The increase in net cash provided by operating activities of $6.4 million for the three months ended March 31, 2021 as compared to the corresponding period in the prior year was primarily comprised of an increase in cash receipts from customers of $10.1 million and a decrease in cash paid to employees of $8.0 million partially offset by an increase in interest payments of $6.3 million and an increase in cash paid for operating expenses of $5.2 million. The increase in cash receipts collected from our customers for the three months ended March 31, 2021 as compared to the corresponding period in the prior year was primarily due to the impact of COVID-19, which forced our TRS Properties to close in mid-March 2020. The reduction in cash paid to employees was primarily due to lower bonus payouts and salaries and wages at our GLP Capital segment for the three month period ended March 31, 2021.</w:t>
      </w:r>
    </w:p>
    <w:p>
      <w:pPr>
        <w:spacing w:after="0" w:line="193"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Investing activities used cash of $1.0 million and $0.6 million during the three months ended March 31, 2021 and 2020, respectively. Net cash used in investing activities during the three months ended March 31, 2021 consisted of capital expenditures of $1.0 million. Net cash used in investing activities for the three months ended March 31, 2020 consisted of capital expenditures of $0.6 million.</w:t>
      </w:r>
    </w:p>
    <w:p>
      <w:pPr>
        <w:spacing w:after="0" w:line="19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Financing activities used cash of $161.4 million and provided cash of $334.6 million during the three months ended March 31, 2021 and 2020, respectively. Net cash used in financing activities during the three months ended March 31,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ind w:right="100"/>
        <w:spacing w:after="0" w:line="273" w:lineRule="auto"/>
        <w:rPr>
          <w:sz w:val="20"/>
          <w:szCs w:val="20"/>
          <w:color w:val="auto"/>
        </w:rPr>
      </w:pPr>
      <w:r>
        <w:rPr>
          <w:rFonts w:ascii="Arial" w:cs="Arial" w:eastAsia="Arial" w:hAnsi="Arial"/>
          <w:sz w:val="17"/>
          <w:szCs w:val="17"/>
          <w:color w:val="auto"/>
        </w:rPr>
        <w:t>was driven by dividend payments of $151.5 million and taxes paid related to shares withheld for tax purposes on restricted stock award vestings of $9.8 million. Net cash provided by financing activities during the three months ended March 31, 2020 was driven by $1,174.6 million of proceeds from the issuance of long-term debt, partially offset by repayments of long-term debt of $661.2 million, dividend payments of $150.8 million, $15.7 million of premium and related costs paid on the tender of Senior Notes, and taxes paid related to shares withheld for tax purposes on restricted stock award vestings of $12.6 million. During the three months ended March 31, 2020, the Company fully drew down on its revolving credit facility to increase its liquidity due to the COVID-19 outbreak which resulted in the shut down of all of our tenants' properties.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three months ended March 31, 2021 and 2020, the TRS Properties spent approximately $1.0 million and $0.6 million, respectively, for capital expenditures. During 2021, $0.6 million was incurred on capital project expenditures related to a landside development project at Hollywood Casino Baton Rouge. The majority of the capital maintenance expenditures were for slot machines and slot machine equipment. Under the triple-net lease structure, our tenants are responsible for capital maintenance expenditures at our leased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Prior to June 25, 2020, the Credit Facility, consisted of a $1,175 million revolving credit facility (the "Revolver") with a maturity date of May 21, 2023, and a $449 million Term Loan A-1 facility with a maturity date of April 28, 2021.</w:t>
      </w:r>
    </w:p>
    <w:p>
      <w:pPr>
        <w:spacing w:after="0" w:line="19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fully drew down on its Revolver in the first quarter of 2020 to increase its liquidity position and repay certain Senior Notes.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w:t>
      </w:r>
    </w:p>
    <w:p>
      <w:pPr>
        <w:spacing w:after="0" w:line="21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Additionally, the Company borrowed incremental Term Loans A-2 totaling $200 million. Furthermore, on June 25, 2020, the Company also closed on an offering of $500 million of 4.00% unsecured senior notes due in January 2031 priced at a slight discount to par. The Company utilized the proceeds from these two financings along with cash on hand to repay all outstanding obligations under its Revolver. On August 18, 2020, the Company borrowed an additional $200 million of 4.00% unsecured senior notes due in January 2031 priced at a premium to par. The Company utilized the net proceeds from this additional borrowing to repay indebtedness under the Term Loan A-1 facility.</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March 31, 2021, the Amended Credit Facility had a gross outstanding balance of $424 million, consisting entirely of balances under the Term Loan A-2 facility. No amounts were outstanding under the Revolver. Additionally, at March 31, 2021, the Company was contingently obligated under letters of credit issued pursuant to the Amended Credit Facility with face amounts aggregating approximately $0.4 million, resulting in available borrowing capacity under the Revolver as of March 31, 2021 of $1,174.6 million.</w:t>
      </w:r>
    </w:p>
    <w:p>
      <w:pPr>
        <w:spacing w:after="0" w:line="21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(asset value calculated based upon adjusted net operating income at a cap rate of 9% as defined in our Amended Credit Facility),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ind w:right="40"/>
        <w:spacing w:after="0" w:line="259" w:lineRule="auto"/>
        <w:rPr>
          <w:sz w:val="20"/>
          <w:szCs w:val="20"/>
          <w:color w:val="auto"/>
        </w:rPr>
      </w:pPr>
      <w:r>
        <w:rPr>
          <w:rFonts w:ascii="Arial" w:cs="Arial" w:eastAsia="Arial" w:hAnsi="Arial"/>
          <w:sz w:val="18"/>
          <w:szCs w:val="18"/>
          <w:color w:val="auto"/>
        </w:rPr>
        <w:t>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March 31, 2021, the Company was in compliance with all required financial covenants under the Amended Credit Facility.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a loss on the early extinguishment of debt related to the current year retirement of $17.3 million primarily for call premium charges and debt issuance write-offs.</w:t>
      </w:r>
    </w:p>
    <w:p>
      <w:pPr>
        <w:spacing w:after="0" w:line="19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March 31, 2021, the Company had $5,375.0 million of outstanding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2021, the Company was in compliance with all required financial covenants under its Senior Notes.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GLPI guarantees the Senior Notes which were co-issued by its subsidiaries, GLP Capital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other subsidiaries guarantee the Senior Notes.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Summarized financial information for Subsidiary Issuers and Parent Guarantor</w:t>
      </w:r>
    </w:p>
    <w:p>
      <w:pPr>
        <w:spacing w:after="0" w:line="27"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4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of March 31, 2021</w:t>
            </w:r>
          </w:p>
        </w:tc>
        <w:tc>
          <w:tcPr>
            <w:tcW w:w="300" w:type="dxa"/>
            <w:vAlign w:val="bottom"/>
          </w:tcPr>
          <w:p>
            <w:pPr>
              <w:spacing w:after="0"/>
              <w:rPr>
                <w:sz w:val="19"/>
                <w:szCs w:val="19"/>
                <w:color w:val="auto"/>
              </w:rPr>
            </w:pPr>
          </w:p>
        </w:tc>
        <w:tc>
          <w:tcPr>
            <w:tcW w:w="2580" w:type="dxa"/>
            <w:vAlign w:val="bottom"/>
          </w:tcPr>
          <w:p>
            <w:pPr>
              <w:jc w:val="right"/>
              <w:ind w:right="390"/>
              <w:spacing w:after="0"/>
              <w:rPr>
                <w:sz w:val="20"/>
                <w:szCs w:val="20"/>
                <w:color w:val="auto"/>
              </w:rPr>
            </w:pPr>
            <w:r>
              <w:rPr>
                <w:rFonts w:ascii="Arial" w:cs="Arial" w:eastAsia="Arial" w:hAnsi="Arial"/>
                <w:sz w:val="18"/>
                <w:szCs w:val="18"/>
                <w:b w:val="1"/>
                <w:bCs w:val="1"/>
                <w:color w:val="auto"/>
                <w:w w:val="98"/>
              </w:rPr>
              <w:t>As of December 31, 2020</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2,812,597</w:t>
            </w:r>
          </w:p>
        </w:tc>
        <w:tc>
          <w:tcPr>
            <w:tcW w:w="2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2,720,767</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Right-of-use assets and land rights, net</w:t>
            </w:r>
          </w:p>
        </w:tc>
        <w:tc>
          <w:tcPr>
            <w:tcW w:w="3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120,981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121,866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514,957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480,066</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w w:val="95"/>
              </w:rPr>
              <w:t>Long term debt, net of unamortized debt issuance costs,</w:t>
            </w:r>
          </w:p>
        </w:tc>
        <w:tc>
          <w:tcPr>
            <w:tcW w:w="360" w:type="dxa"/>
            <w:vAlign w:val="bottom"/>
          </w:tcPr>
          <w:p>
            <w:pPr>
              <w:spacing w:after="0"/>
              <w:rPr>
                <w:sz w:val="15"/>
                <w:szCs w:val="15"/>
                <w:color w:val="auto"/>
              </w:rPr>
            </w:pPr>
          </w:p>
        </w:tc>
        <w:tc>
          <w:tcPr>
            <w:tcW w:w="2480" w:type="dxa"/>
            <w:vAlign w:val="bottom"/>
            <w:vMerge w:val="restart"/>
          </w:tcPr>
          <w:p>
            <w:pPr>
              <w:jc w:val="right"/>
              <w:spacing w:after="0"/>
              <w:rPr>
                <w:sz w:val="20"/>
                <w:szCs w:val="20"/>
                <w:color w:val="auto"/>
              </w:rPr>
            </w:pPr>
            <w:r>
              <w:rPr>
                <w:rFonts w:ascii="Arial" w:cs="Arial" w:eastAsia="Arial" w:hAnsi="Arial"/>
                <w:sz w:val="18"/>
                <w:szCs w:val="18"/>
                <w:color w:val="auto"/>
              </w:rPr>
              <w:t>5,757,125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vMerge w:val="restart"/>
          </w:tcPr>
          <w:p>
            <w:pPr>
              <w:jc w:val="right"/>
              <w:spacing w:after="0"/>
              <w:rPr>
                <w:sz w:val="20"/>
                <w:szCs w:val="20"/>
                <w:color w:val="auto"/>
              </w:rPr>
            </w:pPr>
            <w:r>
              <w:rPr>
                <w:rFonts w:ascii="Arial" w:cs="Arial" w:eastAsia="Arial" w:hAnsi="Arial"/>
                <w:sz w:val="18"/>
                <w:szCs w:val="18"/>
                <w:color w:val="auto"/>
              </w:rPr>
              <w:t>5,754,689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bond premiums and original issuance discounts</w:t>
            </w:r>
          </w:p>
        </w:tc>
        <w:tc>
          <w:tcPr>
            <w:tcW w:w="360" w:type="dxa"/>
            <w:vAlign w:val="bottom"/>
          </w:tcPr>
          <w:p>
            <w:pPr>
              <w:spacing w:after="0"/>
              <w:rPr>
                <w:sz w:val="19"/>
                <w:szCs w:val="19"/>
                <w:color w:val="auto"/>
              </w:rPr>
            </w:pPr>
          </w:p>
        </w:tc>
        <w:tc>
          <w:tcPr>
            <w:tcW w:w="24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58,425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58,654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rental revenue</w:t>
            </w:r>
          </w:p>
        </w:tc>
        <w:tc>
          <w:tcPr>
            <w:tcW w:w="3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265,891</w:t>
            </w:r>
          </w:p>
        </w:tc>
        <w:tc>
          <w:tcPr>
            <w:tcW w:w="0" w:type="dxa"/>
            <w:vAlign w:val="bottom"/>
          </w:tcPr>
          <w:p>
            <w:pPr>
              <w:spacing w:after="0"/>
              <w:rPr>
                <w:sz w:val="1"/>
                <w:szCs w:val="1"/>
                <w:color w:val="auto"/>
              </w:rPr>
            </w:pPr>
          </w:p>
        </w:tc>
      </w:tr>
    </w:tbl>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the three-month period ended</w:t>
            </w:r>
          </w:p>
        </w:tc>
        <w:tc>
          <w:tcPr>
            <w:tcW w:w="140" w:type="dxa"/>
            <w:vAlign w:val="bottom"/>
          </w:tcPr>
          <w:p>
            <w:pPr>
              <w:spacing w:after="0"/>
              <w:rPr>
                <w:sz w:val="18"/>
                <w:szCs w:val="18"/>
                <w:color w:val="auto"/>
              </w:rPr>
            </w:pPr>
          </w:p>
        </w:tc>
        <w:tc>
          <w:tcPr>
            <w:tcW w:w="27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For the year ended December 31,</w:t>
            </w:r>
          </w:p>
        </w:tc>
      </w:tr>
      <w:tr>
        <w:trPr>
          <w:trHeight w:val="229"/>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March 31, 2021</w:t>
            </w:r>
          </w:p>
        </w:tc>
        <w:tc>
          <w:tcPr>
            <w:tcW w:w="140" w:type="dxa"/>
            <w:vAlign w:val="bottom"/>
          </w:tcPr>
          <w:p>
            <w:pPr>
              <w:spacing w:after="0"/>
              <w:rPr>
                <w:sz w:val="19"/>
                <w:szCs w:val="19"/>
                <w:color w:val="auto"/>
              </w:rPr>
            </w:pPr>
          </w:p>
        </w:tc>
        <w:tc>
          <w:tcPr>
            <w:tcW w:w="2740" w:type="dxa"/>
            <w:vAlign w:val="bottom"/>
          </w:tcPr>
          <w:p>
            <w:pPr>
              <w:jc w:val="right"/>
              <w:ind w:right="1170"/>
              <w:spacing w:after="0"/>
              <w:rPr>
                <w:sz w:val="20"/>
                <w:szCs w:val="20"/>
                <w:color w:val="auto"/>
              </w:rPr>
            </w:pPr>
            <w:r>
              <w:rPr>
                <w:rFonts w:ascii="Arial" w:cs="Arial" w:eastAsia="Arial" w:hAnsi="Arial"/>
                <w:sz w:val="18"/>
                <w:szCs w:val="18"/>
                <w:b w:val="1"/>
                <w:bCs w:val="1"/>
                <w:color w:val="auto"/>
              </w:rPr>
              <w:t>2020</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150,097</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40" w:type="dxa"/>
            <w:vAlign w:val="bottom"/>
            <w:tcBorders>
              <w:top w:val="single" w:sz="8" w:color="auto"/>
            </w:tcBorders>
            <w:shd w:val="clear" w:color="auto" w:fill="CCEEFF"/>
          </w:tcPr>
          <w:p>
            <w:pPr>
              <w:jc w:val="center"/>
              <w:ind w:left="1910"/>
              <w:spacing w:after="0"/>
              <w:rPr>
                <w:sz w:val="20"/>
                <w:szCs w:val="20"/>
                <w:color w:val="auto"/>
              </w:rPr>
            </w:pPr>
            <w:r>
              <w:rPr>
                <w:rFonts w:ascii="Arial" w:cs="Arial" w:eastAsia="Arial" w:hAnsi="Arial"/>
                <w:sz w:val="18"/>
                <w:szCs w:val="18"/>
                <w:color w:val="auto"/>
                <w:w w:val="89"/>
              </w:rPr>
              <w:t>580,428</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107,530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jc w:val="center"/>
              <w:ind w:left="1910"/>
              <w:spacing w:after="0"/>
              <w:rPr>
                <w:sz w:val="20"/>
                <w:szCs w:val="20"/>
                <w:color w:val="auto"/>
              </w:rPr>
            </w:pPr>
            <w:r>
              <w:rPr>
                <w:rFonts w:ascii="Arial" w:cs="Arial" w:eastAsia="Arial" w:hAnsi="Arial"/>
                <w:sz w:val="18"/>
                <w:szCs w:val="18"/>
                <w:color w:val="auto"/>
                <w:w w:val="89"/>
              </w:rPr>
              <w:t>446,708</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40" w:type="dxa"/>
            <w:vAlign w:val="bottom"/>
            <w:shd w:val="clear" w:color="auto" w:fill="CCEEFF"/>
          </w:tcPr>
          <w:p>
            <w:pPr>
              <w:jc w:val="center"/>
              <w:ind w:left="1870"/>
              <w:spacing w:after="0"/>
              <w:rPr>
                <w:sz w:val="20"/>
                <w:szCs w:val="20"/>
                <w:color w:val="auto"/>
              </w:rPr>
            </w:pPr>
            <w:r>
              <w:rPr>
                <w:rFonts w:ascii="Arial" w:cs="Arial" w:eastAsia="Arial" w:hAnsi="Arial"/>
                <w:sz w:val="18"/>
                <w:szCs w:val="18"/>
                <w:color w:val="auto"/>
                <w:w w:val="90"/>
              </w:rPr>
              <w:t>(282,142)</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36,950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jc w:val="center"/>
              <w:ind w:left="1910"/>
              <w:spacing w:after="0"/>
              <w:rPr>
                <w:sz w:val="20"/>
                <w:szCs w:val="20"/>
                <w:color w:val="auto"/>
              </w:rPr>
            </w:pPr>
            <w:r>
              <w:rPr>
                <w:rFonts w:ascii="Arial" w:cs="Arial" w:eastAsia="Arial" w:hAnsi="Arial"/>
                <w:sz w:val="18"/>
                <w:szCs w:val="18"/>
                <w:color w:val="auto"/>
                <w:w w:val="89"/>
              </w:rPr>
              <w:t>146,323</w:t>
            </w:r>
          </w:p>
        </w:tc>
      </w:tr>
    </w:tbl>
    <w:p>
      <w:pPr>
        <w:spacing w:after="0" w:line="22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financial information presented above is that of the subsidiary issuers and parent guarantor and the financial information of non-issuer subsidiaries has been excluded. The financial information of subsidiary issuers and the parent guarantor has been presented on a combined basis; however, the only asset on the parent guarantor balance sheet is its investment in subsidiaries which is not included in the presentation above in accordance with the disclosure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Distribution Requirements</w:t>
      </w:r>
    </w:p>
    <w:p>
      <w:pPr>
        <w:spacing w:after="0" w:line="25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Transition</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majority of our debt is at fixed rates and our exposure to variable interest rates is currently limited to our Revolver and our Term Loan A-2. Both of these debt instruments are indexed to LIBOR which is expected to be phased out during late 2021 through mid-2023. The discontinuance of LIBOR would affect our interest expense and earnings. The borrowings under our Amended Credit Facility will be subject to the expected LIBOR transition. LIBOR is currently expected to transition to a new standard rate, the Secured Overnight Financing Rate (“SOFR”). We are currently monitoring the transition and cannot be certain whether SOFR will become the standard rate for our variable rate debt.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GLPI’s primary market risk exposure is interest rate risk with respect to its indebtedness of $5,799.8 million at March 31, 2021. Furthermore,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$5,375.0 million of our obligations at March 31, 2021 are the Senior Notes that have fixed interest rates with maturity dates ranging from two and one-half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to ten years. An increase in interest rates could make the financing of any acquisition by GLPI more costly, as well as increase the costs of its variable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debt obligations. Rising interest rates could also limit GLPI’s ability to refinance its debt when it matures or cause GLPI to pay higher interest 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refinancing and increase interest expense on refinanced indebtedness. GLPI may manage, or hedge, interest rate risks related to its borrowings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means of interest rate swap agreements. However, the provisions of the Code applicable to REITs limit GLPI’s ability to hedge its assets and liabilities.</w:t>
      </w:r>
    </w:p>
    <w:p>
      <w:pPr>
        <w:spacing w:after="0" w:line="26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table below provides information at March 31, 2021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March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4"/>
              </w:rPr>
              <w:t>04/01/21-</w:t>
            </w:r>
          </w:p>
        </w:tc>
        <w:tc>
          <w:tcPr>
            <w:tcW w:w="20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1/01/22-</w:t>
            </w:r>
          </w:p>
        </w:tc>
        <w:tc>
          <w:tcPr>
            <w:tcW w:w="22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1/01/23-</w:t>
            </w:r>
          </w:p>
        </w:tc>
        <w:tc>
          <w:tcPr>
            <w:tcW w:w="22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1/01/24</w:t>
            </w:r>
          </w:p>
        </w:tc>
        <w:tc>
          <w:tcPr>
            <w:tcW w:w="22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1/01/25-</w:t>
            </w:r>
          </w:p>
        </w:tc>
        <w:tc>
          <w:tcPr>
            <w:tcW w:w="200" w:type="dxa"/>
            <w:vAlign w:val="bottom"/>
          </w:tcPr>
          <w:p>
            <w:pPr>
              <w:spacing w:after="0"/>
              <w:rPr>
                <w:sz w:val="14"/>
                <w:szCs w:val="14"/>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Thereafter</w:t>
            </w:r>
          </w:p>
        </w:tc>
        <w:tc>
          <w:tcPr>
            <w:tcW w:w="300" w:type="dxa"/>
            <w:vAlign w:val="bottom"/>
          </w:tcPr>
          <w:p>
            <w:pPr>
              <w:spacing w:after="0"/>
              <w:rPr>
                <w:sz w:val="14"/>
                <w:szCs w:val="14"/>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w w:val="99"/>
              </w:rPr>
              <w:t>12/31/21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12/31/22</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12/31/23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12/31/24</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12/31/25</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3/31/2021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line="150" w:lineRule="exact"/>
              <w:rPr>
                <w:sz w:val="20"/>
                <w:szCs w:val="20"/>
                <w:color w:val="auto"/>
              </w:rPr>
            </w:pPr>
            <w:r>
              <w:rPr>
                <w:rFonts w:ascii="Arial" w:cs="Arial" w:eastAsia="Arial" w:hAnsi="Arial"/>
                <w:sz w:val="14"/>
                <w:szCs w:val="14"/>
                <w:b w:val="1"/>
                <w:bCs w:val="1"/>
                <w:color w:val="auto"/>
              </w:rPr>
              <w:t>Long-term debt: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Fixed rate</w:t>
            </w:r>
          </w:p>
        </w:tc>
        <w:tc>
          <w:tcPr>
            <w:tcW w:w="13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ind w:left="36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ind w:left="5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500,000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400,000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850,000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3,625,000</w:t>
            </w:r>
          </w:p>
        </w:tc>
        <w:tc>
          <w:tcPr>
            <w:tcW w:w="3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5,375,000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5,903,868</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5.38%</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5"/>
              </w:rPr>
              <w:t>3.35%</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5"/>
              </w:rPr>
              <w:t>5.25%</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4.88%</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Variable 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424,019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424,019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80" w:type="dxa"/>
            <w:vAlign w:val="bottom"/>
            <w:gridSpan w:val="2"/>
          </w:tcPr>
          <w:p>
            <w:pPr>
              <w:ind w:left="12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18"/>
                <w:szCs w:val="18"/>
                <w:color w:val="auto"/>
                <w:vertAlign w:val="superscript"/>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color w:val="auto"/>
                <w:w w:val="90"/>
              </w:rPr>
              <w:t>2.53%</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560" w:hanging="552"/>
        <w:spacing w:after="0"/>
        <w:tabs>
          <w:tab w:leader="none" w:pos="560"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Estimated rate, reflective of forward LIBOR plus the spread over LIBOR applicable to variable-rate borrowing. For</w:t>
      </w:r>
    </w:p>
    <w:p>
      <w:pPr>
        <w:spacing w:after="0"/>
        <w:rPr>
          <w:sz w:val="20"/>
          <w:szCs w:val="20"/>
          <w:color w:val="auto"/>
        </w:rPr>
      </w:pPr>
      <w:r>
        <w:rPr>
          <w:rFonts w:ascii="Arial" w:cs="Arial" w:eastAsia="Arial" w:hAnsi="Arial"/>
          <w:sz w:val="16"/>
          <w:szCs w:val="16"/>
          <w:color w:val="auto"/>
        </w:rPr>
        <w:t>considerations surrounding the phase out of LIBOR refer to the discussion under the heading "Liquidity and Capital Resources" in this Form 10-Q.</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2021,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2021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2440" w:firstLine="648"/>
        <w:spacing w:after="0" w:line="287"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w:t>
      </w:r>
    </w:p>
    <w:p>
      <w:pPr>
        <w:spacing w:after="0" w:line="2" w:lineRule="exact"/>
        <w:rPr>
          <w:sz w:val="20"/>
          <w:szCs w:val="20"/>
          <w:color w:val="auto"/>
        </w:rPr>
      </w:pPr>
    </w:p>
    <w:p>
      <w:pPr>
        <w:jc w:val="both"/>
        <w:ind w:right="2440"/>
        <w:spacing w:after="0" w:line="281" w:lineRule="auto"/>
        <w:rPr>
          <w:sz w:val="20"/>
          <w:szCs w:val="20"/>
          <w:color w:val="auto"/>
        </w:rPr>
      </w:pPr>
      <w:r>
        <w:rPr>
          <w:rFonts w:ascii="Arial" w:cs="Arial" w:eastAsia="Arial" w:hAnsi="Arial"/>
          <w:sz w:val="16"/>
          <w:szCs w:val="16"/>
          <w:color w:val="auto"/>
        </w:rPr>
        <w:t>Additional risks and uncertainties not currently known to us or that we currently deem immaterial also may materially adversely affect our business, financial condition, and/or operating results. If any of the risks actually occur, our business,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financial condition, and/or results of operations could be negatively affected. There have been no material changes in our risk factors from those previously disclosed in our Annual Report.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March 31,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gridSpan w:val="3"/>
          </w:tcPr>
          <w:p>
            <w:pPr>
              <w:ind w:left="520"/>
              <w:spacing w:after="0"/>
              <w:rPr>
                <w:sz w:val="20"/>
                <w:szCs w:val="20"/>
                <w:color w:val="auto"/>
              </w:rPr>
            </w:pPr>
            <w:r>
              <w:rPr>
                <w:rFonts w:ascii="Arial" w:cs="Arial" w:eastAsia="Arial" w:hAnsi="Arial"/>
                <w:sz w:val="14"/>
                <w:szCs w:val="14"/>
                <w:b w:val="1"/>
                <w:bCs w:val="1"/>
                <w:color w:val="auto"/>
              </w:rPr>
              <w:t>Description of Exhibit</w:t>
            </w:r>
          </w:p>
        </w:tc>
      </w:tr>
      <w:tr>
        <w:trPr>
          <w:trHeight w:val="188"/>
        </w:trPr>
        <w:tc>
          <w:tcPr>
            <w:tcW w:w="11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22.1 *</w:t>
            </w: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40" w:type="dxa"/>
            <w:vAlign w:val="bottom"/>
            <w:tcBorders>
              <w:top w:val="single" w:sz="8" w:color="auto"/>
            </w:tcBorders>
            <w:gridSpan w:val="6"/>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List of Subsidiary Issuers of Guaranteed Securities</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6"/>
          </w:tcPr>
          <w:p>
            <w:pPr>
              <w:spacing w:after="0"/>
              <w:rPr>
                <w:rFonts w:ascii="Arial" w:cs="Arial" w:eastAsia="Arial" w:hAnsi="Arial"/>
                <w:sz w:val="18"/>
                <w:szCs w:val="18"/>
                <w:color w:val="0000FF"/>
                <w:w w:val="96"/>
              </w:rPr>
            </w:pPr>
            <w:hyperlink w:anchor="page51">
              <w:r>
                <w:rPr>
                  <w:rFonts w:ascii="Arial" w:cs="Arial" w:eastAsia="Arial" w:hAnsi="Arial"/>
                  <w:sz w:val="18"/>
                  <w:szCs w:val="18"/>
                  <w:color w:val="0000FF"/>
                  <w:w w:val="96"/>
                </w:rPr>
                <w:t>Principal Executive Officer and Principal Financial Officer Certification pursuant to Rule 13a-14(a) or 15d-14(a) of the Securities</w:t>
              </w:r>
            </w:hyperlink>
          </w:p>
        </w:tc>
      </w:tr>
      <w:tr>
        <w:trPr>
          <w:trHeight w:val="156"/>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Exchange Act of 1934.</w:t>
              </w:r>
            </w:hyperlink>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6"/>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Principal Executive Officer and Principal Financial Officer Certification pursuant to 18 U.S.C. Section 1350, as adopted pursuant to</w:t>
              </w:r>
            </w:hyperlink>
          </w:p>
        </w:tc>
      </w:tr>
      <w:tr>
        <w:trPr>
          <w:trHeight w:val="156"/>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52">
              <w:r>
                <w:rPr>
                  <w:rFonts w:ascii="Arial" w:cs="Arial" w:eastAsia="Arial" w:hAnsi="Arial"/>
                  <w:sz w:val="18"/>
                  <w:szCs w:val="18"/>
                  <w:color w:val="0000FF"/>
                </w:rPr>
                <w:t>Section 906 of the Sarbanes- Oxley Act of 2002.</w:t>
              </w:r>
            </w:hyperlink>
          </w:p>
        </w:tc>
        <w:tc>
          <w:tcPr>
            <w:tcW w:w="24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6" w:lineRule="exact"/>
        <w:rPr>
          <w:sz w:val="20"/>
          <w:szCs w:val="20"/>
          <w:color w:val="auto"/>
        </w:rPr>
      </w:pPr>
    </w:p>
    <w:p>
      <w:pPr>
        <w:ind w:left="1400" w:right="100" w:hanging="940"/>
        <w:spacing w:after="0" w:line="232" w:lineRule="auto"/>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financial information from Gaming and Leisure Properties, Inc.'s Quarterly Report on Form 10-Q for the quarter ended March 31, 2021, formatted in Inline XBRL: (i) Condensed Consolidated Balance Sheets, ii) Condensed Consolidated Statements of Income, (iii) Condensed Consolidated Statements of Changes in Shareholders’ Equity, (iv) Condensed Consolidated Statements of Cash Flows and (v) Notes to the Condensed Consolidated Financial Statements.</w:t>
      </w:r>
    </w:p>
    <w:p>
      <w:pPr>
        <w:spacing w:after="0" w:line="1" w:lineRule="exact"/>
        <w:rPr>
          <w:sz w:val="20"/>
          <w:szCs w:val="20"/>
          <w:color w:val="auto"/>
        </w:rPr>
      </w:pPr>
    </w:p>
    <w:p>
      <w:pPr>
        <w:ind w:left="1400" w:right="80" w:hanging="940"/>
        <w:spacing w:after="0" w:line="234"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2021,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xml:space="preserve">*  </w:t>
      </w:r>
      <w:r>
        <w:rPr>
          <w:rFonts w:ascii="Arial" w:cs="Arial" w:eastAsia="Arial" w:hAnsi="Arial"/>
          <w:sz w:val="17"/>
          <w:szCs w:val="17"/>
          <w:color w:val="auto"/>
        </w:rPr>
        <w:t>Filed or furnished, as applicable,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17056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48" w:name="page49"/>
    <w:bookmarkEnd w:id="48"/>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7200" w:type="dxa"/>
            <w:vAlign w:val="bottom"/>
            <w:gridSpan w:val="3"/>
          </w:tcPr>
          <w:p>
            <w:pPr>
              <w:ind w:left="2100"/>
              <w:spacing w:after="0"/>
              <w:rPr>
                <w:sz w:val="20"/>
                <w:szCs w:val="20"/>
                <w:color w:val="auto"/>
              </w:rPr>
            </w:pPr>
            <w:r>
              <w:rPr>
                <w:rFonts w:ascii="Arial" w:cs="Arial" w:eastAsia="Arial" w:hAnsi="Arial"/>
                <w:sz w:val="18"/>
                <w:szCs w:val="18"/>
                <w:color w:val="auto"/>
              </w:rPr>
              <w:t>GAMING AND LEISURE PROPERTIES, INC.</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April 30, 2021</w:t>
            </w: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PETER M. CARLINO</w:t>
            </w:r>
          </w:p>
        </w:tc>
        <w:tc>
          <w:tcPr>
            <w:tcW w:w="2560" w:type="dxa"/>
            <w:vAlign w:val="bottom"/>
          </w:tcPr>
          <w:p>
            <w:pPr>
              <w:spacing w:after="0"/>
              <w:rPr>
                <w:sz w:val="24"/>
                <w:szCs w:val="24"/>
                <w:color w:val="auto"/>
              </w:rPr>
            </w:pPr>
          </w:p>
        </w:tc>
      </w:tr>
      <w:tr>
        <w:trPr>
          <w:trHeight w:val="249"/>
        </w:trPr>
        <w:tc>
          <w:tcPr>
            <w:tcW w:w="3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Peter M. Carlino</w:t>
            </w:r>
          </w:p>
        </w:tc>
      </w:tr>
      <w:tr>
        <w:trPr>
          <w:trHeight w:val="229"/>
        </w:trPr>
        <w:tc>
          <w:tcPr>
            <w:tcW w:w="31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 and Chief Executive Officer</w:t>
            </w:r>
          </w:p>
        </w:tc>
      </w:tr>
      <w:tr>
        <w:trPr>
          <w:trHeight w:val="230"/>
        </w:trPr>
        <w:tc>
          <w:tcPr>
            <w:tcW w:w="3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w w:val="94"/>
              </w:rPr>
              <w:t>(Principal Executive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320" w:top="891" w:right="65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22.1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Issuers of Guaranteed Securities</w:t>
      </w:r>
    </w:p>
    <w:p>
      <w:pPr>
        <w:spacing w:after="0" w:line="158"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The following subsidiaries of Gaming and Leisure Properties, Inc. (the “Company”) were, as of March 31, 2021, issuers of the (i) $500 million 5.375% senior unsecured notes due November 2023, (ii) $400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and (viii) $700 million 4.000% senior unsecured notes due January 2031, each guaranteed by the Company:</w:t>
      </w:r>
    </w:p>
    <w:tbl>
      <w:tblPr>
        <w:tblLayout w:type="fixed"/>
        <w:tblInd w:w="10" w:type="dxa"/>
        <w:tblCellMar>
          <w:top w:w="0" w:type="dxa"/>
          <w:left w:w="0" w:type="dxa"/>
          <w:bottom w:w="0" w:type="dxa"/>
          <w:right w:w="0" w:type="dxa"/>
        </w:tblCellMar>
      </w:tblPr>
      <w:tr>
        <w:trPr>
          <w:trHeight w:val="264"/>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Jurisdiction of Incorporation or Formation</w:t>
            </w:r>
          </w:p>
        </w:tc>
      </w:tr>
      <w:tr>
        <w:trPr>
          <w:trHeight w:val="263"/>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Pennsylvania</w:t>
            </w:r>
          </w:p>
        </w:tc>
      </w:tr>
      <w:tr>
        <w:trPr>
          <w:trHeight w:val="263"/>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11240"/>
          </w:cols>
          <w:pgMar w:left="320" w:top="14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25" w:lineRule="exact"/>
        <w:rPr>
          <w:rFonts w:ascii="Arial" w:cs="Arial" w:eastAsia="Arial" w:hAnsi="Arial"/>
          <w:sz w:val="18"/>
          <w:szCs w:val="18"/>
          <w:color w:val="auto"/>
        </w:rPr>
      </w:pPr>
    </w:p>
    <w:p>
      <w:pPr>
        <w:ind w:right="80" w:firstLine="8"/>
        <w:spacing w:after="0" w:line="342" w:lineRule="auto"/>
        <w:tabs>
          <w:tab w:leader="none" w:pos="679"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6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0" w:firstLine="8"/>
        <w:spacing w:after="0" w:line="308" w:lineRule="auto"/>
        <w:tabs>
          <w:tab w:leader="none" w:pos="679"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firstLine="656"/>
        <w:spacing w:after="0" w:line="263" w:lineRule="auto"/>
        <w:tabs>
          <w:tab w:leader="none" w:pos="132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right="40" w:firstLine="656"/>
        <w:spacing w:after="0" w:line="263" w:lineRule="auto"/>
        <w:tabs>
          <w:tab w:leader="none" w:pos="103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656"/>
        <w:spacing w:after="0" w:line="308" w:lineRule="auto"/>
        <w:tabs>
          <w:tab w:leader="none" w:pos="1311"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00" w:firstLine="656"/>
        <w:spacing w:after="0" w:line="263" w:lineRule="auto"/>
        <w:tabs>
          <w:tab w:leader="none" w:pos="131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700" w:firstLine="8"/>
        <w:spacing w:after="0" w:line="277" w:lineRule="auto"/>
        <w:tabs>
          <w:tab w:leader="none" w:pos="6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right="420" w:firstLine="656"/>
        <w:spacing w:after="0" w:line="308" w:lineRule="auto"/>
        <w:tabs>
          <w:tab w:leader="none" w:pos="1325"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00" w:firstLine="656"/>
        <w:spacing w:after="0" w:line="277" w:lineRule="auto"/>
        <w:tabs>
          <w:tab w:leader="none" w:pos="13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520" w:type="dxa"/>
            <w:vAlign w:val="bottom"/>
          </w:tcPr>
          <w:p>
            <w:pPr>
              <w:spacing w:after="0"/>
              <w:rPr>
                <w:sz w:val="20"/>
                <w:szCs w:val="20"/>
                <w:color w:val="auto"/>
              </w:rPr>
            </w:pPr>
            <w:r>
              <w:rPr>
                <w:rFonts w:ascii="Arial" w:cs="Arial" w:eastAsia="Arial" w:hAnsi="Arial"/>
                <w:sz w:val="18"/>
                <w:szCs w:val="18"/>
                <w:color w:val="auto"/>
              </w:rPr>
              <w:t>Date:   April 30, 2021</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Peter M. Carlino</w:t>
            </w:r>
          </w:p>
        </w:tc>
        <w:tc>
          <w:tcPr>
            <w:tcW w:w="2600" w:type="dxa"/>
            <w:vAlign w:val="bottom"/>
          </w:tcPr>
          <w:p>
            <w:pPr>
              <w:spacing w:after="0"/>
              <w:rPr>
                <w:sz w:val="18"/>
                <w:szCs w:val="18"/>
                <w:color w:val="auto"/>
              </w:rPr>
            </w:pPr>
          </w:p>
        </w:tc>
      </w:tr>
      <w:tr>
        <w:trPr>
          <w:trHeight w:val="249"/>
        </w:trPr>
        <w:tc>
          <w:tcPr>
            <w:tcW w:w="652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Name: Peter M. Carlino</w:t>
            </w:r>
          </w:p>
        </w:tc>
      </w:tr>
      <w:tr>
        <w:trPr>
          <w:trHeight w:val="230"/>
        </w:trPr>
        <w:tc>
          <w:tcPr>
            <w:tcW w:w="652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 and Principal Financial Officer</w:t>
            </w:r>
          </w:p>
        </w:tc>
      </w:tr>
    </w:tbl>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In connection with the quarterly report of Gaming and Leisure Properties, Inc. (the “Company”) on Form 10-Q for the quarter ended March 31, 2021, as filed with the Securities and Exchange Commission on the date hereof (the “Report”), I, Peter M. Carlino, Chief Executive Officer and Principal Financial Officer of the Company, certify, pursuant to Section 906 of the Sarbanes-Oxley Act of 2002, 18 U.S.C. Section 1350, that, to my knowledge:</w:t>
      </w:r>
    </w:p>
    <w:p>
      <w:pPr>
        <w:spacing w:after="0" w:line="149" w:lineRule="exact"/>
        <w:rPr>
          <w:sz w:val="20"/>
          <w:szCs w:val="20"/>
          <w:color w:val="auto"/>
        </w:rPr>
      </w:pPr>
    </w:p>
    <w:p>
      <w:pPr>
        <w:ind w:left="1340" w:hanging="684"/>
        <w:spacing w:after="0"/>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Peter M. Carlino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M. Carlino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Principal Financial Officer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Date: April 30,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endash "/>
      <w:numFmt w:val="bullet"/>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1."/>
      <w:numFmt w:val="decimal"/>
      <w:start w:val="4"/>
    </w:lvl>
  </w:abstractNum>
  <w:abstractNum w:abstractNumId="8">
    <w:nsid w:val="2D1D5AE9"/>
    <w:multiLevelType w:val="hybridMultilevel"/>
    <w:lvl w:ilvl="0">
      <w:lvlJc w:val="left"/>
      <w:lvlText w:val="%1."/>
      <w:numFmt w:val="decimal"/>
      <w:start w:val="5"/>
    </w:lvl>
  </w:abstractNum>
  <w:abstractNum w:abstractNumId="9">
    <w:nsid w:val="6763845E"/>
    <w:multiLevelType w:val="hybridMultilevel"/>
    <w:lvl w:ilvl="0">
      <w:lvlJc w:val="left"/>
      <w:lvlText w:val="%1."/>
      <w:numFmt w:val="decimal"/>
      <w:start w:val="7"/>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decimal"/>
      <w:start w:val="1"/>
    </w:lvl>
  </w:abstractNum>
  <w:abstractNum w:abstractNumId="13">
    <w:nsid w:val="4353D0CD"/>
    <w:multiLevelType w:val="hybridMultilevel"/>
    <w:lvl w:ilvl="0">
      <w:lvlJc w:val="left"/>
      <w:lvlText w:val="%1."/>
      <w:numFmt w:val="decimal"/>
      <w:start w:val="8"/>
    </w:lvl>
    <w:lvl w:ilvl="1">
      <w:lvlJc w:val="left"/>
      <w:lvlText w:val="%2"/>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0"/>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3"/>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6"/>
    </w:lvl>
  </w:abstractNum>
  <w:abstractNum w:abstractNumId="25">
    <w:nsid w:val="737B8DDC"/>
    <w:multiLevelType w:val="hybridMultilevel"/>
    <w:lvl w:ilvl="0">
      <w:lvlJc w:val="left"/>
      <w:lvlText w:val="\endash "/>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01"/>
    </w:lvl>
  </w:abstractNum>
  <w:abstractNum w:abstractNumId="34">
    <w:nsid w:val="5072367"/>
    <w:multiLevelType w:val="hybridMultilevel"/>
    <w:lvl w:ilvl="0">
      <w:lvlJc w:val="left"/>
      <w:lvlText w:val="*"/>
      <w:numFmt w:val="bullet"/>
      <w:start w:val="1"/>
    </w:lvl>
    <w:lvl w:ilvl="1">
      <w:lvlJc w:val="left"/>
      <w:lvlText w:val="%2"/>
      <w:numFmt w:val="decimal"/>
      <w:start w:val="104"/>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2021-04-30T05:03:45Z</dcterms:created>
  <dcterms:modified xsi:type="dcterms:W3CDTF">2021-04-30T05:03:45Z</dcterms:modified>
</cp:coreProperties>
</file>