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166370</wp:posOffset>
            </wp:positionV>
            <wp:extent cx="2289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66"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4180" w:right="2000" w:hanging="3470"/>
        <w:spacing w:after="0" w:line="334" w:lineRule="auto"/>
        <w:tabs>
          <w:tab w:leader="none" w:pos="151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1" w:lineRule="exact"/>
        <w:rPr>
          <w:rFonts w:ascii="Arial" w:cs="Arial" w:eastAsia="Arial" w:hAnsi="Arial"/>
          <w:sz w:val="16"/>
          <w:szCs w:val="16"/>
          <w:color w:val="auto"/>
        </w:rPr>
      </w:pPr>
    </w:p>
    <w:p>
      <w:pPr>
        <w:ind w:left="5600"/>
        <w:spacing w:after="0"/>
        <w:rPr>
          <w:rFonts w:ascii="Arial" w:cs="Arial" w:eastAsia="Arial" w:hAnsi="Arial"/>
          <w:sz w:val="16"/>
          <w:szCs w:val="16"/>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520" w:hanging="810"/>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001-36124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Gaming and Leisure Properties, Inc.</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77" w:lineRule="exact"/>
        <w:rPr>
          <w:sz w:val="24"/>
          <w:szCs w:val="24"/>
          <w:color w:val="auto"/>
        </w:rPr>
      </w:pPr>
    </w:p>
    <w:tbl>
      <w:tblPr>
        <w:tblLayout w:type="fixed"/>
        <w:tblInd w:w="2580" w:type="dxa"/>
        <w:tblCellMar>
          <w:top w:w="0" w:type="dxa"/>
          <w:left w:w="0" w:type="dxa"/>
          <w:bottom w:w="0" w:type="dxa"/>
          <w:right w:w="0" w:type="dxa"/>
        </w:tblCellMar>
      </w:tblPr>
      <w:tr>
        <w:trPr>
          <w:trHeight w:val="207"/>
        </w:trPr>
        <w:tc>
          <w:tcPr>
            <w:tcW w:w="3480" w:type="dxa"/>
            <w:vAlign w:val="bottom"/>
          </w:tcPr>
          <w:p>
            <w:pPr>
              <w:jc w:val="center"/>
              <w:ind w:right="839"/>
              <w:spacing w:after="0"/>
              <w:rPr>
                <w:sz w:val="20"/>
                <w:szCs w:val="20"/>
                <w:color w:val="auto"/>
              </w:rPr>
            </w:pPr>
            <w:r>
              <w:rPr>
                <w:rFonts w:ascii="Arial" w:cs="Arial" w:eastAsia="Arial" w:hAnsi="Arial"/>
                <w:sz w:val="16"/>
                <w:szCs w:val="16"/>
                <w:b w:val="1"/>
                <w:bCs w:val="1"/>
                <w:color w:val="auto"/>
                <w:w w:val="89"/>
              </w:rPr>
              <w:t>Pennsylvania</w:t>
            </w:r>
          </w:p>
        </w:tc>
        <w:tc>
          <w:tcPr>
            <w:tcW w:w="2100" w:type="dxa"/>
            <w:vAlign w:val="bottom"/>
          </w:tcPr>
          <w:p>
            <w:pPr>
              <w:jc w:val="right"/>
              <w:ind w:right="139"/>
              <w:spacing w:after="0"/>
              <w:rPr>
                <w:sz w:val="20"/>
                <w:szCs w:val="20"/>
                <w:color w:val="auto"/>
              </w:rPr>
            </w:pPr>
            <w:r>
              <w:rPr>
                <w:rFonts w:ascii="Arial" w:cs="Arial" w:eastAsia="Arial" w:hAnsi="Arial"/>
                <w:sz w:val="16"/>
                <w:szCs w:val="16"/>
                <w:b w:val="1"/>
                <w:bCs w:val="1"/>
                <w:color w:val="auto"/>
              </w:rPr>
              <w:t>46-2116489</w:t>
            </w:r>
          </w:p>
        </w:tc>
      </w:tr>
      <w:tr>
        <w:trPr>
          <w:trHeight w:val="203"/>
        </w:trPr>
        <w:tc>
          <w:tcPr>
            <w:tcW w:w="3480" w:type="dxa"/>
            <w:vAlign w:val="bottom"/>
          </w:tcPr>
          <w:p>
            <w:pPr>
              <w:jc w:val="center"/>
              <w:ind w:right="839"/>
              <w:spacing w:after="0"/>
              <w:rPr>
                <w:sz w:val="20"/>
                <w:szCs w:val="20"/>
                <w:color w:val="auto"/>
              </w:rPr>
            </w:pPr>
            <w:r>
              <w:rPr>
                <w:rFonts w:ascii="Arial" w:cs="Arial" w:eastAsia="Arial" w:hAnsi="Arial"/>
                <w:sz w:val="16"/>
                <w:szCs w:val="16"/>
                <w:color w:val="auto"/>
                <w:w w:val="93"/>
              </w:rPr>
              <w:t>(State or other jurisdiction of</w:t>
            </w:r>
          </w:p>
        </w:tc>
        <w:tc>
          <w:tcPr>
            <w:tcW w:w="2100" w:type="dxa"/>
            <w:vAlign w:val="bottom"/>
          </w:tcPr>
          <w:p>
            <w:pPr>
              <w:jc w:val="center"/>
              <w:ind w:left="819"/>
              <w:spacing w:after="0"/>
              <w:rPr>
                <w:sz w:val="20"/>
                <w:szCs w:val="20"/>
                <w:color w:val="auto"/>
              </w:rPr>
            </w:pPr>
            <w:r>
              <w:rPr>
                <w:rFonts w:ascii="Arial" w:cs="Arial" w:eastAsia="Arial" w:hAnsi="Arial"/>
                <w:sz w:val="16"/>
                <w:szCs w:val="16"/>
                <w:color w:val="auto"/>
                <w:w w:val="95"/>
              </w:rPr>
              <w:t>(I.R.S. Employer</w:t>
            </w:r>
          </w:p>
        </w:tc>
      </w:tr>
      <w:tr>
        <w:trPr>
          <w:trHeight w:val="206"/>
        </w:trPr>
        <w:tc>
          <w:tcPr>
            <w:tcW w:w="3480" w:type="dxa"/>
            <w:vAlign w:val="bottom"/>
          </w:tcPr>
          <w:p>
            <w:pPr>
              <w:jc w:val="center"/>
              <w:ind w:right="839"/>
              <w:spacing w:after="0"/>
              <w:rPr>
                <w:sz w:val="20"/>
                <w:szCs w:val="20"/>
                <w:color w:val="auto"/>
              </w:rPr>
            </w:pPr>
            <w:r>
              <w:rPr>
                <w:rFonts w:ascii="Arial" w:cs="Arial" w:eastAsia="Arial" w:hAnsi="Arial"/>
                <w:sz w:val="16"/>
                <w:szCs w:val="16"/>
                <w:color w:val="auto"/>
                <w:w w:val="94"/>
              </w:rPr>
              <w:t>incorporation or organization)</w:t>
            </w:r>
          </w:p>
        </w:tc>
        <w:tc>
          <w:tcPr>
            <w:tcW w:w="2100" w:type="dxa"/>
            <w:vAlign w:val="bottom"/>
          </w:tcPr>
          <w:p>
            <w:pPr>
              <w:jc w:val="center"/>
              <w:ind w:left="819"/>
              <w:spacing w:after="0"/>
              <w:rPr>
                <w:sz w:val="20"/>
                <w:szCs w:val="20"/>
                <w:color w:val="auto"/>
              </w:rPr>
            </w:pPr>
            <w:r>
              <w:rPr>
                <w:rFonts w:ascii="Arial" w:cs="Arial" w:eastAsia="Arial" w:hAnsi="Arial"/>
                <w:sz w:val="16"/>
                <w:szCs w:val="16"/>
                <w:color w:val="auto"/>
                <w:w w:val="96"/>
              </w:rPr>
              <w:t>Identification No.)</w:t>
            </w:r>
          </w:p>
        </w:tc>
      </w:tr>
      <w:tr>
        <w:trPr>
          <w:trHeight w:val="249"/>
        </w:trPr>
        <w:tc>
          <w:tcPr>
            <w:tcW w:w="3480" w:type="dxa"/>
            <w:vAlign w:val="bottom"/>
          </w:tcPr>
          <w:p>
            <w:pPr>
              <w:jc w:val="center"/>
              <w:ind w:right="839"/>
              <w:spacing w:after="0"/>
              <w:rPr>
                <w:sz w:val="20"/>
                <w:szCs w:val="20"/>
                <w:color w:val="auto"/>
              </w:rPr>
            </w:pPr>
            <w:r>
              <w:rPr>
                <w:rFonts w:ascii="Arial" w:cs="Arial" w:eastAsia="Arial" w:hAnsi="Arial"/>
                <w:sz w:val="16"/>
                <w:szCs w:val="16"/>
                <w:b w:val="1"/>
                <w:bCs w:val="1"/>
                <w:color w:val="auto"/>
                <w:w w:val="91"/>
              </w:rPr>
              <w:t>845 Berkshire Blvd., Suite 200</w:t>
            </w:r>
          </w:p>
        </w:tc>
        <w:tc>
          <w:tcPr>
            <w:tcW w:w="2100" w:type="dxa"/>
            <w:vAlign w:val="bottom"/>
          </w:tcPr>
          <w:p>
            <w:pPr>
              <w:spacing w:after="0"/>
              <w:rPr>
                <w:sz w:val="21"/>
                <w:szCs w:val="21"/>
                <w:color w:val="auto"/>
              </w:rPr>
            </w:pPr>
          </w:p>
        </w:tc>
      </w:tr>
      <w:tr>
        <w:trPr>
          <w:trHeight w:val="207"/>
        </w:trPr>
        <w:tc>
          <w:tcPr>
            <w:tcW w:w="3480" w:type="dxa"/>
            <w:vAlign w:val="bottom"/>
          </w:tcPr>
          <w:p>
            <w:pPr>
              <w:jc w:val="center"/>
              <w:ind w:right="839"/>
              <w:spacing w:after="0"/>
              <w:rPr>
                <w:sz w:val="20"/>
                <w:szCs w:val="20"/>
                <w:color w:val="auto"/>
              </w:rPr>
            </w:pPr>
            <w:r>
              <w:rPr>
                <w:rFonts w:ascii="Arial" w:cs="Arial" w:eastAsia="Arial" w:hAnsi="Arial"/>
                <w:sz w:val="16"/>
                <w:szCs w:val="16"/>
                <w:b w:val="1"/>
                <w:bCs w:val="1"/>
                <w:color w:val="auto"/>
                <w:w w:val="89"/>
              </w:rPr>
              <w:t>Wyomissing, Pennsylvania</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19610</w:t>
            </w:r>
          </w:p>
        </w:tc>
      </w:tr>
      <w:tr>
        <w:trPr>
          <w:trHeight w:val="206"/>
        </w:trPr>
        <w:tc>
          <w:tcPr>
            <w:tcW w:w="3480" w:type="dxa"/>
            <w:vAlign w:val="bottom"/>
          </w:tcPr>
          <w:p>
            <w:pPr>
              <w:jc w:val="center"/>
              <w:ind w:right="839"/>
              <w:spacing w:after="0"/>
              <w:rPr>
                <w:sz w:val="20"/>
                <w:szCs w:val="20"/>
                <w:color w:val="auto"/>
              </w:rPr>
            </w:pPr>
            <w:r>
              <w:rPr>
                <w:rFonts w:ascii="Arial" w:cs="Arial" w:eastAsia="Arial" w:hAnsi="Arial"/>
                <w:sz w:val="16"/>
                <w:szCs w:val="16"/>
                <w:color w:val="auto"/>
                <w:w w:val="93"/>
              </w:rPr>
              <w:t>(Address of principal executive offices)</w:t>
            </w:r>
          </w:p>
        </w:tc>
        <w:tc>
          <w:tcPr>
            <w:tcW w:w="2100" w:type="dxa"/>
            <w:vAlign w:val="bottom"/>
          </w:tcPr>
          <w:p>
            <w:pPr>
              <w:jc w:val="center"/>
              <w:ind w:left="819"/>
              <w:spacing w:after="0"/>
              <w:rPr>
                <w:sz w:val="20"/>
                <w:szCs w:val="20"/>
                <w:color w:val="auto"/>
              </w:rPr>
            </w:pPr>
            <w:r>
              <w:rPr>
                <w:rFonts w:ascii="Arial" w:cs="Arial" w:eastAsia="Arial" w:hAnsi="Arial"/>
                <w:sz w:val="16"/>
                <w:szCs w:val="16"/>
                <w:color w:val="auto"/>
                <w:w w:val="95"/>
              </w:rPr>
              <w:t>(Zip Code)</w:t>
            </w:r>
          </w:p>
        </w:tc>
      </w:tr>
    </w:tbl>
    <w:p>
      <w:pPr>
        <w:spacing w:after="0" w:line="127"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(610) 401-2900</w:t>
      </w:r>
    </w:p>
    <w:p>
      <w:pPr>
        <w:spacing w:after="0" w:line="117"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0"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4140" w:type="dxa"/>
            <w:vAlign w:val="bottom"/>
            <w:gridSpan w:val="2"/>
          </w:tcPr>
          <w:p>
            <w:pPr>
              <w:jc w:val="center"/>
              <w:ind w:right="840"/>
              <w:spacing w:after="0"/>
              <w:rPr>
                <w:sz w:val="20"/>
                <w:szCs w:val="20"/>
                <w:color w:val="auto"/>
              </w:rPr>
            </w:pPr>
            <w:r>
              <w:rPr>
                <w:rFonts w:ascii="Arial" w:cs="Arial" w:eastAsia="Arial" w:hAnsi="Arial"/>
                <w:sz w:val="14"/>
                <w:szCs w:val="14"/>
                <w:color w:val="auto"/>
                <w:w w:val="91"/>
              </w:rPr>
              <w:t>Common Stock, par value $.01 per share</w:t>
            </w:r>
          </w:p>
        </w:tc>
        <w:tc>
          <w:tcPr>
            <w:tcW w:w="3340" w:type="dxa"/>
            <w:vAlign w:val="bottom"/>
          </w:tcPr>
          <w:p>
            <w:pPr>
              <w:jc w:val="center"/>
              <w:spacing w:after="0"/>
              <w:rPr>
                <w:sz w:val="20"/>
                <w:szCs w:val="20"/>
                <w:color w:val="auto"/>
              </w:rPr>
            </w:pPr>
            <w:r>
              <w:rPr>
                <w:rFonts w:ascii="Arial" w:cs="Arial" w:eastAsia="Arial" w:hAnsi="Arial"/>
                <w:sz w:val="14"/>
                <w:szCs w:val="14"/>
                <w:color w:val="auto"/>
              </w:rPr>
              <w:t>NASDAQ</w:t>
            </w:r>
          </w:p>
        </w:tc>
      </w:tr>
    </w:tbl>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05"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None</w:t>
      </w:r>
    </w:p>
    <w:p>
      <w:pPr>
        <w:spacing w:after="0" w:line="113" w:lineRule="exact"/>
        <w:rPr>
          <w:sz w:val="24"/>
          <w:szCs w:val="24"/>
          <w:color w:val="auto"/>
        </w:rPr>
      </w:pPr>
    </w:p>
    <w:p>
      <w:pPr>
        <w:ind w:left="5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w:t>
      </w:r>
    </w:p>
    <w:p>
      <w:pPr>
        <w:spacing w:after="0" w:line="109" w:lineRule="exact"/>
        <w:rPr>
          <w:sz w:val="24"/>
          <w:szCs w:val="24"/>
          <w:color w:val="auto"/>
        </w:rPr>
      </w:pPr>
    </w:p>
    <w:p>
      <w:pPr>
        <w:ind w:left="540"/>
        <w:spacing w:after="0"/>
        <w:tabs>
          <w:tab w:leader="none" w:pos="792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tab/>
        <w:t>No x</w:t>
      </w:r>
    </w:p>
    <w:p>
      <w:pPr>
        <w:spacing w:after="0" w:line="121" w:lineRule="exact"/>
        <w:rPr>
          <w:sz w:val="24"/>
          <w:szCs w:val="24"/>
          <w:color w:val="auto"/>
        </w:rPr>
      </w:pPr>
    </w:p>
    <w:p>
      <w:pPr>
        <w:ind w:right="60" w:firstLine="540"/>
        <w:spacing w:after="0" w:line="273" w:lineRule="auto"/>
        <w:rPr>
          <w:sz w:val="20"/>
          <w:szCs w:val="20"/>
          <w:color w:val="auto"/>
        </w:rPr>
      </w:pPr>
      <w:r>
        <w:rPr>
          <w:rFonts w:ascii="Arial" w:cs="Arial" w:eastAsia="Arial" w:hAnsi="Arial"/>
          <w:sz w:val="14"/>
          <w:szCs w:val="14"/>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ind w:right="400" w:firstLine="540"/>
        <w:spacing w:after="0" w:line="25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7" w:lineRule="exact"/>
        <w:rPr>
          <w:sz w:val="24"/>
          <w:szCs w:val="24"/>
          <w:color w:val="auto"/>
        </w:rPr>
      </w:pPr>
    </w:p>
    <w:p>
      <w:pPr>
        <w:ind w:right="100" w:firstLine="54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ind w:right="240" w:firstLine="5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228" w:lineRule="exact"/>
        <w:rPr>
          <w:sz w:val="24"/>
          <w:szCs w:val="24"/>
          <w:color w:val="auto"/>
        </w:rPr>
      </w:pPr>
    </w:p>
    <w:p>
      <w:pPr>
        <w:ind w:left="10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44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40"/>
        <w:spacing w:after="0"/>
        <w:rPr>
          <w:sz w:val="20"/>
          <w:szCs w:val="20"/>
          <w:color w:val="auto"/>
        </w:rPr>
      </w:pPr>
      <w:r>
        <w:rPr>
          <w:rFonts w:ascii="Arial" w:cs="Arial" w:eastAsia="Arial" w:hAnsi="Arial"/>
          <w:sz w:val="14"/>
          <w:szCs w:val="14"/>
          <w:color w:val="auto"/>
        </w:rPr>
        <w:t>Non-accelerated filer o</w:t>
      </w:r>
    </w:p>
    <w:p>
      <w:pPr>
        <w:ind w:left="300"/>
        <w:spacing w:after="0" w:line="221" w:lineRule="auto"/>
        <w:rPr>
          <w:sz w:val="20"/>
          <w:szCs w:val="20"/>
          <w:color w:val="auto"/>
        </w:rPr>
      </w:pPr>
      <w:r>
        <w:rPr>
          <w:rFonts w:ascii="Arial" w:cs="Arial" w:eastAsia="Arial" w:hAnsi="Arial"/>
          <w:sz w:val="14"/>
          <w:szCs w:val="14"/>
          <w:color w:val="auto"/>
        </w:rPr>
        <w:t>(Do not check if a</w:t>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o</w:t>
      </w:r>
    </w:p>
    <w:p>
      <w:pPr>
        <w:spacing w:after="0" w:line="216" w:lineRule="exact"/>
        <w:rPr>
          <w:sz w:val="24"/>
          <w:szCs w:val="24"/>
          <w:color w:val="auto"/>
        </w:rPr>
      </w:pPr>
    </w:p>
    <w:p>
      <w:pPr>
        <w:sectPr>
          <w:pgSz w:w="11900" w:h="16838" w:orient="portrait"/>
          <w:cols w:equalWidth="0" w:num="4">
            <w:col w:w="2900" w:space="720"/>
            <w:col w:w="1520" w:space="720"/>
            <w:col w:w="2100" w:space="720"/>
            <w:col w:w="2740"/>
          </w:cols>
          <w:pgMar w:left="240" w:top="238" w:right="239" w:bottom="1440" w:gutter="0" w:footer="0" w:header="0"/>
          <w:type w:val="continuous"/>
        </w:sectPr>
      </w:pPr>
    </w:p>
    <w:p>
      <w:pPr>
        <w:ind w:right="180" w:firstLine="567"/>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Section13(a) of the Exchange Act. o</w:t>
      </w:r>
    </w:p>
    <w:p>
      <w:pPr>
        <w:spacing w:after="0" w:line="12" w:lineRule="exact"/>
        <w:rPr>
          <w:sz w:val="24"/>
          <w:szCs w:val="24"/>
          <w:color w:val="auto"/>
        </w:rPr>
      </w:pPr>
    </w:p>
    <w:p>
      <w:pPr>
        <w:ind w:left="540"/>
        <w:spacing w:after="0"/>
        <w:tabs>
          <w:tab w:leader="none" w:pos="75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tab/>
        <w:t>No x</w:t>
      </w:r>
    </w:p>
    <w:p>
      <w:pPr>
        <w:spacing w:after="0" w:line="121" w:lineRule="exact"/>
        <w:rPr>
          <w:sz w:val="24"/>
          <w:szCs w:val="24"/>
          <w:color w:val="auto"/>
        </w:rPr>
      </w:pPr>
    </w:p>
    <w:p>
      <w:pPr>
        <w:ind w:firstLine="540"/>
        <w:spacing w:after="0" w:line="257" w:lineRule="auto"/>
        <w:rPr>
          <w:sz w:val="20"/>
          <w:szCs w:val="20"/>
          <w:color w:val="auto"/>
        </w:rPr>
      </w:pPr>
      <w:r>
        <w:rPr>
          <w:rFonts w:ascii="Arial" w:cs="Arial" w:eastAsia="Arial" w:hAnsi="Arial"/>
          <w:sz w:val="14"/>
          <w:szCs w:val="14"/>
          <w:color w:val="auto"/>
        </w:rPr>
        <w:t>As of June 30, 2017 (the last business day of the registrant's most recently completed second fiscal quarter), the aggregate market value of the voting common stock held by non-affiliates of the registrant was approximately $7.6 billion. Such aggregate market value was computed by reference to the closing price of the common stock as reported on the NASDAQ Global Select Market on June 30, 2017.</w:t>
      </w:r>
    </w:p>
    <w:p>
      <w:pPr>
        <w:spacing w:after="0" w:line="77"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number of shares of the registrant's common stock outstanding as of February 12, 2018 was 213,223,235.</w:t>
      </w:r>
    </w:p>
    <w:p>
      <w:pPr>
        <w:spacing w:after="0" w:line="10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ind w:right="140" w:firstLine="567"/>
        <w:spacing w:after="0" w:line="273" w:lineRule="auto"/>
        <w:rPr>
          <w:sz w:val="20"/>
          <w:szCs w:val="20"/>
          <w:color w:val="auto"/>
        </w:rPr>
      </w:pPr>
      <w:r>
        <w:rPr>
          <w:rFonts w:ascii="Arial" w:cs="Arial" w:eastAsia="Arial" w:hAnsi="Arial"/>
          <w:sz w:val="14"/>
          <w:szCs w:val="14"/>
          <w:color w:val="auto"/>
        </w:rPr>
        <w:t>Portions of the registrant's definitive proxy statement for its 2018 annual meeting of shareholders (when it is filed) will be incorporated by reference into Part III of this Annual Report on Form 10-K.</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FACTORS REGARDING FORWARD-LOOKING STATEMENTS</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subsidiaries (collectively, the "Company") to be materially different from any future results, performance or achievements expressed or implied by such forward-looking statements. Forward-looking statements include information concerning the Company's business strategy, plans, and goals and objectives.</w:t>
      </w:r>
    </w:p>
    <w:p>
      <w:pPr>
        <w:spacing w:after="0" w:line="24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and our expectations with respect to the proposed acquisition of Pinnacle Entertainment, Inc. (“Pinnacle”) by Penn National Gaming, Inc. (“Penn”) and the impact on our business and results of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08" w:lineRule="exact"/>
        <w:rPr>
          <w:sz w:val="20"/>
          <w:szCs w:val="20"/>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timing and outcome (including the possibility that the proposed transaction may not be completed or that completion may be unduly delayed) of the proposed merger transaction between Penn and Pinnacle;</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maintain the financial strength and liquidity necessary to satisfy their respective obligations and liabilities to third parties, including without limitation obligations under their existing credit facilities and other indebtedness;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access to debt and equity capital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30"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GLPI's duty to indemnify Penn in certain circumstances if the spin-off transaction described in Part 1 of this Annual Report on Form 10-K fails to be tax-free;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"Risk Factors" and "Management's Discussion and Analysis of Financial Condition and Results of Operations" in this report.</w:t>
      </w:r>
    </w:p>
    <w:p>
      <w:pPr>
        <w:spacing w:after="0" w:line="89"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of this report.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23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80" w:type="dxa"/>
            <w:vAlign w:val="bottom"/>
            <w:gridSpan w:val="11"/>
          </w:tcPr>
          <w:p>
            <w:pPr>
              <w:ind w:left="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600" w:type="dxa"/>
            <w:vAlign w:val="bottom"/>
            <w:gridSpan w:val="7"/>
          </w:tcPr>
          <w:p>
            <w:pPr>
              <w:spacing w:after="0" w:line="189"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980" w:type="dxa"/>
            <w:vAlign w:val="bottom"/>
            <w:gridSpan w:val="5"/>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120" w:type="dxa"/>
            <w:vAlign w:val="bottom"/>
            <w:gridSpan w:val="22"/>
          </w:tcPr>
          <w:p>
            <w:pPr>
              <w:spacing w:after="0"/>
              <w:rPr>
                <w:sz w:val="22"/>
                <w:szCs w:val="22"/>
                <w:color w:val="auto"/>
              </w:rPr>
            </w:pPr>
          </w:p>
        </w:tc>
        <w:tc>
          <w:tcPr>
            <w:tcW w:w="680" w:type="dxa"/>
            <w:vAlign w:val="bottom"/>
            <w:gridSpan w:val="3"/>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ITEM 1A.</w:t>
              </w:r>
            </w:hyperlink>
          </w:p>
        </w:tc>
        <w:tc>
          <w:tcPr>
            <w:tcW w:w="8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7720" w:type="dxa"/>
            <w:vAlign w:val="bottom"/>
            <w:gridSpan w:val="19"/>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1B.</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PROPERTIES</w:t>
              </w:r>
            </w:hyperlink>
          </w:p>
        </w:tc>
        <w:tc>
          <w:tcPr>
            <w:tcW w:w="1760" w:type="dxa"/>
            <w:vAlign w:val="bottom"/>
            <w:gridSpan w:val="9"/>
          </w:tcPr>
          <w:p>
            <w:pPr>
              <w:spacing w:after="0"/>
              <w:rPr>
                <w:sz w:val="21"/>
                <w:szCs w:val="21"/>
                <w:color w:val="auto"/>
              </w:rPr>
            </w:pPr>
          </w:p>
        </w:tc>
        <w:tc>
          <w:tcPr>
            <w:tcW w:w="6160" w:type="dxa"/>
            <w:vAlign w:val="bottom"/>
            <w:gridSpan w:val="1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3.</w:t>
              </w:r>
            </w:hyperlink>
          </w:p>
        </w:tc>
        <w:tc>
          <w:tcPr>
            <w:tcW w:w="980" w:type="dxa"/>
            <w:vAlign w:val="bottom"/>
            <w:gridSpan w:val="5"/>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LEGAL PROCEEDINGS</w:t>
              </w:r>
            </w:hyperlink>
          </w:p>
        </w:tc>
        <w:tc>
          <w:tcPr>
            <w:tcW w:w="7100" w:type="dxa"/>
            <w:vAlign w:val="bottom"/>
            <w:gridSpan w:val="17"/>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4.</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940" w:type="dxa"/>
            <w:vAlign w:val="bottom"/>
            <w:gridSpan w:val="4"/>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5.</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SHAREHOLDER MATTERS AND ISSUER</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PURCHASES OF EQUITY SECURITIES</w:t>
              </w:r>
            </w:hyperlink>
          </w:p>
        </w:tc>
        <w:tc>
          <w:tcPr>
            <w:tcW w:w="5140" w:type="dxa"/>
            <w:vAlign w:val="bottom"/>
            <w:tcBorders>
              <w:top w:val="single" w:sz="8" w:color="0000EE"/>
            </w:tcBorders>
            <w:gridSpan w:val="9"/>
          </w:tcPr>
          <w:p>
            <w:pPr>
              <w:spacing w:after="0"/>
              <w:rPr>
                <w:sz w:val="17"/>
                <w:szCs w:val="17"/>
                <w:color w:val="auto"/>
              </w:rPr>
            </w:pPr>
          </w:p>
        </w:tc>
        <w:tc>
          <w:tcPr>
            <w:tcW w:w="740" w:type="dxa"/>
            <w:vAlign w:val="bottom"/>
            <w:gridSpan w:val="2"/>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ITEM 6.</w:t>
              </w:r>
            </w:hyperlink>
          </w:p>
        </w:tc>
        <w:tc>
          <w:tcPr>
            <w:tcW w:w="980" w:type="dxa"/>
            <w:vAlign w:val="bottom"/>
            <w:gridSpan w:val="5"/>
          </w:tcPr>
          <w:p>
            <w:pPr>
              <w:spacing w:after="0"/>
              <w:rPr>
                <w:sz w:val="21"/>
                <w:szCs w:val="21"/>
                <w:color w:val="auto"/>
              </w:rPr>
            </w:pPr>
          </w:p>
        </w:tc>
        <w:tc>
          <w:tcPr>
            <w:tcW w:w="31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5880" w:type="dxa"/>
            <w:vAlign w:val="bottom"/>
            <w:gridSpan w:val="1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ITEM 7.</w:t>
              </w:r>
            </w:hyperlink>
          </w:p>
        </w:tc>
        <w:tc>
          <w:tcPr>
            <w:tcW w:w="980" w:type="dxa"/>
            <w:vAlign w:val="bottom"/>
            <w:gridSpan w:val="5"/>
          </w:tcPr>
          <w:p>
            <w:pPr>
              <w:spacing w:after="0"/>
              <w:rPr>
                <w:sz w:val="21"/>
                <w:szCs w:val="21"/>
                <w:color w:val="auto"/>
              </w:rPr>
            </w:pPr>
          </w:p>
        </w:tc>
        <w:tc>
          <w:tcPr>
            <w:tcW w:w="8900" w:type="dxa"/>
            <w:vAlign w:val="bottom"/>
            <w:gridSpan w:val="22"/>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MANAGEMENT'S DISCUSSION AND ANALYSIS OF FINANCIAL CONDITION AND RESULTS OF OPERATIONS</w:t>
              </w:r>
            </w:hyperlink>
          </w:p>
        </w:tc>
        <w:tc>
          <w:tcPr>
            <w:tcW w:w="80" w:type="dxa"/>
            <w:vAlign w:val="bottom"/>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7A.</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84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ITEM 9.</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CHANGES IN AND DISAGREEMENTS WITH ACCOUNTANTS ON ACCOUNTING AND FINANCIAL</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10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ITEM 9A.</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09">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50"/>
        </w:trPr>
        <w:tc>
          <w:tcPr>
            <w:tcW w:w="760" w:type="dxa"/>
            <w:vAlign w:val="bottom"/>
            <w:tcBorders>
              <w:top w:val="single" w:sz="8" w:color="0000EE"/>
            </w:tcBorders>
            <w:gridSpan w:val="6"/>
          </w:tcPr>
          <w:p>
            <w:pPr>
              <w:spacing w:after="0"/>
              <w:rPr>
                <w:rFonts w:ascii="Arial" w:cs="Arial" w:eastAsia="Arial" w:hAnsi="Arial"/>
                <w:sz w:val="18"/>
                <w:szCs w:val="18"/>
                <w:color w:val="0000EE"/>
                <w:w w:val="95"/>
              </w:rPr>
            </w:pPr>
            <w:hyperlink w:anchor="page111">
              <w:r>
                <w:rPr>
                  <w:rFonts w:ascii="Arial" w:cs="Arial" w:eastAsia="Arial" w:hAnsi="Arial"/>
                  <w:sz w:val="18"/>
                  <w:szCs w:val="18"/>
                  <w:color w:val="0000EE"/>
                  <w:w w:val="95"/>
                </w:rPr>
                <w:t>ITEM 9B.</w:t>
              </w:r>
            </w:hyperlink>
          </w:p>
        </w:tc>
        <w:tc>
          <w:tcPr>
            <w:tcW w:w="840" w:type="dxa"/>
            <w:vAlign w:val="bottom"/>
          </w:tcPr>
          <w:p>
            <w:pPr>
              <w:spacing w:after="0"/>
              <w:rPr>
                <w:sz w:val="21"/>
                <w:szCs w:val="21"/>
                <w:color w:val="auto"/>
              </w:rPr>
            </w:pPr>
          </w:p>
        </w:tc>
        <w:tc>
          <w:tcPr>
            <w:tcW w:w="2600" w:type="dxa"/>
            <w:vAlign w:val="bottom"/>
            <w:tcBorders>
              <w:top w:val="single" w:sz="8" w:color="0000EE"/>
            </w:tcBorders>
            <w:gridSpan w:val="1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6380" w:type="dxa"/>
            <w:vAlign w:val="bottom"/>
            <w:gridSpan w:val="13"/>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840" w:type="dxa"/>
            <w:vAlign w:val="bottom"/>
          </w:tcPr>
          <w:p>
            <w:pPr>
              <w:spacing w:after="0"/>
              <w:rPr>
                <w:sz w:val="21"/>
                <w:szCs w:val="21"/>
                <w:color w:val="auto"/>
              </w:rPr>
            </w:pPr>
          </w:p>
        </w:tc>
        <w:tc>
          <w:tcPr>
            <w:tcW w:w="8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10.</w:t>
              </w:r>
            </w:hyperlink>
          </w:p>
        </w:tc>
        <w:tc>
          <w:tcPr>
            <w:tcW w:w="8980" w:type="dxa"/>
            <w:vAlign w:val="bottom"/>
            <w:gridSpan w:val="2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DIRECTORS, EXECUTIVE OFFICERS AND CORPORATE GOVERNANCE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ITEM 11.</w:t>
              </w:r>
            </w:hyperlink>
          </w:p>
        </w:tc>
        <w:tc>
          <w:tcPr>
            <w:tcW w:w="900" w:type="dxa"/>
            <w:vAlign w:val="bottom"/>
            <w:gridSpan w:val="3"/>
          </w:tcPr>
          <w:p>
            <w:pPr>
              <w:spacing w:after="0"/>
              <w:rPr>
                <w:sz w:val="21"/>
                <w:szCs w:val="21"/>
                <w:color w:val="auto"/>
              </w:rPr>
            </w:pPr>
          </w:p>
        </w:tc>
        <w:tc>
          <w:tcPr>
            <w:tcW w:w="5800" w:type="dxa"/>
            <w:vAlign w:val="bottom"/>
            <w:gridSpan w:val="1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3180" w:type="dxa"/>
            <w:vAlign w:val="bottom"/>
            <w:gridSpan w:val="7"/>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12.</w:t>
              </w:r>
            </w:hyperlink>
          </w:p>
        </w:tc>
        <w:tc>
          <w:tcPr>
            <w:tcW w:w="8980" w:type="dxa"/>
            <w:vAlign w:val="bottom"/>
            <w:gridSpan w:val="2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SECURITY OWNERSHIP OF CERTAIN BENEFICIAL OWNERS AND MANAGEMENT AND RELATED</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STOCKHOLDERS MATTERS</w:t>
              </w:r>
            </w:hyperlink>
          </w:p>
        </w:tc>
        <w:tc>
          <w:tcPr>
            <w:tcW w:w="960" w:type="dxa"/>
            <w:vAlign w:val="bottom"/>
            <w:gridSpan w:val="3"/>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13.</w:t>
              </w:r>
            </w:hyperlink>
          </w:p>
        </w:tc>
        <w:tc>
          <w:tcPr>
            <w:tcW w:w="8980" w:type="dxa"/>
            <w:vAlign w:val="bottom"/>
            <w:gridSpan w:val="2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CERTAIN RELATIONSHIPS AND RELATED TRANSACTIONS AND DIRECTOR INDEPENDENCE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14.</w:t>
              </w:r>
            </w:hyperlink>
          </w:p>
        </w:tc>
        <w:tc>
          <w:tcPr>
            <w:tcW w:w="8980" w:type="dxa"/>
            <w:vAlign w:val="bottom"/>
            <w:gridSpan w:val="2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PRINCIPAL ACCOUNTING FEES AND SERVICES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113">
              <w:r>
                <w:rPr>
                  <w:rFonts w:ascii="Arial" w:cs="Arial" w:eastAsia="Arial" w:hAnsi="Arial"/>
                  <w:sz w:val="18"/>
                  <w:szCs w:val="18"/>
                  <w:b w:val="1"/>
                  <w:bCs w:val="1"/>
                  <w:color w:val="0000EE"/>
                  <w:w w:val="98"/>
                </w:rPr>
                <w:t>PART IV</w:t>
              </w:r>
            </w:hyperlink>
          </w:p>
        </w:tc>
        <w:tc>
          <w:tcPr>
            <w:tcW w:w="88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15.</w:t>
              </w:r>
            </w:hyperlink>
          </w:p>
        </w:tc>
        <w:tc>
          <w:tcPr>
            <w:tcW w:w="898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EXHIBITS, FINANCIAL STATEMENT SCHEDULES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16.</w:t>
              </w:r>
            </w:hyperlink>
          </w:p>
        </w:tc>
        <w:tc>
          <w:tcPr>
            <w:tcW w:w="1900" w:type="dxa"/>
            <w:vAlign w:val="bottom"/>
            <w:gridSpan w:val="7"/>
            <w:vMerge w:val="restart"/>
          </w:tcPr>
          <w:p>
            <w:pPr>
              <w:spacing w:after="0"/>
              <w:rPr>
                <w:rFonts w:ascii="Arial" w:cs="Arial" w:eastAsia="Arial" w:hAnsi="Arial"/>
                <w:sz w:val="18"/>
                <w:szCs w:val="18"/>
                <w:color w:val="0000EE"/>
                <w:w w:val="97"/>
              </w:rPr>
            </w:pPr>
            <w:hyperlink w:anchor="page113">
              <w:r>
                <w:rPr>
                  <w:rFonts w:ascii="Arial" w:cs="Arial" w:eastAsia="Arial" w:hAnsi="Arial"/>
                  <w:sz w:val="18"/>
                  <w:szCs w:val="18"/>
                  <w:color w:val="0000EE"/>
                  <w:w w:val="97"/>
                </w:rPr>
                <w:t>FORM 10-K SUMMARY</w:t>
              </w:r>
            </w:hyperlink>
          </w:p>
        </w:tc>
        <w:tc>
          <w:tcPr>
            <w:tcW w:w="7080" w:type="dxa"/>
            <w:vAlign w:val="bottom"/>
            <w:gridSpan w:val="16"/>
            <w:vMerge w:val="restart"/>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Borders>
              <w:bottom w:val="single" w:sz="8" w:color="0000EE"/>
            </w:tcBorders>
            <w:gridSpan w:val="7"/>
            <w:vMerge w:val="continue"/>
          </w:tcPr>
          <w:p>
            <w:pPr>
              <w:spacing w:after="0"/>
              <w:rPr>
                <w:sz w:val="10"/>
                <w:szCs w:val="10"/>
                <w:color w:val="auto"/>
              </w:rPr>
            </w:pPr>
          </w:p>
        </w:tc>
        <w:tc>
          <w:tcPr>
            <w:tcW w:w="7080" w:type="dxa"/>
            <w:vAlign w:val="bottom"/>
            <w:gridSpan w:val="16"/>
            <w:vMerge w:val="continue"/>
          </w:tcPr>
          <w:p>
            <w:pPr>
              <w:spacing w:after="0"/>
              <w:rPr>
                <w:sz w:val="10"/>
                <w:szCs w:val="10"/>
                <w:color w:val="auto"/>
              </w:rPr>
            </w:pPr>
          </w:p>
        </w:tc>
        <w:tc>
          <w:tcPr>
            <w:tcW w:w="800" w:type="dxa"/>
            <w:vAlign w:val="bottom"/>
            <w:gridSpan w:val="5"/>
            <w:vMerge w:val="restart"/>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980" w:type="dxa"/>
            <w:vAlign w:val="bottom"/>
            <w:gridSpan w:val="23"/>
            <w:vMerge w:val="restart"/>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EXHIBIT INDEX</w:t>
              </w:r>
            </w:hyperlink>
          </w:p>
        </w:tc>
        <w:tc>
          <w:tcPr>
            <w:tcW w:w="8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980" w:type="dxa"/>
            <w:vAlign w:val="bottom"/>
            <w:gridSpan w:val="2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80" w:type="dxa"/>
            <w:vAlign w:val="bottom"/>
            <w:gridSpan w:val="23"/>
            <w:vMerge w:val="continue"/>
          </w:tcPr>
          <w:p>
            <w:pPr>
              <w:spacing w:after="0"/>
              <w:rPr>
                <w:sz w:val="24"/>
                <w:szCs w:val="24"/>
                <w:color w:val="auto"/>
              </w:rPr>
            </w:pPr>
          </w:p>
        </w:tc>
        <w:tc>
          <w:tcPr>
            <w:tcW w:w="800" w:type="dxa"/>
            <w:vAlign w:val="bottom"/>
            <w:gridSpan w:val="5"/>
            <w:vMerge w:val="restart"/>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920" w:type="dxa"/>
            <w:vAlign w:val="bottom"/>
            <w:gridSpan w:val="21"/>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SIGNATURES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0" w:firstLine="45"/>
        <w:spacing w:after="0" w:line="291" w:lineRule="auto"/>
        <w:rPr>
          <w:sz w:val="20"/>
          <w:szCs w:val="20"/>
          <w:color w:val="auto"/>
        </w:rPr>
      </w:pPr>
      <w:r>
        <w:rPr>
          <w:rFonts w:ascii="Arial" w:cs="Arial" w:eastAsia="Arial" w:hAnsi="Arial"/>
          <w:sz w:val="16"/>
          <w:szCs w:val="16"/>
          <w:i w:val="1"/>
          <w:iCs w:val="1"/>
          <w:color w:val="auto"/>
        </w:rPr>
        <w:t xml:space="preserve">This Annual Report on Form 10-K includes information regarding Penn National Gaming, Inc., a Pennsylvania corporation, and its subsidiaries (collectively "Penn") and Pinnacle Entertainment, Inc., a Delaware corporation, and its subsidiaries (collectively "Pinnacle"). Penn and Pinnacle are subject to the reporting requirements of the U.S. Securities and Exchange Commission ("SEC") and are required to file with the SEC annual reports containing audited financial information and quarterly reports containing unaudited financial information. The information related to Penn and Pinnacle provided in this Annual Report on Form 10-K has been derived from Penn and Pinnacle's respective public filings. We have not independently verified this information. We have no reason to believe that this information derived from Penn and Pinnacle's public filings is inaccurate in any material respect that has not been disclosed publicly. We are providing this data for information purposes only. Penn and Pinnacle's filings with the SEC can be found at </w:t>
      </w:r>
      <w:r>
        <w:rPr>
          <w:rFonts w:ascii="Arial" w:cs="Arial" w:eastAsia="Arial" w:hAnsi="Arial"/>
          <w:sz w:val="16"/>
          <w:szCs w:val="16"/>
          <w:color w:val="auto"/>
        </w:rPr>
        <w:t>www.sec.gov.</w:t>
      </w:r>
    </w:p>
    <w:p>
      <w:pPr>
        <w:spacing w:after="0" w:line="221"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In this Annual Report on Form 10-K, the terms "we," "us," "our," the "Company" and "GLPI" refer to Gaming and Leisure Properties, Inc. and subsidiaries, unless the context indicates otherwise.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"Spinoffs and Reverse Spinoffs." GLPI owns and operates the TRS Properties through its indirect wholly-owned subsidiary, GLP Holdings, Inc.</w:t>
      </w:r>
    </w:p>
    <w:p>
      <w:pPr>
        <w:spacing w:after="0" w:line="22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 elected on its United States ("U.S.") federal income tax return for its taxable year that began on January 1, 2014 to be treated as a REIT and the Company, together with GLP Holdings, Inc., jointly elected to treat each of GLP Holdings, Inc., Louisiana Casino Cruises, Inc. and Penn Cecil Maryland, Inc. as a "taxable REIT subsidiary" (a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(the "Purging Distribution").</w:t>
      </w:r>
    </w:p>
    <w:p>
      <w:pPr>
        <w:spacing w:after="0" w:line="246"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these assets to Penn for use by its subsidiaries pursuant to a unitary master lease (the "Penn Master Lease"). The Penn Master Lease is a triple-net operating lease with an initial term of 15 years (expiring October 31, 2028) with no purchase option, followed by four 5-year renewal options (exercisable by Penn) on the same terms and conditions. In April 2016, the Company acquired substantially all of the real estate assets of Pinnacle Entertainment, Inc. ("Pinnacle") for approximately $4.8 billion. GLPI leases these assets back to Pinnacle, under a unitary triple-net lease with an initial term of 10 years (expiring April 30, 2026) with no purchase option, followed by five 5-year renewal options (exercisable by Pinnacle) on the same terms and conditions (the "Pinnacle Master Lease" and together with the Penn Master Lease, the "Master Leases"). See Note 4 to the Consolidated Financial Statements for further details surrounding the Pinnacle acquisition.</w:t>
      </w:r>
    </w:p>
    <w:p>
      <w:pPr>
        <w:spacing w:after="0" w:line="22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Triple-net leases are leases in which the lessee pays rent to the lessor, as well as all taxes, insurance, and maintenance expenses that arise from the use of the property. As of December 31,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contain approximately 15.2 million of rentable square feet. As of December 31, 2017, the Company's properties were 100% occupied.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expect to grow our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Center, from Penn and Pinnacle, respectively. We will acquire these properties in connection with the proposed acquisition of Pinnacle by Penn pursuant to a definitive agreement and plan of merger between them, also dated December 17, 2017 (the "Merger").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Gaming Corporation (“Boyd”) and to enter into a new master lease agreement with Boyd on terms similar to the Company’s existing leases. The transaction is expected to add additional annual rental revenue of approximately $46 million upon closing. The transaction which is subject to regulatory approval is expected to close in the second half of 2018.</w:t>
      </w:r>
    </w:p>
    <w:p>
      <w:pPr>
        <w:spacing w:after="0" w:line="23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8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provisions of the Code, we also would be disqualified from re-electing to be taxed as a REIT for the four taxable years following the year in which we failed to qualify to be taxed as a REIT.</w:t>
      </w:r>
    </w:p>
    <w:p>
      <w:pPr>
        <w:spacing w:after="0" w:line="22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TRS Properties are able to engage in activities resulting in income that is not qualifying income for a REIT. As a result, certain activities of the Company which occur within our TRS Properties are subject to federal and state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w:t>
      </w:r>
    </w:p>
    <w:p>
      <w:pPr>
        <w:spacing w:after="0" w:line="14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As of December 31, 2017, 20 of the Company’s real estate investment properties were leased to a subsidiary of Penn under the Penn Master Lease and 14 of the Company's real estate investment properties were leased to a subsidiary of Pinnacle under the Pinnacle Master Lease. Penn and Pinnacle are both leading, diversified, multi-jurisdictional owners and managers of gaming and pari-mutuel properties and established gaming providers with strong financial performance. The obligations under the Penn and Pinnacle Master Leases are guaranteed by Penn and Pinnacle, respectively, and by most of Penn's and Pinnacle's subsidiaries that occupy and operate the facilities leased under the respective Master Leases. Additionally, the real estate assets of the Meadows Racetrack and Casino (the "Meadows") are leased to Pinnacle under a single property triple-net operating lease separate from the Pinnacle Master Lease (the "Meadows Lease"). GLPI also leases the Casino Queen property back to its operator on a triple-net basis on terms similar to those in the Master Leases (the "Casino Queen Lease").</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firstLine="690"/>
        <w:spacing w:after="0" w:line="302" w:lineRule="auto"/>
        <w:rPr>
          <w:sz w:val="20"/>
          <w:szCs w:val="20"/>
          <w:color w:val="auto"/>
        </w:rPr>
      </w:pPr>
      <w:r>
        <w:rPr>
          <w:rFonts w:ascii="Arial" w:cs="Arial" w:eastAsia="Arial" w:hAnsi="Arial"/>
          <w:sz w:val="16"/>
          <w:szCs w:val="16"/>
          <w:color w:val="auto"/>
        </w:rPr>
        <w:t>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6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tenants do not have the ability to terminate their obligations under our long-term tenant leases prior to their expiration without the Company's consent. If our long-term tenant leases are terminated prior to their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 Both the Penn Master Lease and Casino Queen Lease have an initial term of 15 years with no purchase option, followed by four 5 year renewal options (exercisable by Penn or Casino Queen, respectively) on the same terms and conditions, while the Pinnacle Master Lease has an initial term of 10 years with no purchase option, followed by five 5-year renewal options (exercisable by Pinnacle) on the same terms and conditions. The Meadows Lease has an initial term of 10 years with no purchase option and the option to renew for three successive 5-year terms and one 4-year term, (exercisable by Pinnacle) on the same terms and conditions.</w:t>
      </w:r>
    </w:p>
    <w:p>
      <w:pPr>
        <w:sectPr>
          <w:pgSz w:w="11900" w:h="16838" w:orient="portrait"/>
          <w:cols w:equalWidth="0" w:num="1">
            <w:col w:w="11420"/>
          </w:cols>
          <w:pgMar w:left="240" w:top="130" w:right="239" w:bottom="6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638"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features of our properties as of December 31, 2017:</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Approx.</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Property</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Square</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Owned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Leased</w:t>
            </w:r>
          </w:p>
        </w:tc>
        <w:tc>
          <w:tcPr>
            <w:tcW w:w="560" w:type="dxa"/>
            <w:vAlign w:val="bottom"/>
          </w:tcPr>
          <w:p>
            <w:pPr>
              <w:jc w:val="right"/>
              <w:ind w:right="48"/>
              <w:spacing w:after="0" w:line="135" w:lineRule="exact"/>
              <w:rPr>
                <w:sz w:val="20"/>
                <w:szCs w:val="20"/>
                <w:color w:val="auto"/>
              </w:rPr>
            </w:pPr>
            <w:r>
              <w:rPr>
                <w:rFonts w:ascii="Arial" w:cs="Arial" w:eastAsia="Arial" w:hAnsi="Arial"/>
                <w:sz w:val="13"/>
                <w:szCs w:val="13"/>
                <w:b w:val="1"/>
                <w:bCs w:val="1"/>
                <w:color w:val="auto"/>
              </w:rPr>
              <w:t>Hotel</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620" w:type="dxa"/>
            <w:vAlign w:val="bottom"/>
          </w:tcPr>
          <w:p>
            <w:pPr>
              <w:ind w:left="680"/>
              <w:spacing w:after="0"/>
              <w:rPr>
                <w:sz w:val="20"/>
                <w:szCs w:val="20"/>
                <w:color w:val="auto"/>
              </w:rPr>
            </w:pPr>
            <w:r>
              <w:rPr>
                <w:rFonts w:ascii="Arial" w:cs="Arial" w:eastAsia="Arial" w:hAnsi="Arial"/>
                <w:sz w:val="13"/>
                <w:szCs w:val="13"/>
                <w:b w:val="1"/>
                <w:bCs w:val="1"/>
                <w:color w:val="auto"/>
              </w:rPr>
              <w:t>Location</w:t>
            </w:r>
          </w:p>
        </w:tc>
        <w:tc>
          <w:tcPr>
            <w:tcW w:w="3540" w:type="dxa"/>
            <w:vAlign w:val="bottom"/>
            <w:gridSpan w:val="2"/>
          </w:tcPr>
          <w:p>
            <w:pPr>
              <w:ind w:left="1380"/>
              <w:spacing w:after="0"/>
              <w:rPr>
                <w:sz w:val="20"/>
                <w:szCs w:val="20"/>
                <w:color w:val="auto"/>
              </w:rPr>
            </w:pPr>
            <w:r>
              <w:rPr>
                <w:rFonts w:ascii="Arial" w:cs="Arial" w:eastAsia="Arial" w:hAnsi="Arial"/>
                <w:sz w:val="13"/>
                <w:szCs w:val="13"/>
                <w:b w:val="1"/>
                <w:bCs w:val="1"/>
                <w:color w:val="auto"/>
              </w:rPr>
              <w:t>Type of Facility</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 xml:space="preserve">Footage </w:t>
            </w:r>
            <w:r>
              <w:rPr>
                <w:rFonts w:ascii="Arial" w:cs="Arial" w:eastAsia="Arial" w:hAnsi="Arial"/>
                <w:sz w:val="8"/>
                <w:szCs w:val="8"/>
                <w:b w:val="1"/>
                <w:bCs w:val="1"/>
                <w:color w:val="auto"/>
                <w:w w:val="90"/>
              </w:rPr>
              <w:t>(1)</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Acreage</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 xml:space="preserve">Acreage </w:t>
            </w:r>
            <w:r>
              <w:rPr>
                <w:rFonts w:ascii="Arial" w:cs="Arial" w:eastAsia="Arial" w:hAnsi="Arial"/>
                <w:sz w:val="8"/>
                <w:szCs w:val="8"/>
                <w:b w:val="1"/>
                <w:bCs w:val="1"/>
                <w:color w:val="auto"/>
                <w:w w:val="89"/>
              </w:rPr>
              <w:t>(2)</w:t>
            </w:r>
          </w:p>
        </w:tc>
        <w:tc>
          <w:tcPr>
            <w:tcW w:w="560" w:type="dxa"/>
            <w:vAlign w:val="bottom"/>
          </w:tcPr>
          <w:p>
            <w:pPr>
              <w:jc w:val="right"/>
              <w:ind w:right="28"/>
              <w:spacing w:after="0"/>
              <w:rPr>
                <w:sz w:val="20"/>
                <w:szCs w:val="20"/>
                <w:color w:val="auto"/>
              </w:rPr>
            </w:pPr>
            <w:r>
              <w:rPr>
                <w:rFonts w:ascii="Arial" w:cs="Arial" w:eastAsia="Arial" w:hAnsi="Arial"/>
                <w:sz w:val="13"/>
                <w:szCs w:val="13"/>
                <w:b w:val="1"/>
                <w:bCs w:val="1"/>
                <w:color w:val="auto"/>
                <w:w w:val="99"/>
              </w:rPr>
              <w:t>Rooms</w:t>
            </w:r>
          </w:p>
        </w:tc>
        <w:tc>
          <w:tcPr>
            <w:tcW w:w="0" w:type="dxa"/>
            <w:vAlign w:val="bottom"/>
          </w:tcPr>
          <w:p>
            <w:pPr>
              <w:spacing w:after="0"/>
              <w:rPr>
                <w:sz w:val="1"/>
                <w:szCs w:val="1"/>
                <w:color w:val="auto"/>
              </w:rPr>
            </w:pPr>
          </w:p>
        </w:tc>
      </w:tr>
      <w:tr>
        <w:trPr>
          <w:trHeight w:val="25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Tenants</w:t>
            </w:r>
          </w:p>
        </w:tc>
        <w:tc>
          <w:tcPr>
            <w:tcW w:w="1620" w:type="dxa"/>
            <w:vAlign w:val="bottom"/>
            <w:tcBorders>
              <w:top w:val="single" w:sz="8" w:color="auto"/>
            </w:tcBorders>
            <w:shd w:val="clear" w:color="auto" w:fill="CCEEFF"/>
          </w:tcPr>
          <w:p>
            <w:pPr>
              <w:spacing w:after="0"/>
              <w:rPr>
                <w:sz w:val="22"/>
                <w:szCs w:val="22"/>
                <w:color w:val="auto"/>
              </w:rPr>
            </w:pPr>
          </w:p>
        </w:tc>
        <w:tc>
          <w:tcPr>
            <w:tcW w:w="34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Hollywood Casino Lawrenceburg</w:t>
            </w:r>
          </w:p>
        </w:tc>
        <w:tc>
          <w:tcPr>
            <w:tcW w:w="1620" w:type="dxa"/>
            <w:vAlign w:val="bottom"/>
          </w:tcPr>
          <w:p>
            <w:pPr>
              <w:ind w:left="20"/>
              <w:spacing w:after="0"/>
              <w:rPr>
                <w:sz w:val="20"/>
                <w:szCs w:val="20"/>
                <w:color w:val="auto"/>
              </w:rPr>
            </w:pPr>
            <w:r>
              <w:rPr>
                <w:rFonts w:ascii="Arial" w:cs="Arial" w:eastAsia="Arial" w:hAnsi="Arial"/>
                <w:sz w:val="14"/>
                <w:szCs w:val="14"/>
                <w:color w:val="auto"/>
              </w:rPr>
              <w:t>Lawrenceburg, IN</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634,000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Aurora</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Aurora, IL</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222,189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Hollywood Casino Joliet</w:t>
            </w:r>
          </w:p>
        </w:tc>
        <w:tc>
          <w:tcPr>
            <w:tcW w:w="1620" w:type="dxa"/>
            <w:vAlign w:val="bottom"/>
          </w:tcPr>
          <w:p>
            <w:pPr>
              <w:ind w:left="20"/>
              <w:spacing w:after="0"/>
              <w:rPr>
                <w:sz w:val="20"/>
                <w:szCs w:val="20"/>
                <w:color w:val="auto"/>
              </w:rPr>
            </w:pPr>
            <w:r>
              <w:rPr>
                <w:rFonts w:ascii="Arial" w:cs="Arial" w:eastAsia="Arial" w:hAnsi="Arial"/>
                <w:sz w:val="14"/>
                <w:szCs w:val="14"/>
                <w:color w:val="auto"/>
              </w:rPr>
              <w:t>Joliet, IL</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322,446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276.4</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Argosy Casino Alton</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Alton, IL</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124,569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Hollywood Casino Toledo</w:t>
            </w:r>
          </w:p>
        </w:tc>
        <w:tc>
          <w:tcPr>
            <w:tcW w:w="1620" w:type="dxa"/>
            <w:vAlign w:val="bottom"/>
          </w:tcPr>
          <w:p>
            <w:pPr>
              <w:ind w:left="20"/>
              <w:spacing w:after="0"/>
              <w:rPr>
                <w:sz w:val="20"/>
                <w:szCs w:val="20"/>
                <w:color w:val="auto"/>
              </w:rPr>
            </w:pPr>
            <w:r>
              <w:rPr>
                <w:rFonts w:ascii="Arial" w:cs="Arial" w:eastAsia="Arial" w:hAnsi="Arial"/>
                <w:sz w:val="14"/>
                <w:szCs w:val="14"/>
                <w:color w:val="auto"/>
              </w:rPr>
              <w:t>Toledo, OH</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285,335</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Columbus</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Columbus, OH</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354,075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Hollywood Casino at Charles Town Races</w:t>
            </w:r>
          </w:p>
        </w:tc>
        <w:tc>
          <w:tcPr>
            <w:tcW w:w="1620" w:type="dxa"/>
            <w:vAlign w:val="bottom"/>
          </w:tcPr>
          <w:p>
            <w:pPr>
              <w:ind w:left="20"/>
              <w:spacing w:after="0"/>
              <w:rPr>
                <w:sz w:val="20"/>
                <w:szCs w:val="20"/>
                <w:color w:val="auto"/>
              </w:rPr>
            </w:pPr>
            <w:r>
              <w:rPr>
                <w:rFonts w:ascii="Arial" w:cs="Arial" w:eastAsia="Arial" w:hAnsi="Arial"/>
                <w:sz w:val="14"/>
                <w:szCs w:val="14"/>
                <w:color w:val="auto"/>
              </w:rPr>
              <w:t>Charles Town, WV</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gaming/Thoroughbred racing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511,249</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298.6</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at Penn National Race</w:t>
            </w:r>
          </w:p>
        </w:tc>
        <w:tc>
          <w:tcPr>
            <w:tcW w:w="162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Course</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Grantville, PA</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gaming/Thoroughbred racing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451,758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M Resort</w:t>
            </w:r>
          </w:p>
        </w:tc>
        <w:tc>
          <w:tcPr>
            <w:tcW w:w="1620" w:type="dxa"/>
            <w:vAlign w:val="bottom"/>
          </w:tcPr>
          <w:p>
            <w:pPr>
              <w:ind w:left="20"/>
              <w:spacing w:after="0"/>
              <w:rPr>
                <w:sz w:val="20"/>
                <w:szCs w:val="20"/>
                <w:color w:val="auto"/>
              </w:rPr>
            </w:pPr>
            <w:r>
              <w:rPr>
                <w:rFonts w:ascii="Arial" w:cs="Arial" w:eastAsia="Arial" w:hAnsi="Arial"/>
                <w:sz w:val="14"/>
                <w:szCs w:val="14"/>
                <w:color w:val="auto"/>
              </w:rPr>
              <w:t>Henderson, NV</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910,173</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Bangor</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Bangor, ME</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gaming/Harness racing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257,085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 xml:space="preserve">Zia Park Casino </w:t>
            </w:r>
            <w:r>
              <w:rPr>
                <w:rFonts w:ascii="Arial" w:cs="Arial" w:eastAsia="Arial" w:hAnsi="Arial"/>
                <w:sz w:val="8"/>
                <w:szCs w:val="8"/>
                <w:color w:val="auto"/>
              </w:rPr>
              <w:t>(3)</w:t>
            </w:r>
          </w:p>
        </w:tc>
        <w:tc>
          <w:tcPr>
            <w:tcW w:w="1620" w:type="dxa"/>
            <w:vAlign w:val="bottom"/>
          </w:tcPr>
          <w:p>
            <w:pPr>
              <w:ind w:left="20"/>
              <w:spacing w:after="0"/>
              <w:rPr>
                <w:sz w:val="20"/>
                <w:szCs w:val="20"/>
                <w:color w:val="auto"/>
              </w:rPr>
            </w:pPr>
            <w:r>
              <w:rPr>
                <w:rFonts w:ascii="Arial" w:cs="Arial" w:eastAsia="Arial" w:hAnsi="Arial"/>
                <w:sz w:val="14"/>
                <w:szCs w:val="14"/>
                <w:color w:val="auto"/>
              </w:rPr>
              <w:t>Hobbs, NM</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gaming/Thoroughbred racing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109,067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317.4</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Gulf Coast</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Bay St. Louis, MS</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425,920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578.7</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Argosy Casino Riverside</w:t>
            </w:r>
          </w:p>
        </w:tc>
        <w:tc>
          <w:tcPr>
            <w:tcW w:w="1620" w:type="dxa"/>
            <w:vAlign w:val="bottom"/>
          </w:tcPr>
          <w:p>
            <w:pPr>
              <w:ind w:left="20"/>
              <w:spacing w:after="0"/>
              <w:rPr>
                <w:sz w:val="20"/>
                <w:szCs w:val="20"/>
                <w:color w:val="auto"/>
              </w:rPr>
            </w:pPr>
            <w:r>
              <w:rPr>
                <w:rFonts w:ascii="Arial" w:cs="Arial" w:eastAsia="Arial" w:hAnsi="Arial"/>
                <w:sz w:val="14"/>
                <w:szCs w:val="14"/>
                <w:color w:val="auto"/>
              </w:rPr>
              <w:t>Riverside, MO</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450,397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Tunica</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Tunica, MS</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315,831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Boomtown Biloxi</w:t>
            </w:r>
          </w:p>
        </w:tc>
        <w:tc>
          <w:tcPr>
            <w:tcW w:w="1620" w:type="dxa"/>
            <w:vAlign w:val="bottom"/>
          </w:tcPr>
          <w:p>
            <w:pPr>
              <w:ind w:left="20"/>
              <w:spacing w:after="0"/>
              <w:rPr>
                <w:sz w:val="20"/>
                <w:szCs w:val="20"/>
                <w:color w:val="auto"/>
              </w:rPr>
            </w:pPr>
            <w:r>
              <w:rPr>
                <w:rFonts w:ascii="Arial" w:cs="Arial" w:eastAsia="Arial" w:hAnsi="Arial"/>
                <w:sz w:val="14"/>
                <w:szCs w:val="14"/>
                <w:color w:val="auto"/>
              </w:rPr>
              <w:t>Biloxi, MS</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134,800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St. Louis</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 Heights, MO</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645,270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Hollywood Gaming at Dayton Raceway</w:t>
            </w:r>
          </w:p>
        </w:tc>
        <w:tc>
          <w:tcPr>
            <w:tcW w:w="1620" w:type="dxa"/>
            <w:vAlign w:val="bottom"/>
          </w:tcPr>
          <w:p>
            <w:pPr>
              <w:ind w:left="20"/>
              <w:spacing w:after="0"/>
              <w:rPr>
                <w:sz w:val="20"/>
                <w:szCs w:val="20"/>
                <w:color w:val="auto"/>
              </w:rPr>
            </w:pPr>
            <w:r>
              <w:rPr>
                <w:rFonts w:ascii="Arial" w:cs="Arial" w:eastAsia="Arial" w:hAnsi="Arial"/>
                <w:sz w:val="14"/>
                <w:szCs w:val="14"/>
                <w:color w:val="auto"/>
              </w:rPr>
              <w:t>Dayton, OH</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gaming/Standardbred racing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191,037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Gaming at Mahoning Valley Race</w:t>
            </w:r>
          </w:p>
        </w:tc>
        <w:tc>
          <w:tcPr>
            <w:tcW w:w="162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Course</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Youngstown, OH</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gaming/Thoroughbred racing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177,448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Resorts Casino Tunica</w:t>
            </w:r>
          </w:p>
        </w:tc>
        <w:tc>
          <w:tcPr>
            <w:tcW w:w="1620" w:type="dxa"/>
            <w:vAlign w:val="bottom"/>
          </w:tcPr>
          <w:p>
            <w:pPr>
              <w:ind w:left="20"/>
              <w:spacing w:after="0"/>
              <w:rPr>
                <w:sz w:val="20"/>
                <w:szCs w:val="20"/>
                <w:color w:val="auto"/>
              </w:rPr>
            </w:pPr>
            <w:r>
              <w:rPr>
                <w:rFonts w:ascii="Arial" w:cs="Arial" w:eastAsia="Arial" w:hAnsi="Arial"/>
                <w:sz w:val="14"/>
                <w:szCs w:val="14"/>
                <w:color w:val="auto"/>
              </w:rPr>
              <w:t>Tunica, MS</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319,823</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1st Jackpot Casino (formerly known as Bally's</w:t>
            </w:r>
          </w:p>
        </w:tc>
        <w:tc>
          <w:tcPr>
            <w:tcW w:w="162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Casino Tunica)</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Tunica, MS</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78,941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Casino Queen</w:t>
            </w:r>
          </w:p>
        </w:tc>
        <w:tc>
          <w:tcPr>
            <w:tcW w:w="1620" w:type="dxa"/>
            <w:vAlign w:val="bottom"/>
          </w:tcPr>
          <w:p>
            <w:pPr>
              <w:ind w:left="20"/>
              <w:spacing w:after="0"/>
              <w:rPr>
                <w:sz w:val="20"/>
                <w:szCs w:val="20"/>
                <w:color w:val="auto"/>
              </w:rPr>
            </w:pPr>
            <w:r>
              <w:rPr>
                <w:rFonts w:ascii="Arial" w:cs="Arial" w:eastAsia="Arial" w:hAnsi="Arial"/>
                <w:sz w:val="14"/>
                <w:szCs w:val="14"/>
                <w:color w:val="auto"/>
              </w:rPr>
              <w:t>East St. Louis, IL</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330,502</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Black Hawk</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Black Hawk, CO</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775,744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Ameristar East Chicago</w:t>
            </w:r>
          </w:p>
        </w:tc>
        <w:tc>
          <w:tcPr>
            <w:tcW w:w="1620" w:type="dxa"/>
            <w:vAlign w:val="bottom"/>
          </w:tcPr>
          <w:p>
            <w:pPr>
              <w:ind w:left="20"/>
              <w:spacing w:after="0"/>
              <w:rPr>
                <w:sz w:val="20"/>
                <w:szCs w:val="20"/>
                <w:color w:val="auto"/>
              </w:rPr>
            </w:pPr>
            <w:r>
              <w:rPr>
                <w:rFonts w:ascii="Arial" w:cs="Arial" w:eastAsia="Arial" w:hAnsi="Arial"/>
                <w:sz w:val="14"/>
                <w:szCs w:val="14"/>
                <w:color w:val="auto"/>
              </w:rPr>
              <w:t>East Chicago, IN</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509,867</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Belterra Casino Resort </w:t>
            </w:r>
            <w:r>
              <w:rPr>
                <w:rFonts w:ascii="Arial" w:cs="Arial" w:eastAsia="Arial" w:hAnsi="Arial"/>
                <w:sz w:val="8"/>
                <w:szCs w:val="8"/>
                <w:color w:val="auto"/>
              </w:rPr>
              <w:t>(3)</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Florence, IN</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733,751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 xml:space="preserve">Ameristar Council Bluffs </w:t>
            </w:r>
            <w:r>
              <w:rPr>
                <w:rFonts w:ascii="Arial" w:cs="Arial" w:eastAsia="Arial" w:hAnsi="Arial"/>
                <w:sz w:val="8"/>
                <w:szCs w:val="8"/>
                <w:color w:val="auto"/>
              </w:rPr>
              <w:t>(3)</w:t>
            </w:r>
          </w:p>
        </w:tc>
        <w:tc>
          <w:tcPr>
            <w:tcW w:w="1620" w:type="dxa"/>
            <w:vAlign w:val="bottom"/>
          </w:tcPr>
          <w:p>
            <w:pPr>
              <w:ind w:left="20"/>
              <w:spacing w:after="0"/>
              <w:rPr>
                <w:sz w:val="20"/>
                <w:szCs w:val="20"/>
                <w:color w:val="auto"/>
              </w:rPr>
            </w:pPr>
            <w:r>
              <w:rPr>
                <w:rFonts w:ascii="Arial" w:cs="Arial" w:eastAsia="Arial" w:hAnsi="Arial"/>
                <w:sz w:val="14"/>
                <w:szCs w:val="14"/>
                <w:color w:val="auto"/>
              </w:rPr>
              <w:t>Council Bluffs, IA</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312,047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L'Auberge Baton Rouge</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Baton Rouge, LA</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436,461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Boomtown Bossier City</w:t>
            </w:r>
          </w:p>
        </w:tc>
        <w:tc>
          <w:tcPr>
            <w:tcW w:w="1620" w:type="dxa"/>
            <w:vAlign w:val="bottom"/>
          </w:tcPr>
          <w:p>
            <w:pPr>
              <w:ind w:left="20"/>
              <w:spacing w:after="0"/>
              <w:rPr>
                <w:sz w:val="20"/>
                <w:szCs w:val="20"/>
                <w:color w:val="auto"/>
              </w:rPr>
            </w:pPr>
            <w:r>
              <w:rPr>
                <w:rFonts w:ascii="Arial" w:cs="Arial" w:eastAsia="Arial" w:hAnsi="Arial"/>
                <w:sz w:val="14"/>
                <w:szCs w:val="14"/>
                <w:color w:val="auto"/>
              </w:rPr>
              <w:t>Bossier City, LA</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281,747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L'Auberge Lake Charles</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Lake Charles, LA</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1,014,497</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Boomtown New Orleans</w:t>
            </w:r>
          </w:p>
        </w:tc>
        <w:tc>
          <w:tcPr>
            <w:tcW w:w="1620" w:type="dxa"/>
            <w:vAlign w:val="bottom"/>
          </w:tcPr>
          <w:p>
            <w:pPr>
              <w:ind w:left="20"/>
              <w:spacing w:after="0"/>
              <w:rPr>
                <w:sz w:val="20"/>
                <w:szCs w:val="20"/>
                <w:color w:val="auto"/>
              </w:rPr>
            </w:pPr>
            <w:r>
              <w:rPr>
                <w:rFonts w:ascii="Arial" w:cs="Arial" w:eastAsia="Arial" w:hAnsi="Arial"/>
                <w:sz w:val="14"/>
                <w:szCs w:val="14"/>
                <w:color w:val="auto"/>
              </w:rPr>
              <w:t>New Orleans, LA</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278,227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Vicksburg</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Vicksburg, MS</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298,006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Ameristar Kansas City</w:t>
            </w:r>
          </w:p>
        </w:tc>
        <w:tc>
          <w:tcPr>
            <w:tcW w:w="1620" w:type="dxa"/>
            <w:vAlign w:val="bottom"/>
          </w:tcPr>
          <w:p>
            <w:pPr>
              <w:ind w:left="20"/>
              <w:spacing w:after="0"/>
              <w:rPr>
                <w:sz w:val="20"/>
                <w:szCs w:val="20"/>
                <w:color w:val="auto"/>
              </w:rPr>
            </w:pPr>
            <w:r>
              <w:rPr>
                <w:rFonts w:ascii="Arial" w:cs="Arial" w:eastAsia="Arial" w:hAnsi="Arial"/>
                <w:sz w:val="14"/>
                <w:szCs w:val="14"/>
                <w:color w:val="auto"/>
              </w:rPr>
              <w:t>Kansas City, MO</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763,939</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224.5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St. Charles</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Charles, MO</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1,272,938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River City Casino and Hotel</w:t>
            </w:r>
          </w:p>
        </w:tc>
        <w:tc>
          <w:tcPr>
            <w:tcW w:w="1620" w:type="dxa"/>
            <w:vAlign w:val="bottom"/>
          </w:tcPr>
          <w:p>
            <w:pPr>
              <w:ind w:left="20"/>
              <w:spacing w:after="0"/>
              <w:rPr>
                <w:sz w:val="20"/>
                <w:szCs w:val="20"/>
                <w:color w:val="auto"/>
              </w:rPr>
            </w:pPr>
            <w:r>
              <w:rPr>
                <w:rFonts w:ascii="Arial" w:cs="Arial" w:eastAsia="Arial" w:hAnsi="Arial"/>
                <w:sz w:val="14"/>
                <w:szCs w:val="14"/>
                <w:color w:val="auto"/>
              </w:rPr>
              <w:t>St. Louis, MO</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431,226</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Jackpot Properties </w:t>
            </w:r>
            <w:r>
              <w:rPr>
                <w:rFonts w:ascii="Arial" w:cs="Arial" w:eastAsia="Arial" w:hAnsi="Arial"/>
                <w:sz w:val="8"/>
                <w:szCs w:val="8"/>
                <w:color w:val="auto"/>
              </w:rPr>
              <w:t>(4)</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Jackpot, NV</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419,800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 xml:space="preserve">The Meadows Racetrack and Casino </w:t>
            </w:r>
            <w:r>
              <w:rPr>
                <w:rFonts w:ascii="Arial" w:cs="Arial" w:eastAsia="Arial" w:hAnsi="Arial"/>
                <w:sz w:val="8"/>
                <w:szCs w:val="8"/>
                <w:color w:val="auto"/>
              </w:rPr>
              <w:t>(3)</w:t>
            </w:r>
          </w:p>
        </w:tc>
        <w:tc>
          <w:tcPr>
            <w:tcW w:w="1620" w:type="dxa"/>
            <w:vAlign w:val="bottom"/>
          </w:tcPr>
          <w:p>
            <w:pPr>
              <w:ind w:left="20"/>
              <w:spacing w:after="0"/>
              <w:rPr>
                <w:sz w:val="20"/>
                <w:szCs w:val="20"/>
                <w:color w:val="auto"/>
              </w:rPr>
            </w:pPr>
            <w:r>
              <w:rPr>
                <w:rFonts w:ascii="Arial" w:cs="Arial" w:eastAsia="Arial" w:hAnsi="Arial"/>
                <w:sz w:val="14"/>
                <w:szCs w:val="14"/>
                <w:color w:val="auto"/>
              </w:rPr>
              <w:t>Washington, PA</w:t>
            </w:r>
          </w:p>
        </w:tc>
        <w:tc>
          <w:tcPr>
            <w:tcW w:w="3540" w:type="dxa"/>
            <w:vAlign w:val="bottom"/>
            <w:gridSpan w:val="2"/>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417,921</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15,198,086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TRS Properties</w:t>
            </w:r>
          </w:p>
        </w:tc>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Baton Rouge</w:t>
            </w:r>
          </w:p>
        </w:tc>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Baton Rouge, LA</w:t>
            </w:r>
          </w:p>
        </w:tc>
        <w:tc>
          <w:tcPr>
            <w:tcW w:w="3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Dockside gaming</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120,517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Hollywood Casino Perryville</w:t>
            </w:r>
          </w:p>
        </w:tc>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Perryville, MD</w:t>
            </w:r>
          </w:p>
        </w:tc>
        <w:tc>
          <w:tcPr>
            <w:tcW w:w="3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Land-based gaming</w:t>
            </w: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97,961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218,478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6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15,416,564</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4,406.0</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866.4</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Square footage includes air conditioned space and excludes parking garages and barns.</w:t>
      </w:r>
    </w:p>
    <w:p>
      <w:pPr>
        <w:sectPr>
          <w:pgSz w:w="11900" w:h="16838" w:orient="portrait"/>
          <w:cols w:equalWidth="0" w:num="1">
            <w:col w:w="11420"/>
          </w:cols>
          <w:pgMar w:left="240" w:top="130"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18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Leased acreage reflects land subject to leases with third parties and includes land on which certain of the current facilities and ancillary supporting structures are located as well as parking lots and access rights.</w:t>
      </w:r>
    </w:p>
    <w:p>
      <w:pPr>
        <w:spacing w:after="0" w:line="203" w:lineRule="exact"/>
        <w:rPr>
          <w:rFonts w:ascii="Arial" w:cs="Arial" w:eastAsia="Arial" w:hAnsi="Arial"/>
          <w:sz w:val="25"/>
          <w:szCs w:val="25"/>
          <w:color w:val="auto"/>
          <w:vertAlign w:val="superscript"/>
        </w:rPr>
      </w:pPr>
    </w:p>
    <w:p>
      <w:pPr>
        <w:ind w:left="660" w:right="14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These properties include hotels not owned by the Company. Square footage and rooms associated with properties not owned by GLPI are excluded from the table above.</w:t>
      </w:r>
    </w:p>
    <w:p>
      <w:pPr>
        <w:spacing w:after="0" w:line="14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Encompasses two gaming properties in Jackpot, Nevada, Cactus Pete’s and The Horseshu.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Lawrenceburg</w:t>
      </w:r>
    </w:p>
    <w:p>
      <w:pPr>
        <w:spacing w:after="0" w:line="27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own 73.1 acres and lease 32.1 acres in Lawrenceburg, Indiana, a portion of which serves as the dockside embarkation for the gaming vessel, and includes a Hollywood-themed casino riverboat, an entertainment pavilion, a 295-room hotel, two parking garages and an adjacent surface lot, with the other portion used for remote parking.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Aurora</w:t>
      </w:r>
    </w:p>
    <w:p>
      <w:pPr>
        <w:spacing w:after="0" w:line="279"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We own a dockside barge structure and land-based pavilion in Aurora, Illinois. We own the land, which is approximately 0.4 acres, on which the pavilion is located. The property also includes two parking garages under capital lease agreements and rights to a pedestrian walkway bridge under an operating lease, together comprising 1.7 acres.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Joliet</w:t>
      </w:r>
    </w:p>
    <w:p>
      <w:pPr>
        <w:spacing w:after="0" w:line="27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own 276.4 acres in Joliet, Illinois, which includes a barge-based casino, land-based pavilion, a 100-room hotel, a parking garage, surface parking areas and a recreational vehicle park.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Argosy Casino Alton</w:t>
      </w:r>
    </w:p>
    <w:p>
      <w:pPr>
        <w:spacing w:after="0" w:line="279"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We lease 3.6 acres in Alton, Illinois, a portion of which serves as the dockside boarding for the Alton Belle II, a riverboat casino. The dockside facility includes an entertainment pavilion and office space, as well as surface parking areas. In addition, we own an office building property consisting of 0.2 acres.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Toledo</w:t>
      </w:r>
    </w:p>
    <w:p>
      <w:pPr>
        <w:spacing w:after="0" w:line="2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own a 43.8 acre site in Toledo, Ohio, where Hollywood Casino Toledo is located. The property includes the casino as well as structured and surface parking.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Columbus</w:t>
      </w:r>
    </w:p>
    <w:p>
      <w:pPr>
        <w:spacing w:after="0" w:line="2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own 116.2 acres of land in Columbus, Ohio, where Hollywood Casino Columbus is located. The property includes the casino as well as structured and surface parking.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at Charles Town Races</w:t>
      </w:r>
    </w:p>
    <w:p>
      <w:pPr>
        <w:spacing w:after="0" w:line="279"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own 298.6 acres on various parcels in Charles Town and Ranson, West Virginia of which 155 acres comprise Hollywood Casino at Charles Town Races. The facility includes a 153-room hotel and a 3/4-mile all-weather lighted thoroughbred racetrack, a training track, two parking garages, an employee parking lot, an enclosed grandstand/clubhouse and housing facilities for over 1,300 horses.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at Penn National Race Course</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own 573.7 acres in Grantville, Pennsylvania, where Penn National Race Course is located on 181 acres. The facility includes a one-mile all-weather lighted thoroughbred racetrack and a 7/8-mile turf track, a parking garage and surface parking spaces. The property also includes approximately 393 acres surrounding the Penn National Race Course that are available for future expansion or development.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Resort</w:t>
      </w:r>
    </w:p>
    <w:p>
      <w:pPr>
        <w:spacing w:after="0" w:line="27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own 83.5 acres on the southeast corner of Las Vegas Boulevard and St. Rose Parkway in Henderson, Nevada, where the M Resort is located. The M Resort property includes a 390-room hotel and a parking facility. In addition, our tenant has rights to 4.0 acres of land at the casino site.</w:t>
      </w:r>
    </w:p>
    <w:p>
      <w:pPr>
        <w:sectPr>
          <w:pgSz w:w="11900" w:h="16838" w:orient="portrait"/>
          <w:cols w:equalWidth="0" w:num="1">
            <w:col w:w="11380"/>
          </w:cols>
          <w:pgMar w:left="240" w:top="130" w:right="279" w:bottom="10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130" w:right="279" w:bottom="1016"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Bangor</w:t>
      </w:r>
    </w:p>
    <w:p>
      <w:pPr>
        <w:spacing w:after="0" w:line="27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lease 2.5 acres in Bangor, Maine on which Hollywood Casino Bangor is located. We also own 6.4 acres adjacent to the casino on which a 152-room hotel and a four-story parking garage are located. In addition, we lease 35.4 acres at and around historic Bass Park, which is adjacent to the facility, and includes a one-half mile standardbred racetrack, a grandstand with over 12,000 square feet and seating for 3,500 patrons and parking.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Zia Park Casino</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own 317.4 acres in Hobbs, New Mexico, where Zia Park Casino is located. The property also includes a one-mile quarter thoroughbred racetrack.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Gulf Coast</w:t>
      </w:r>
    </w:p>
    <w:p>
      <w:pPr>
        <w:spacing w:after="0" w:line="27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own 578.7 acres in the city of Bay St. Louis, Mississippi, including a 20-slip marina. The property includes a land-based casino, 18-hole golf course, a 291-room hotel, a recreational vehicle park and other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Argosy Casino Riverside</w:t>
      </w:r>
    </w:p>
    <w:p>
      <w:pPr>
        <w:spacing w:after="0" w:line="27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We own 37.9 acres in Riverside, Missouri, which includes a barge-based casino, a 258-room luxury hotel, an entertainment/banquet facility and a parking garage.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Tunica</w:t>
      </w:r>
    </w:p>
    <w:p>
      <w:pPr>
        <w:spacing w:after="0" w:line="27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lease 67.7 acres of land in Tunica, Mississippi. The property includes a single-level casino, a 494-room hotel, surface parking and other land-based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Biloxi</w:t>
      </w:r>
    </w:p>
    <w:p>
      <w:pPr>
        <w:spacing w:after="0" w:line="279"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We lease 1.0 acre of land mostly used for parking and a welcome center and own an additional 1.5 acres in Biloxi, Mississippi. In addition, our tenant has rights to 18.5 acres of land, most of which is utilized for the gaming location and 4.5 acres of submerged tidelands at the casino site.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St. Louis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own 247.8 acres along the Missouri River in Maryland Heights, Missouri, which includes a 502-room hotel and structure and surface parking.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Gaming at Dayton Raceway</w:t>
      </w:r>
    </w:p>
    <w:p>
      <w:pPr>
        <w:spacing w:after="0" w:line="2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own 119.7 acres in Dayton, Ohio, where Penn opened Hollywood Gaming at Dayton Raceway on August 28, 2014. The property includes a land-based casino, a 5/8-mile all-weather standardbred racetrack and surface parking.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Gaming at Mahoning Valley Race Course</w:t>
      </w:r>
    </w:p>
    <w:p>
      <w:pPr>
        <w:spacing w:after="0" w:line="27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own 193.4 acres in Youngstown, Ohio, where Penn opened Hollywood Gaming at Mahoning Valley Race Course on September 17, 2014. The property includes a land-based casino, a one-mile thoroughbred racetrack and surface parking.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Casino Tunica</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lease 86.6 acres in Tunica, Mississippi, where the Resorts Casino Tunica is located. The property is located along the Mississippi River and includes a dockside gaming facility, surface parking, a 201-room hotel and other land-based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 Jackpot Casino (formerly known as Bally's Casino Tunica)</w:t>
      </w:r>
    </w:p>
    <w:p>
      <w:pPr>
        <w:spacing w:after="0" w:line="14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own 52.9 acres of wetlands and lease an additional 93.8 acres in Tunica, Mississippi located approximately 30 miles from downtown Memphis, Tennessee. The property is located along the Mississippi River and includes a dockside gaming facility, surface parking and other land-based facilities.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own 67.2 acres in East St. Louis, Illinois, which includes a 157-room hotel, a recreational vehicle park and surface parking areas.</w:t>
      </w:r>
    </w:p>
    <w:p>
      <w:pPr>
        <w:sectPr>
          <w:pgSz w:w="11900" w:h="16838" w:orient="portrait"/>
          <w:cols w:equalWidth="0" w:num="1">
            <w:col w:w="11380"/>
          </w:cols>
          <w:pgMar w:left="240" w:top="130" w:right="279" w:bottom="1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130" w:right="279" w:bottom="1138"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Black Hawk</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own 104.1 acres in Black Hawk, Colorado which includes a land based casino and a 535 room hotel. The casino property sits on approximately 6 acres and the remaining 98 acres which are located across the street from the casino are used mainly for overflow parking, administrative offices and a warehouse.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East Chicago</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lease 21.6 acres in East Chicago, Indiana located approximately 25 miles from downtown Chicago, Illinois. The property includes a dockside riverboat gaming facility and a 288 room hotel.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Belterra Casino Resort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own 167.1 acres and lease an additional 148.5 acres in Florence, Indiana. The property is located along the Ohio River and includes a dockside riverboat gaming facility and a 608 room hotel.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Council Bluffs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own 36.2 acres and lease an additional 22.6 acres in Council Bluffs, Iowa. The property is located across the Missouri River from Omaha, Nebraska. The property also includes a 160 room hotel.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Auberge Baton Rouge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own 99.1 acres in Baton Rouge, Louisiana. The property includes a dockside riverboat gaming facility and a 205 room hotel and is located approximately 10 miles south of downtown Baton Rouge.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Bossier 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21.8 acres on the banks of the Red River in Bossier City, Louisiana. The property features a 187 room hotel adjoining a dockside riverboat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casino.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L’Auberge Lake Charles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lease 234.5 acres in Lake Charles, Louisiana. The property includes a dockside riverboat gaming facility and a 995 room hotel and is one of the closest full-scale casino-hotel facilities to Houston, Texas.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New Orleans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53.6 acres in Harvey, Louisiana. The property includes a dockside riverboat casino and a 150 room hotel.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Vicksburg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own 74.1 acres in Vicksburg, Mississippi. The property includes a dockside riverboat casino and a 149 room hotel. Also located on the property is a recreational vehicle park and buildings which are used for warehousing and support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Kansas City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own 224.5 acres in Kansas City, Missouri, along the north bank of the Missouri River and lease an additional 31.4 adjacent acres. The property includes a dockside gaming facility and a 184 room hotel.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St. Charles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own 241.2 acres in St. Charles, Missouri, along the west bank of the Missouri River. The property includes a dockside gaming facility and a 397 room hotel.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 City Casino and Hotel</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lease 83.4 acres in St. Louis County Missouri approximately 12 miles south of downtown St. Louis. The property includes a dockside gaming facility and a 200 room hotel.</w:t>
      </w:r>
    </w:p>
    <w:p>
      <w:pPr>
        <w:sectPr>
          <w:pgSz w:w="11900" w:h="16838" w:orient="portrait"/>
          <w:cols w:equalWidth="0" w:num="1">
            <w:col w:w="11400"/>
          </w:cols>
          <w:pgMar w:left="240" w:top="130"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30" w:right="25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Jackpot Properties</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own 79.5 acres in Jackpot, Nevada, encompassing Cactus Pete’s and The Horseshu. In addition to these two land-based casinos, the property includes a 416 room hotel and a recreational vehicle park. These two properties sit directly across from each other with Highway 93 separating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Racetrack and Casino</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own 155.5 acres in Washington, Pennsylvania. The property includes a land based casino, an off-track wagering facility, a 24-lane bowling alley and a state-of-the-art 5/8- mile harness track with a 500-seat grandstand.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Properties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7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Hollywood Casino Baton Rouge is a dockside riverboat gaming facility operating in Baton Rouge, Louisiana. The riverboat features approximately 28,000 square feet of gaming space with 923 gaming machines and 12 table games. The facility also includes a two-story, 58,000 square foot dockside building featuring a variety of amenities, including a grill, a 268-seat buffet, a deli, a premium players' lounge, an event venue, a lobby bar, a public atrium, two meeting rooms and 1,490 parking spaces.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Perryville</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Hollywood Casino Perryville is located directly off Interstate 95 in Cecil County, Maryland just 35 miles northeast of Baltimore and 70 miles from Washington, D.C. Hollywood Casino Perryville is a Hollywood-themed facility which offers 34,329 square feet of gaming space with 822 slot machines, 14 table games, 8 poker tables and a simulcast race book. The facility also offers several third-party operated food and beverage options, including a bar and grill, a casino bar, a gift shop and 1,600 parking spaces with valet and self-parking.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compete for additional real property investments with other REITs, investment companies, private equity and hedge fund investors, sovereign funds, lenders, gaming companies and other investors. Some of our competitors are significantly larger and have greater financial resources and lower costs of capital than we have. Furthermore, in April 2016, MGM Resorts International ("MGM") formed MGM Growth Properties, a separate publicly traded REIT, holding a substantial portion of the real estate assets associated with MGM's operations. Additionally, in October 2017, Caesars Entertainment Corporation emerged from bankruptcy and completed the spin-off of substantially all of its real estate assets to VICI Properties, a separate publicly traded REIT. Increased competition will make it more challenging to identify and successfully capitalize on acquisition opportunities that meet our investment objectives.</w:t>
      </w:r>
    </w:p>
    <w:p>
      <w:pPr>
        <w:spacing w:after="0" w:line="21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In addition, revenues from our gaming properties are dependent on the ability of our gaming tenants and operators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Other jurisdictions, including states adjacent to states in which our gaming tenants and operators are located have legalized, and will expand gaming in the near future. In addition, established gaming jurisdictions could award additional gaming licenses or permit the expansion or relocation of existing gaming operations. New, relocated or expanded operations by other persons will increase competition for our gaming tenants and operators and could have a material adverse impact on our gaming tenants and operators and us as landlord. Finally, the imposition of smoking bans and/or higher gaming tax rates have a significant impact on our gaming tenants' and operators' ability to compete with facilities in nearby jurisdictions.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8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Consistent with how our Chief Operating Decision Maker (as such term is defined in ASC 280 "Segment Reporting") reviews and assesses our financial performance, we have two reportable segments, GLP Capital, L.P. (a wholly-owned subsidiary of GLPI through which GLPI owns substantially all of its real estate assets) ("GLP Capital") and the TRS Properties. The GLP Capital reportable segment consists of the leased real property and represents the majority of our business. The TRS Properties reportable segment consists of Hollywood Casino Perryville and Hollywood Casino Baton Rouge. See "Item 7—</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and "Item 8—Financial Statements and Supplementary Data— Note 15—Segment Information" for further information with respect to the Company's segments.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Peter M. Carlino</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William J. Clifford</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Steven T. Snyder</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of Corporate Development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Brandon J. Moore</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Desiree A. Burke</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b w:val="1"/>
          <w:bCs w:val="1"/>
          <w:color w:val="auto"/>
        </w:rPr>
        <w:t xml:space="preserve">Peter M. Carlino. </w:t>
      </w:r>
      <w:r>
        <w:rPr>
          <w:rFonts w:ascii="Arial" w:cs="Arial" w:eastAsia="Arial" w:hAnsi="Arial"/>
          <w:sz w:val="17"/>
          <w:szCs w:val="17"/>
          <w:color w:val="auto"/>
        </w:rPr>
        <w:t>Mr. Carlino is Chairman of our Board of Directors and Chief Executive Officer. Mr. Carlino joined the Company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Spin-Off on November 1, 2013. Prior to the Spin-Off, Mr. Carlino served as Penn's founder and Chief Executive Officer. He continues as Penn's non-executive Chairman of the Board of Directors. Since 1976, Mr. Carlino has been President of Carlino Capital Management Corp. (formerly known as Carlino Financial Corporation), a holding company that owns and operates various Carlino family investments.</w:t>
      </w:r>
    </w:p>
    <w:p>
      <w:pPr>
        <w:spacing w:after="0" w:line="21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b w:val="1"/>
          <w:bCs w:val="1"/>
          <w:color w:val="auto"/>
        </w:rPr>
        <w:t xml:space="preserve">William J. Clifford. </w:t>
      </w:r>
      <w:r>
        <w:rPr>
          <w:rFonts w:ascii="Arial" w:cs="Arial" w:eastAsia="Arial" w:hAnsi="Arial"/>
          <w:sz w:val="18"/>
          <w:szCs w:val="18"/>
          <w:color w:val="auto"/>
        </w:rPr>
        <w:t>Mr. Clifford is our Chief Financial Officer and Treasurer. Mr. Clifford joined the Company in connection with the Spin-Off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 2013. Prior to the Spin-Off, Mr. Clifford served as Penn's Senior Vice President-Finance and Chief Financial Officer since October 2001. From March 1997 to July 2001, Mr. Clifford served as the Chief Financial Officer and Senior Vice President of Finance with Sun International Resorts, Inc., Paradise Island, Bahamas. From November 1993 to February 1997, Mr. Clifford was Financial, Hotel and Operations Controller for Treasure Island Hotel and Casino in Las Vegas. From May 1989 to November 1993, Mr. Clifford was Controller for Golden Nugget Hotel and Casino, Las Vegas. Prior to May 1989, Mr. Clifford held the positions of Controller for the Dunes Hotel and Casino, Las Vegas, Property Operations Analyst with Aladdin Hotel and Casino, Las Vegas, Casino Administrator with Las Vegas Hilton, Las Vegas, Senior Internal Auditor with Del Webb, Las Vegas, and Agent, Audit Division, of the Nevada Gaming Control Board, Las Vegas and Reno.</w:t>
      </w:r>
    </w:p>
    <w:p>
      <w:pPr>
        <w:spacing w:after="0" w:line="239" w:lineRule="exact"/>
        <w:rPr>
          <w:sz w:val="20"/>
          <w:szCs w:val="20"/>
          <w:color w:val="auto"/>
        </w:rPr>
      </w:pPr>
    </w:p>
    <w:p>
      <w:pPr>
        <w:ind w:right="140" w:firstLine="432"/>
        <w:spacing w:after="0" w:line="274" w:lineRule="auto"/>
        <w:rPr>
          <w:sz w:val="20"/>
          <w:szCs w:val="20"/>
          <w:color w:val="auto"/>
        </w:rPr>
      </w:pPr>
      <w:r>
        <w:rPr>
          <w:rFonts w:ascii="Arial" w:cs="Arial" w:eastAsia="Arial" w:hAnsi="Arial"/>
          <w:sz w:val="17"/>
          <w:szCs w:val="17"/>
          <w:b w:val="1"/>
          <w:bCs w:val="1"/>
          <w:color w:val="auto"/>
        </w:rPr>
        <w:t xml:space="preserve">Steven T. Snyder. </w:t>
      </w:r>
      <w:r>
        <w:rPr>
          <w:rFonts w:ascii="Arial" w:cs="Arial" w:eastAsia="Arial" w:hAnsi="Arial"/>
          <w:sz w:val="17"/>
          <w:szCs w:val="17"/>
          <w:color w:val="auto"/>
        </w:rPr>
        <w:t>Mr. Snyder is our Senior Vice President of Corporate Development. Mr. Snyder joined the Company in connection with the Spin-Off on November 1, 2013. Prior to the Spin-Off, he served as Penn's Senior Vice President of Corporate Development since 2003 and was responsible for identifying and conducting internal and industry analysis of potential acquisitions, partnerships and other opportunities. He joined Penn as Vice President of Corporate Development in May 1998 and held that position until his appointment to Senior Vice President in 2003. Prior to joining Penn, Mr. Snyder was a partner with Hamilton Partners, Ltd., as well as Managing Director of Municipal and Corporate Investment Banking for Meridian Capital Markets. Mr. Snyder began his career in finance at Butcher &amp; Singer, where he served as First Vice President of Public Finance.</w:t>
      </w:r>
    </w:p>
    <w:p>
      <w:pPr>
        <w:spacing w:after="0" w:line="228" w:lineRule="exact"/>
        <w:rPr>
          <w:sz w:val="20"/>
          <w:szCs w:val="20"/>
          <w:color w:val="auto"/>
        </w:rPr>
      </w:pPr>
    </w:p>
    <w:p>
      <w:pPr>
        <w:ind w:right="380" w:firstLine="432"/>
        <w:spacing w:after="0" w:line="303" w:lineRule="auto"/>
        <w:rPr>
          <w:sz w:val="20"/>
          <w:szCs w:val="20"/>
          <w:color w:val="auto"/>
        </w:rPr>
      </w:pPr>
      <w:r>
        <w:rPr>
          <w:rFonts w:ascii="Arial" w:cs="Arial" w:eastAsia="Arial" w:hAnsi="Arial"/>
          <w:sz w:val="16"/>
          <w:szCs w:val="16"/>
          <w:b w:val="1"/>
          <w:bCs w:val="1"/>
          <w:color w:val="auto"/>
        </w:rPr>
        <w:t xml:space="preserve">Brandon J. Moore. </w:t>
      </w:r>
      <w:r>
        <w:rPr>
          <w:rFonts w:ascii="Arial" w:cs="Arial" w:eastAsia="Arial" w:hAnsi="Arial"/>
          <w:sz w:val="16"/>
          <w:szCs w:val="16"/>
          <w:color w:val="auto"/>
        </w:rPr>
        <w:t>Mr. Moore is our Senior Vice President, General Counsel and Secretary. Mr. Moore joined the Company in January 2014.</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 served as Penn's Vice President, Senior Corporate Counsel since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205" w:lineRule="exact"/>
        <w:rPr>
          <w:sz w:val="20"/>
          <w:szCs w:val="20"/>
          <w:color w:val="auto"/>
        </w:rPr>
      </w:pPr>
    </w:p>
    <w:p>
      <w:pPr>
        <w:ind w:right="200" w:firstLine="432"/>
        <w:spacing w:after="0" w:line="258" w:lineRule="auto"/>
        <w:rPr>
          <w:sz w:val="20"/>
          <w:szCs w:val="20"/>
          <w:color w:val="auto"/>
        </w:rPr>
      </w:pPr>
      <w:r>
        <w:rPr>
          <w:rFonts w:ascii="Arial" w:cs="Arial" w:eastAsia="Arial" w:hAnsi="Arial"/>
          <w:sz w:val="18"/>
          <w:szCs w:val="18"/>
          <w:b w:val="1"/>
          <w:bCs w:val="1"/>
          <w:color w:val="auto"/>
        </w:rPr>
        <w:t xml:space="preserve">Desiree A. Burke. </w:t>
      </w:r>
      <w:r>
        <w:rPr>
          <w:rFonts w:ascii="Arial" w:cs="Arial" w:eastAsia="Arial" w:hAnsi="Arial"/>
          <w:sz w:val="18"/>
          <w:szCs w:val="18"/>
          <w:color w:val="auto"/>
        </w:rPr>
        <w:t>Ms. Burke joined the Company in April 2014 as our Senior Vice President and Chief Accounting Officer. Previously, Ms. Burke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Penn's Vice President and Chief Accounting Officer since November 2009. Additionally, she served as Penn's Vice President and Corporate Controller from November 2005 to October 2009. Prior to her time at Penn National Gaming, Inc.,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8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elected to be treated as a REIT on our 2014 U.S. federal income tax return and we,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27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income is distributed. In general, the income that we generate is taxed only at the shareholder level upon a distribution of dividends to our shareholders. We will nonetheless be subject to U.S. federal tax in the following circumstances:</w:t>
      </w:r>
    </w:p>
    <w:p>
      <w:pPr>
        <w:spacing w:after="0" w:line="97" w:lineRule="exact"/>
        <w:rPr>
          <w:sz w:val="20"/>
          <w:szCs w:val="20"/>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225"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tax years that began prior to December 31, 2017, we may be subject to the "alternative minimum tax" on our items of tax preference, including any deductions of net operating losses.</w:t>
      </w:r>
    </w:p>
    <w:p>
      <w:pPr>
        <w:spacing w:after="0" w:line="170" w:lineRule="exact"/>
        <w:rPr>
          <w:rFonts w:ascii="Arial" w:cs="Arial" w:eastAsia="Arial" w:hAnsi="Arial"/>
          <w:sz w:val="18"/>
          <w:szCs w:val="18"/>
          <w:color w:val="auto"/>
        </w:rPr>
      </w:pPr>
    </w:p>
    <w:p>
      <w:pPr>
        <w:ind w:left="820" w:right="260" w:hanging="488"/>
        <w:spacing w:after="0" w:line="34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23" w:lineRule="exact"/>
        <w:rPr>
          <w:rFonts w:ascii="Arial" w:cs="Arial" w:eastAsia="Arial" w:hAnsi="Arial"/>
          <w:sz w:val="16"/>
          <w:szCs w:val="16"/>
          <w:color w:val="auto"/>
        </w:rPr>
      </w:pPr>
    </w:p>
    <w:p>
      <w:pPr>
        <w:ind w:left="820" w:right="200" w:hanging="488"/>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186" w:lineRule="exact"/>
        <w:rPr>
          <w:rFonts w:ascii="Arial" w:cs="Arial" w:eastAsia="Arial" w:hAnsi="Arial"/>
          <w:sz w:val="18"/>
          <w:szCs w:val="18"/>
          <w:color w:val="auto"/>
        </w:rPr>
      </w:pPr>
    </w:p>
    <w:p>
      <w:pPr>
        <w:ind w:left="820" w:right="40" w:hanging="488"/>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81" w:lineRule="exact"/>
        <w:rPr>
          <w:rFonts w:ascii="Arial" w:cs="Arial" w:eastAsia="Arial" w:hAnsi="Arial"/>
          <w:sz w:val="18"/>
          <w:szCs w:val="18"/>
          <w:color w:val="auto"/>
        </w:rPr>
      </w:pPr>
    </w:p>
    <w:p>
      <w:pPr>
        <w:ind w:left="820" w:right="80" w:hanging="488"/>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188" w:lineRule="exact"/>
        <w:rPr>
          <w:rFonts w:ascii="Arial" w:cs="Arial" w:eastAsia="Arial" w:hAnsi="Arial"/>
          <w:sz w:val="18"/>
          <w:szCs w:val="18"/>
          <w:color w:val="auto"/>
        </w:rPr>
      </w:pPr>
    </w:p>
    <w:p>
      <w:pPr>
        <w:ind w:left="820" w:hanging="488"/>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186" w:lineRule="exact"/>
        <w:rPr>
          <w:rFonts w:ascii="Arial" w:cs="Arial" w:eastAsia="Arial" w:hAnsi="Arial"/>
          <w:sz w:val="18"/>
          <w:szCs w:val="18"/>
          <w:color w:val="auto"/>
        </w:rPr>
      </w:pPr>
    </w:p>
    <w:p>
      <w:pPr>
        <w:ind w:left="820" w:right="5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225" w:lineRule="exact"/>
        <w:rPr>
          <w:rFonts w:ascii="Arial" w:cs="Arial" w:eastAsia="Arial" w:hAnsi="Arial"/>
          <w:sz w:val="18"/>
          <w:szCs w:val="18"/>
          <w:color w:val="auto"/>
        </w:rPr>
      </w:pPr>
    </w:p>
    <w:p>
      <w:pPr>
        <w:ind w:left="820" w:right="120" w:hanging="488"/>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820" w:right="160"/>
        <w:spacing w:after="0" w:line="325" w:lineRule="auto"/>
        <w:rPr>
          <w:sz w:val="20"/>
          <w:szCs w:val="20"/>
          <w:color w:val="auto"/>
        </w:rPr>
      </w:pPr>
      <w:r>
        <w:rPr>
          <w:rFonts w:ascii="Arial" w:cs="Arial" w:eastAsia="Arial" w:hAnsi="Arial"/>
          <w:sz w:val="17"/>
          <w:szCs w:val="17"/>
          <w:color w:val="auto"/>
        </w:rPr>
        <w:t>appreciation at the highest corporate income tax rate then applicable if we subsequently recognize gain on a disposition of any such assets during the five-year period following their acquisition from the subchapter C corporation. (Notwithstanding the “Supplement to Certain United States Federal Income Tax Considerations” section of our Prospectus Supplement dated August 9, 2016, to our Prospectus dated March 28, 2016, final regulations were issued by the U.S. Department of the Treasury (the “Treasury”) on January 17, 2017, confirming that the recognition period during which this tax could apply is a 5-year period and not a 10-year period.)</w:t>
      </w:r>
    </w:p>
    <w:p>
      <w:pPr>
        <w:spacing w:after="0" w:line="149"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earnings of our TRS Properties will generally be subject to U.S. federal corporate income tax.</w:t>
      </w:r>
    </w:p>
    <w:p>
      <w:pPr>
        <w:spacing w:after="0" w:line="144"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79"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44" w:lineRule="exact"/>
        <w:rPr>
          <w:rFonts w:ascii="Arial" w:cs="Arial" w:eastAsia="Arial" w:hAnsi="Arial"/>
          <w:sz w:val="18"/>
          <w:szCs w:val="18"/>
          <w:color w:val="auto"/>
        </w:rPr>
      </w:pPr>
    </w:p>
    <w:p>
      <w:pPr>
        <w:ind w:left="820" w:right="16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89"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Code provides that conditions (1) through (4) must be met during the entire taxable year, and that condition (5) must be met during at least</w:t>
      </w:r>
    </w:p>
    <w:p>
      <w:pPr>
        <w:spacing w:after="0" w:line="3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22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REIT Subsidiaries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Taxable REIT Subsidiaries</w:t>
      </w:r>
    </w:p>
    <w:p>
      <w:pPr>
        <w:spacing w:after="0" w:line="2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24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treated as holding the assets of a TRS or as receiving any income that the subsidiary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TRSs to perform services or conduct activities that give rise to certain categories of income or to conduct activities that, if conducted by us directly, would be treated in our hands as prohibited transactions.</w:t>
      </w:r>
    </w:p>
    <w:p>
      <w:pPr>
        <w:spacing w:after="0" w:line="23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27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interest income derived from mortgage loans secured by real property (including certain types of mortgage-backed securities, other than certain debt instruments of publicly offered REITs),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0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Rents received by a REIT will qualify as "rents from real property" in satisfying the gross income requirements described above only if several conditions are met.</w:t>
      </w:r>
    </w:p>
    <w:p>
      <w:pPr>
        <w:spacing w:after="0" w:line="170" w:lineRule="exact"/>
        <w:rPr>
          <w:sz w:val="20"/>
          <w:szCs w:val="20"/>
          <w:color w:val="auto"/>
        </w:rPr>
      </w:pPr>
    </w:p>
    <w:p>
      <w:pPr>
        <w:jc w:val="both"/>
        <w:ind w:left="660" w:right="1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181"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taxable REIT subsidiary will qualify as rents from real property even if we own more than 10% of the total value or combined voting power of the taxable REIT subsidiary if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spacing w:after="0" w:line="18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Rent attributable to personal property leased in connection with a lease of real property will not qualify as "rents from real property" if such rent exceeds 15% of the total rent received under the lease.</w:t>
      </w:r>
    </w:p>
    <w:p>
      <w:pPr>
        <w:spacing w:after="0" w:line="170" w:lineRule="exact"/>
        <w:rPr>
          <w:rFonts w:ascii="Arial" w:cs="Arial" w:eastAsia="Arial" w:hAnsi="Arial"/>
          <w:sz w:val="18"/>
          <w:szCs w:val="18"/>
          <w:color w:val="auto"/>
        </w:rPr>
      </w:pPr>
    </w:p>
    <w:p>
      <w:pPr>
        <w:ind w:left="660" w:right="180" w:hanging="328"/>
        <w:spacing w:after="0" w:line="29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REIT generally must not operate or manage the property or furnish or render services to tenants, except through an "independent contractor" who is adequately compensated and from whom the REIT derives no income, or through a taxable REIT subsidiary.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right="60"/>
        <w:spacing w:after="0" w:line="329" w:lineRule="auto"/>
        <w:rPr>
          <w:sz w:val="20"/>
          <w:szCs w:val="20"/>
          <w:color w:val="auto"/>
        </w:rPr>
      </w:pPr>
      <w:r>
        <w:rPr>
          <w:rFonts w:ascii="Arial" w:cs="Arial" w:eastAsia="Arial" w:hAnsi="Arial"/>
          <w:sz w:val="17"/>
          <w:szCs w:val="17"/>
          <w:color w:val="auto"/>
        </w:rPr>
        <w:t>a property (valued at no less than 150% of the direct costs of performing such services) is 1% or less of the total income derived from the property, then all rental income except the non-customary service income will qualify as "rents from real property." A taxable REIT subsidiary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14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taxable REIT subsidiary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8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208"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w:t>
      </w:r>
    </w:p>
    <w:p>
      <w:pPr>
        <w:ind w:right="160" w:firstLine="8"/>
        <w:spacing w:after="0" w:line="271"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4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or after January 1, 2016, personal property leased with real property if the rents attributable to the personal property would be rents from real property under the income tests discussed above), interests in mortgages on real property or 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27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provides for certain contingent payments); (2) any loan to an individual or an estate; (3) any rental agreement described in Section 467 of the Code, other than with a "related person"; (4) any obligation to pay rents from real</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30" w:right="2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21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 Beginning after December 31, 2017, the aggregate value of all securities of the TRSs that we hold may not exceed 20% of our total assets.</w:t>
      </w:r>
    </w:p>
    <w:p>
      <w:pPr>
        <w:spacing w:after="0" w:line="22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Fifth, for taxable years beginning after December 31, 2015, not more than 25% of the value of our gross assets may be represented by debt instruments of publicly offered REITs that are not secured by mortgages on real property or interests in real property.</w:t>
      </w:r>
    </w:p>
    <w:p>
      <w:pPr>
        <w:spacing w:after="0" w:line="22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were not satisfied, we still could avoid disqualification by eliminating any discrepancy within 30 days after the close of the calendar quarter in which it arose or by making use of the relief provisions described above.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firstLine="8"/>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24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we have been and will continue to be in compliance with the asset tests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2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order to qualify to be taxed as a REIT, we are required to distribute dividends, other than capital gain dividends, to our shareholders in an amount at least equal to:</w:t>
      </w:r>
    </w:p>
    <w:p>
      <w:pPr>
        <w:spacing w:after="0" w:line="89"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1800" w:hanging="658"/>
        <w:spacing w:after="0"/>
        <w:tabs>
          <w:tab w:leader="none" w:pos="18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236" w:lineRule="exact"/>
        <w:rPr>
          <w:rFonts w:ascii="Arial" w:cs="Arial" w:eastAsia="Arial" w:hAnsi="Arial"/>
          <w:sz w:val="17"/>
          <w:szCs w:val="17"/>
          <w:color w:val="auto"/>
        </w:rPr>
      </w:pPr>
    </w:p>
    <w:p>
      <w:pPr>
        <w:ind w:left="1800" w:hanging="658"/>
        <w:spacing w:after="0"/>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225" w:lineRule="exact"/>
        <w:rPr>
          <w:sz w:val="20"/>
          <w:szCs w:val="20"/>
          <w:color w:val="auto"/>
        </w:rPr>
      </w:pPr>
    </w:p>
    <w:p>
      <w:pPr>
        <w:ind w:left="1140" w:right="80" w:hanging="484"/>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8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22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2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24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23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20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10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believe that we have satisfied the annual distribution requirements for the year ended, December 31, 2017. Although we intend to satisfy the annual distribution requirements to continue to qualify as a REIT for the year ending December 31, 2018 and thereafter, economic, market, legal, tax or other considerations could limit our ability to meet those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w:t>
      </w:r>
    </w:p>
    <w:p>
      <w:pPr>
        <w:spacing w:after="0" w:line="23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or Other Actions Affecting REITs</w:t>
      </w:r>
    </w:p>
    <w:p>
      <w:pPr>
        <w:spacing w:after="0" w:line="27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0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December 22, 2017, H.R. 1, known as the Act to provide for reconciliation pursuant to titles II and V of the concurrent resolution on the budget for fiscal year 2018 (the "Tax Cuts and Jobs Act") was signed into law. The Tax Cuts and Jobs Act makes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limits the net operating loss deduction to 80% of taxable income, where taxable income is determined without regard to the net operating loss deduction itself, generally eliminates net operating loss carrybacks and allows unused net operating losses to be carried forward indefinitely, (iv) expand the ability of businesses to deduct the cost of certain property investments in the year in which the property is purchased, and</w:t>
      </w:r>
    </w:p>
    <w:p>
      <w:pPr>
        <w:spacing w:after="0" w:line="7" w:lineRule="exact"/>
        <w:rPr>
          <w:sz w:val="20"/>
          <w:szCs w:val="20"/>
          <w:color w:val="auto"/>
        </w:rPr>
      </w:pPr>
    </w:p>
    <w:p>
      <w:pPr>
        <w:ind w:right="80" w:firstLine="8"/>
        <w:spacing w:after="0" w:line="288"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However,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determined whether we or our TRS will elect out of the new interest expense limitation.</w:t>
      </w:r>
    </w:p>
    <w:p>
      <w:pPr>
        <w:spacing w:after="0" w:line="16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effect of the Tax Cuts and Jobs Act is highly uncertain, both in terms of its direct effect on the taxation of holders of our common stock and its indirect effect on the value of our assets or market conditions generally. Furthermore, many of the provisions of the Tax Cuts and Jobs Act will require guidance through the issuance of Treasury regulations in order to assess their effect. There may be a substantial delay before such regulations are promulgated, increasing the uncertainty as to the ultimate effect of the statutory amendments on us.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Stockholders are urged to consult with their own tax advisors with respect to the impact that the Tax Cuts and Jobs Act and other legislation may have on their investment and the status of legislative, regulatory or administrative developments and proposals and their potential effect on their investment in our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landlords and other suppliers, meet certain standards of character and fitness. In addition, gaming laws require gaming industry participants to:</w:t>
      </w:r>
    </w:p>
    <w:p>
      <w:pPr>
        <w:spacing w:after="0" w:line="97"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225" w:lineRule="exact"/>
        <w:rPr>
          <w:rFonts w:ascii="Arial" w:cs="Arial" w:eastAsia="Arial" w:hAnsi="Arial"/>
          <w:sz w:val="18"/>
          <w:szCs w:val="18"/>
          <w:color w:val="auto"/>
        </w:rPr>
      </w:pPr>
    </w:p>
    <w:p>
      <w:pPr>
        <w:ind w:left="820" w:right="620" w:hanging="488"/>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236" w:lineRule="exact"/>
        <w:rPr>
          <w:rFonts w:ascii="Arial" w:cs="Arial" w:eastAsia="Arial" w:hAnsi="Arial"/>
          <w:sz w:val="17"/>
          <w:szCs w:val="17"/>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44"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These regulations impact our business in three important ways: (1) our ownership and operation of the TRS Properties; (2) our ownership of land and buildings in which gaming activities are operated by third party tenants pursuant to long-term leases; and (3) the operations of our gaming tenants. Our ownership and operation of the TRS Properties subject GLPI, its subsidiaries and its officers and directors to the jurisdiction of the gaming regulatory agencies in Louisiana and Maryland. Further, many gaming and racing regulatory agencies in the jurisdictions in which our gaming tenants operate require GLPI and its affiliates to maintain a license as a key business entity or supplier because of its status as landlord, including Colorado, Illinois, Indiana, Mississippi, Missouri, Ohio and Pennsylvania.</w:t>
      </w:r>
    </w:p>
    <w:p>
      <w:pPr>
        <w:spacing w:after="0" w:line="2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businesses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8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We have comprehensive liability, property and business interruption insurance at our TRS Properties. In regards to our properties subject to triple-net leases, the lease agreements require our tenants to have their own comprehensive liability, property and business interruption insurance policies, including protection for our insurable interests as the landlord.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Our triple-net leases obligate the tenants thereunder to comply with applicable environmental laws and to indemnify us if their noncompliance results in losses or claims against us, and we expect that any future leases will include the same provisions for other operators. An operator's failure to comply could result in fines and penalties or the requirement to undertake corrective actions which may result in significant costs to the operator and thus adversely affect their ability to meet their obligations to us.</w:t>
      </w:r>
    </w:p>
    <w:p>
      <w:pPr>
        <w:spacing w:after="0" w:line="23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sent wastes for disposal. The failure to properly remediate a property may also adversely affect our ability to lease, sell or rent the property or to borrow funds using the property as collateral.</w:t>
      </w:r>
    </w:p>
    <w:p>
      <w:pPr>
        <w:spacing w:after="0" w:line="23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ownership of our real property, we could be legally responsible for environmental liabilities or costs relating to a release of hazardous substances or other regulated materials at or emanating from such property. In order to assess the potential for such liability, we conduct routine due diligence of environmental assessments prior to acquisition. We are not aware of any environmental issues that are expected to have a material impact on the operations of any of our properties.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Pursuant to the Penn Master Lease and a Separation and Distribution Agreement between Penn and GLPI, any liability arising from or relating to environmental liabilities arising from the businesses and operations of Penn's real property holdings prior to the Spin-Off (other than any liability arising from or relating to the operation or ownership of the TRS Properties and except to the extent first discovered after the end of the term of the Penn Master Lease) was retained by Penn and Penn will indemnify GLPI (and its subsidiaries, directors, officers, employees and agents and certain other related parties) against any losses arising from or relating to such environmental liabilities. Similarly, pursuant to a Separation and Distribution Agreement between Pinnacle's operating company and GLPI (as successor to Pinnacle Entertainment), any liability arising from or relating to environmental liabilities arising from the business and operations of Pinnacle's real property holdings prior to the Pinnacle transaction (except to the extent first discovered after the end of the term of the Pinnacle Master Lease) was retained by Pinnacle and Pinnacle will indemnify GLPI (and its subsidiaries, directors, officers, employees and agents and certain other related parties) against any losses arising from or relating to such environmental liabilities. There can be no assurance that Penn or Pinnacle will be able to fully satisfy their indemnification obligations. Moreover, even if we ultimately succeed in recovering from Penn or Pinnacle any amounts for which we are held liable, we may be temporarily required to bear these losses.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December 31, 2017, we had 714 full and part-time employees. Substantially all of these employees are employed at Hollywood Casino Baton Rouge and Hollywood Casino Perryville. The Company believes its relations with its employees are good.</w:t>
      </w:r>
    </w:p>
    <w:p>
      <w:pPr>
        <w:spacing w:after="0" w:line="2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Some of our employees at Hollywood Casino Perryville are currently represented by labor unions. The Seafarers Entertainment and Allied Trade Union represents 161 of our employees at Hollywood Casino Perryville under an agreement that expires in February 2020. Additionally, Local No. 27 United Food and Commercial Workers and United Industrial Service Transportation Professional and Government Workers of North America represent certain employees under collective bargaining agreements that expire in 2020, neither of which represents more than 50 of our employees at Hollywood Casino Perryville.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30"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14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We are significantly dependent on two tenants and their respective subsidiaries until we substantially diversify our portfolio. An event that has a material adverse effect on either tenant’s respective business, financial position or results of operations could have a material adverse effect on our business, financial position or results of operations and we could be restrained from exercising any remedies under our Master Leases.</w:t>
      </w:r>
    </w:p>
    <w:p>
      <w:pPr>
        <w:spacing w:after="0" w:line="14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Substantially all of our revenues are based on the revenue derived under the master leases with Penn and Pinnacle. Because these master leases are triple-net leases, we depend on Penn and Pinnacle to operate the properties that we own in a manner that generates revenues sufficient to allow the tenants to meet their obligations to us, including payment of rent and all insurance, taxes, utilities and maintenance and repair expenses in connection with these leased properties and to indemnify, defend and hold us harmless from and against various claims, litigation and liabilities arising in connection with their businesses. There can be no assurance that either Penn or Pinnacle will have sufficient assets, income or access to financing to enable them to satisfy their payment obligations under the master leases. The ability of our tenants to fulfill their obligations may depend, in part, upon the overall profitability of their operations. The inability or unwillingness of either Penn or Pinnacle to meet their subsidiaries’ rent obligations and other obligations under the master leases, in each case, could materially and adversely affect our business, financial position or results of operations, including our ability to pay dividends to our shareholders as required to maintain our status as a REIT and our financial position could be materially weakened if any of our tenants are unable to meet their obligations to us or failed to renew or extend any lease as such lease expires, or if we are unable to lease or re-lease our properties on economically favorable terms.</w:t>
      </w:r>
    </w:p>
    <w:p>
      <w:pPr>
        <w:spacing w:after="0" w:line="16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Due to our dependence on rental payments from Penn and Pinnacle (and their respective subsidiaries) as our primary source of revenue, we may be limited in our ability to enforce our rights under the master leases or to terminate the master leases with respect to any particular property. Failure by Penn or Pinnacle to comply with the terms of their respective master leases or to comply with the gaming regulations to which the leased properties are subject could require us to find another lessee for such leased property and there could be a decrease or cessation of rental payments by either Penn or Pinnacle, as the case may be. In such event, we may be unable to locate a suitable lessee at similar rental rates or at all, which would have the effect of reducing our rental revenues.</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Although we will acquire a new tenant, Boyd, if the Penn-Pinnacle Merger (described below) is completed, we will become even more dependent on Penn as a result of its acquisition of Pinnacle. Any event, including the integration of Penn and Pinnacle after the completion of the Penn-Pinnacle Merger,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pursuit of investments in, and acquisitions or development of, additional properties may be unsuccessful or fail to meet our expectations.</w:t>
      </w:r>
    </w:p>
    <w:p>
      <w:pPr>
        <w:spacing w:after="0" w:line="3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operate in a highly competitive industry and face competition from other REITs (including other gaming-focused REITs), investment companies, private equity and hedge fund investors, sovereign funds, lenders, gaming companies (including gaming companies considering REIT structures) and other investors, some of whom are significantly larger and have greater resources and lower costs of capital. Increased competition will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23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Penn’s proposed acquisition of Pinnacle is subject to the satisfaction of closing conditions, including the timely receipt of all necessary regulatory approvals, financing and other matters, and the failure of Penn and Pinnacle to complete the acquisition could negatively impact our stock price and growth plans.</w:t>
      </w:r>
    </w:p>
    <w:p>
      <w:pPr>
        <w:spacing w:after="0" w:line="12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December 17, 2017, Penn and Pinnacle announced that Penn intends to acquire Pinnacle (the “Penn-Pinnacle Merger”). Under our master leases with both Penn and Pinnacle, we have a consent right with respect to any divestitures effected in connection with the Penn-Pinnacle Merger. In agreeing to the Penn-Pinnacle Merger, we will be acquiring the physical assets at Penn’s Plainridge Park Casino and Pinnacle’s Belterra Park Gaming &amp; Entertainment for approximately $315 million subject to the closing of the Penn-Pinnacle Merger. Additionally, in order to facilitate the Penn-Pinnacle Merger, we intend to enter into a new lease with Boyd Gaming Corp. (“Boyd”), whereby Boyd will become the operator for four casino operations Boyd is acquiring from Pinnacle. The Penn-Pinnacle Merger is subject to the satisfaction of closing conditions, including the timely receipt of all necessary regulatory approvals, financing and other matters. If Penn and Pinnacle are unable to complete the Penn-Pinnacle Merger, we would not be able to acquire the physical assets as planned and it could negatively impact our stock price and growth plans.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repay or refinance borrowings under our senior unsecured credit facility and our senior unsecured notes with maturities in 2018.</w:t>
      </w:r>
    </w:p>
    <w:p>
      <w:pPr>
        <w:spacing w:after="0" w:line="11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a $1,825 million dollar senior unsecured credit facility (the "Credit Facility"), consisting of a $700 million revolving credit facility, a $300 million Term Loan A facility, and an $825 million Term Loan A-1 facility. Our revolving credit facility and the Term Loan A facility mature on October 28, 2018 and the Term Loan A-1 facility matures on April 28, 2021. At December 31, 2017, we have $230 million outstanding under the term loan A facility and no borrowings outstanding under the revolving credit facility. We also have $550 million of 4.375% senior unsecured notes scheduled to mature on November 1, 2018 (the "2018 Notes"). During 2018, we will need to repay, refinance, replace or otherwise extend the maturity of the portion of our Credit Facility that matures during 2018 and the 2018 Notes. Our ability to repay, refinance, replace or extend these borrowings by their maturity dates will be dependent on, among other things, business conditions, our financial performance and the general condition of the financial markets. If a financial disruption were to occur at the time that we are required to repay indebtedness outstanding under our Credit Facility and the 2018 Notes, we could be forced to undertake alternate financings, including a sale of additional common stock, negotiate for an extension of the maturity of our Credit Facility or delay expenditures in order to generate proceeds that could be used to repay indebtedness under our Credit Facility and the 2018 Notes. We cannot provide any assurance that we will be able to consummate any such transaction on terms that are commercially reasonable, on terms acceptable to us or at all.</w:t>
      </w:r>
    </w:p>
    <w:p>
      <w:pPr>
        <w:spacing w:after="0" w:line="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22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the owner and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gaming business would likely have a greater adverse effect on our revenues than if we owned a more diversified real estate portfolio, particularly because a component of the rent under our leases is based, over time, on the performance of the gaming facilities operated by our tenants. Decreases in discretionary consumer spending brought about by weakened general economic conditions such as, but not limited to, lackluster recoveries from recessions, high unemployment levels, higher income taxes, low levels of consumer confidence, weakness in the housing market, cultural and demographic changes, and increased stock market volatility may negatively impact our revenues and operating cash flow.</w:t>
      </w:r>
    </w:p>
    <w:p>
      <w:pPr>
        <w:spacing w:after="0" w:line="23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or games of skill, which allow their customers a wagering alternative to the casino-style, in person gaming from home or in non-casino settings, could divert customers from our properties and thus adversely affect our TRS Properties and the business of our tenants and, indirectly, our business. Certain alternative wagering products may be illegal under federal or state law but operate exclusively in certain states or from overseas locations, and are accessible to certain domestic gamblers. Present state or federal laws that restrict the forms of gaming authorized or the number of competitors that offer gaming in the applicable jurisdiction are subject to change and may increase the competition affecting our TRS Properties and the business of our tenants and, indirectly, our business. Currently, there are proposals that would legalize internet poker and other alternative wagering products in a number of states. Several states have intrastate internet gaming. Expansion of internet gaming in other jurisdictions (both legal and illegal) could further compete with our traditional operations, which could have an adverse impact on our business and result of operations.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TRS Properties and of our tenants in our leased facilities are subject to disruptions or reduced patronage as a result of severe weather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conditions. A component of the rent under our leases is based, over time, on the performance of the gaming facilities operated by Penn, Pinnacle and Casino Queen on our properties; consequently, a casualty that leads to the loss of use of a casino facility subject to our leases for an extended period may negatively impact our revenues.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w:t>
      </w:r>
    </w:p>
    <w:p>
      <w:pPr>
        <w:spacing w:after="0" w:line="27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ownership, operation, and management of gaming and racing facilities are subject to pervasive regulation. These regulations impact both our ownership and operation of the TRS Properties and the operations of our gaming tenants. Our ownership and operation of the TRS Properties subject us, our officers, directors and shareholders to the jurisdiction of the gaming regulatory agencies in Louisiana and Maryland. Further, many gaming and racing regulatory agencies in the jurisdictions in which our tenants operate require GLPI, its affiliates and certain officers and directors to maintain licenses as a key business entity, supplier or key person because of GLPI's status as landlord. For GLPI to maintain such licenses in good standing, certain of GLPI's officers, directors and shareholders are also required to maintain license or finding of suitability.</w:t>
      </w:r>
    </w:p>
    <w:p>
      <w:pPr>
        <w:spacing w:after="0" w:line="2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Many jurisdictions also require any person who acquires beneficial ownership of more than a certain percentage of voting securities of a gaming company and, in some jurisdictions, non-voting securities,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in which a person may hold an ownership or a controlling interest.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24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GLPI or one of its subsidiaries must satisfy gaming authorities with respect to a variety of stringent licensing standards prior to assuming control.</w:t>
      </w:r>
    </w:p>
    <w:p>
      <w:pPr>
        <w:spacing w:after="0" w:line="2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our gaming properties, which could result in periods in which we are unable to receive rent for such properties.</w:t>
      </w:r>
    </w:p>
    <w:p>
      <w:pPr>
        <w:spacing w:after="0" w:line="224"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strategic acquisitions unrelated to the gaming industry may be unsuccessful or fail to meet our expectations.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pursue strategic acquisitions of properties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22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spacing w:after="0" w:line="200" w:lineRule="exact"/>
        <w:rPr>
          <w:sz w:val="20"/>
          <w:szCs w:val="20"/>
          <w:color w:val="auto"/>
        </w:rPr>
      </w:pPr>
    </w:p>
    <w:p>
      <w:pPr>
        <w:spacing w:after="0" w:line="2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224"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Our charter and bylaws, in addition to Pennsylvania law, contain provisions that are intended to deter coercive takeover practices and inadequate takeover bids and to encourage prospective acquirors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committee of the Board of Directors following the affirmative determination by the nominating committee that such nominee is likely to meet the applicable suitability requirements of any federal, state or local regulatory body having jurisdiction over us;</w:t>
      </w:r>
    </w:p>
    <w:p>
      <w:pPr>
        <w:spacing w:after="0" w:line="5" w:lineRule="exact"/>
        <w:rPr>
          <w:sz w:val="20"/>
          <w:szCs w:val="20"/>
          <w:color w:val="auto"/>
        </w:rPr>
      </w:pPr>
    </w:p>
    <w:p>
      <w:pPr>
        <w:ind w:right="200" w:firstLine="8"/>
        <w:spacing w:after="0" w:line="281" w:lineRule="auto"/>
        <w:tabs>
          <w:tab w:leader="none" w:pos="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that a director may only be removed by shareholders for cause and upon the vote of 75% of the shares entitled to vote; (iv) do not permit direct nomination by shareholders of nominees for election to the Board of Directors, but instead permit shareholders to recommend potential nominees to our Compensation and Governance Committee; (v) require shareholders to have beneficially owned at least 1% of our outstanding common stock in order to recommend a person for nomination for election to the Board of Directors, or to present a shareholder proposal, for action at a shareholders' meeting; and</w:t>
      </w:r>
    </w:p>
    <w:p>
      <w:pPr>
        <w:spacing w:after="0" w:line="2" w:lineRule="exact"/>
        <w:rPr>
          <w:rFonts w:ascii="Arial" w:cs="Arial" w:eastAsia="Arial" w:hAnsi="Arial"/>
          <w:sz w:val="16"/>
          <w:szCs w:val="16"/>
          <w:color w:val="auto"/>
        </w:rPr>
      </w:pPr>
    </w:p>
    <w:p>
      <w:pPr>
        <w:ind w:right="300" w:firstLine="8"/>
        <w:spacing w:after="0" w:line="261" w:lineRule="auto"/>
        <w:tabs>
          <w:tab w:leader="none" w:pos="3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supermajority approval requirements for amending or repealing certain provisions in our charter and in order to approve an amendment or repeal of any provision of our bylaws that has not been proposed by our Board of Directors.</w:t>
      </w:r>
    </w:p>
    <w:p>
      <w:pPr>
        <w:spacing w:after="0" w:line="2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24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30"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our key management personnel, we may not be able to successfully manage our business and achieve our objectives.</w:t>
      </w:r>
    </w:p>
    <w:p>
      <w:pPr>
        <w:spacing w:after="0" w:line="27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success depends in large part upon the leadership and performance of our executive management team, particularly Peter M. Carlino, our chief executive officer, and William J. Clifford, our chief financial officer. Furthermore, we do not have any employment agreements in place with the members of our executive management team. If we lose the services of Messrs. Carlino or Clifford, or other members of our executive management team, we may not be able to successfully manage our business or achieve our business objectives.</w:t>
      </w: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uninsured or underinsured losses, which could result in a significant loss of the capital we have invested in a property, decrease anticipated future revenues or cause us to incur unanticipated expense.</w:t>
      </w:r>
    </w:p>
    <w:p>
      <w:pPr>
        <w:spacing w:after="0" w:line="2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our leases require, and new lease agreements are expected to require, that comprehensive insurance and hazard insurance be maintained by the tenants, a tenant's failure to comply could lead to an uninsured or underinsured loss and there can be no assurance that we will be able to recover such uninsured or underinsured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23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22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our or our tenant's business caused by a casualty event may result in the loss of business or tenants. The business interruption insurance we or our tenant's carry may not fully compensate us for the loss of business or tenants due to an interruption caused by a casualty event.</w:t>
      </w:r>
    </w:p>
    <w:p>
      <w:pPr>
        <w:spacing w:after="0" w:line="23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upon an event of loss covered by an insurance policy could adversely affect our business, financial condition and results of operations.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factors that may have a significant effect on the market price for our common stock include, among others, the following:</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stock market analyst recommendations or earnings estimates regarding our common stock or other comparable REITs;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stream or future prospects;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close pending acquisitions;</w:t>
      </w:r>
    </w:p>
    <w:p>
      <w:pPr>
        <w:spacing w:after="0" w:line="23" w:lineRule="exact"/>
        <w:rPr>
          <w:rFonts w:ascii="Arial" w:cs="Arial" w:eastAsia="Arial" w:hAnsi="Arial"/>
          <w:sz w:val="18"/>
          <w:szCs w:val="18"/>
          <w:color w:val="auto"/>
        </w:rPr>
      </w:pPr>
    </w:p>
    <w:p>
      <w:pPr>
        <w:ind w:left="1300" w:right="420" w:hanging="644"/>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achieve the perceived benefits of our acquisitions, including financial results, as rapidly as or to the extent anticipated by financial or industry analysts;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30"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1300" w:right="5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and operations or the gaming industry;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225"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incidents of terrorism and responses to such events;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members of our management team or other significant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31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As an owner of real property, we are subject to various federal, state and local environmental and health and safety laws and regulations. Although we will not operate or manage most of our property,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24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22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Although we intend to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federal income tax laws could materially and adversely affect us and our shareholders.</w:t>
      </w:r>
    </w:p>
    <w:p>
      <w:pPr>
        <w:spacing w:after="0" w:line="144"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The recently enacted Tax Cuts and Jobs Act makes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limits the net operating loss deduction to 80% of taxable income, where taxable income is determined without regard to the net operating loss deduction itself, generally eliminates net operating loss carrybacks and allows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w:t>
      </w:r>
    </w:p>
    <w:p>
      <w:pPr>
        <w:spacing w:after="0" w:line="7" w:lineRule="exact"/>
        <w:rPr>
          <w:sz w:val="20"/>
          <w:szCs w:val="20"/>
          <w:color w:val="auto"/>
        </w:rPr>
      </w:pPr>
    </w:p>
    <w:p>
      <w:pPr>
        <w:ind w:right="100" w:firstLine="8"/>
        <w:spacing w:after="0" w:line="252"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the deduction for net interest expense incurred by a business to 30% of the “adjusted taxable income” of the taxpayer, but does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Furthermore, many of the provisions of the Tax Cuts and Jobs Act will require guidance through the issuance of Treasury regulations in order to assess their effect. There may be a substantial delay before such regulations are promulgated, increasing the uncertainty as to the ultimate effect of the statutory amendments on us.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Status as a REIT</w:t>
      </w:r>
    </w:p>
    <w:p>
      <w:pPr>
        <w:spacing w:after="0" w:line="28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If we do not qualify to be taxed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We received an opinion from our special tax advisors, Wachtell, Lipton, Rosen &amp; Katz and KPMG LLP (collectively the "Special Tax Advisors"), with respect to our qualification as a REIT in connection with the Spin-Off. Investors should be aware, however, that opinions of advisors are not binding on the IRS or any court. The opinions of the Special Tax Advisors represent only the view of the Special Tax Advisors based on their review and analysis of existing law and on certain representations as to factual matters and covenants made by us, including representations relating to the values of our assets and the sources of our income. The opinions are expressed as of the date issued. The Special Tax Advisors have no obligation to advise us or the holders of our common stock of any subsequent change in the matters stated, represented or assumed or of any subsequent change in applicable law. Furthermore, both the validity of the opinions of Special Tax Advisors and our qualification as a REIT will depend on our satisfaction of certain asset, income, organizational, distribution, shareholder ownership and other requirements on a continuing basis, the results of which will not be monitored by the Special Tax Advisors.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22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Penn Master Lease will not adversely affect our qualification as a REIT. Although we may generally rely upon the ruling, no assurance can be given that the IRS will not challenge our qualification as a REIT on the basis of other issues or facts outside the scope of the ruling.</w:t>
      </w:r>
    </w:p>
    <w:p>
      <w:pPr>
        <w:spacing w:after="0" w:line="24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21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 and violations of these provisions could jeopardize our REIT qualifications.</w:t>
      </w:r>
    </w:p>
    <w:p>
      <w:pPr>
        <w:spacing w:after="0" w:line="22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fail to qualify to be taxed as a REIT if income we receive from Penn or Pinnacle, or their subsidiaries, is not treated as qualifying income.</w:t>
      </w:r>
    </w:p>
    <w:p>
      <w:pPr>
        <w:spacing w:after="0" w:line="30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Rents received or accrued by us from Penn or Pinnacle, or their subsidiaries, will not be treated as qualifying rent for purposes of these requirements if the Penn Master Lease or Pinnacle Master Lease is not respected as a true lease for U.S. federal income tax purposes and is instead treated as a service contract, joint venture or some other type of arrangement. If the Penn Master Lease or Pinnacle Master Lease is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23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addition, subject to certain exceptions, rents received or accrued by us from Penn or Pinnacle, or their subsidiaries, will not be treated as qualifying rent for purposes of these requirements if we or an actual or constructive owner of 10% or more of our stock actually or constructively owns 10% or more of the total combined voting power of all classes of Penn stock or Pinnacle stock entitled to vote or 10% or more of the total value of all classes of Penn stock or Pinnacle stock. Our charter provides for restrictions on ownership and transfer of our shares of stock, including restrictions on such ownership or transfer that would cause the rents received or accrued by us from Penn or Pinnacle, or their subsidiaries, to be treated as non-qualifying rent for purposes of the REIT gross income requirements. Nevertheless, there can be no assurance that such restrictions will be effective in ensuring that rents received or accrued by us from Penn or Pinnacle, or their subsidiaries, will not be treated as qualifying rent for purposes of REIT qualification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7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 and not subject to expiration as of January 1, 2018.</w:t>
      </w:r>
    </w:p>
    <w:p>
      <w:pPr>
        <w:spacing w:after="0" w:line="23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27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23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or Pinnacle to make rental payments under the Penn Master Lease, the Pinnacle Master Lease or the Meadows Lease, as applicable, would materially impair our ability to make distributions. Consequently, there can be no assurance that we will be able to make distributions at the anticipated distribution rate or any other rate.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279"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certain of our assets and conduct related activities through TRS subsidiary corporations that are subject to 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Complying with REIT requirements may cause us to forego otherwise attractive acquisition opportunities or liquidate otherwise attractive investments.</w:t>
      </w:r>
    </w:p>
    <w:p>
      <w:pPr>
        <w:spacing w:after="0" w:line="31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23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232"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We paid the Purging Distribution in common stock and cash and may pay taxable dividends on our common stock in common stock and cash. Our shareholders may sell shares of our common stock to pay tax on such dividends, placing downward pressure on the market price of our common stock.</w:t>
      </w:r>
    </w:p>
    <w:p>
      <w:pPr>
        <w:spacing w:after="0" w:line="15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paid the Purging Distribution in a combination of cash and GLPI stock. Penn has received a private letter ruling from the IRS with respect to certain issues relevant to our payment of the Purging Distribution in a combination of cash and GLPI stock. In general, the ruling provides, subject to the terms and conditions contained therein, that (1) the Purging Distribution will be treated as a dividend that will first reduce our accumulated earnings and profits (as determined for U.S.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federal income tax purposes) attributable to pre-REIT years in satisfaction of the REIT annual distribution requirement and (2) the amount of any GLPI stock received by any GLPI shareholder as part of the Purging Distribution will be considered to equal the amount of cash that could have been received instead. In connection with the Purging Distribution, a shareholder of our common stock was required to report dividend income as a result of the Purging Distribution even though we distributed no cash or only nominal amounts of cash to such shareholder.</w:t>
      </w:r>
    </w:p>
    <w:p>
      <w:pPr>
        <w:spacing w:after="0" w:line="24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currently intend to pay dividends (other than the Purging Distribution) in cash only, and not in-kind. However, if for any taxable year, we have significant amounts of taxable income in excess of available cash flow, we may declare dividends in-kind in order to satisfy the REIT annual distribution requirements. We may distribute a portion of our dividends in the form of our stock or our debt instruments. In either event, a shareholder of GLPI common stock will be required to report dividend income as a result of such distributions even though we distributed no cash or only nominal amounts of cash to such shareholder.</w:t>
      </w:r>
    </w:p>
    <w:p>
      <w:pPr>
        <w:spacing w:after="0" w:line="24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IRS has issued private letter rulings to other REITs (and, with respect to the Purging Distribution and as described above, to Penn) treating certain distributions that are paid partly in cash and partly in stock as taxable dividends that would satisfy the REIT annual distribution requirement and qualify for the dividends paid deduction for U.S. federal income tax purposes. Those rulings may be relied upon only by taxpayers to whom they were issued, but we could request a similar ruling from the IRS. We cannot rely on the private letter ruling Penn received from the IRS, as described above, with respect to the payment of dividends other than the Purging Distribution. In addition, the IRS previously issued a revenue procedure authorizing publicly traded REITs to make elective cash/stock dividends, but that revenue procedure does not apply to our taxable year that began on January 1, 2014 and future taxable years. Accordingly, it is unclear whether and to what extent we will be able to make taxable dividends (other than the Purging Distribution) payable in-kind.</w:t>
      </w:r>
    </w:p>
    <w:p>
      <w:pPr>
        <w:spacing w:after="0" w:line="22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we make any taxable dividend payable in cash and common stock, taxable shareholders receiving such dividends will be required to include the full amount of the dividend as ordinary income to the extent of our current and accumulated earnings and profits, as determined for U.S. federal income tax purposes. As a result, shareholders may be required to pay income tax with respect to such dividends in excess of the cash dividends received. If a U.S. shareholder sells the GLPI stock that it receives as a dividend in order to pay this tax, the sales proceeds may be less than the amount included in income with respect to the dividend, depending on the market price of the stock at the time of the sale. Furthermore, with respect to certain non-U.S. shareholders, we may be required to withhold federal income tax with respect to such dividends, including in respect of all or a portion of such dividend that is payable in GLPI stock. If, in any taxable dividend payable in cash and GLPI stock, a significant number of our shareholders determine to sell shares of our stock in order to pay taxes owed on dividends, it may be viewed as economically equivalent to a dividend reduction and put downward pressure on the market price of our stock.</w:t>
      </w:r>
    </w:p>
    <w:p>
      <w:pPr>
        <w:spacing w:after="0" w:line="2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 subject to tax on any unrealized net built-in gains in the assets held before electing to be treated as a REIT and in the assets acquired from Pinnacle.</w:t>
      </w:r>
    </w:p>
    <w:p>
      <w:pPr>
        <w:spacing w:after="0" w:line="22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own appreciated assets that were held by a C corporation before we elected to be treated as a REIT and were acquired in a transaction in which the adjusted tax basis of the assets in our ownership is determined by reference to the adjusted tax basis of the assets in the hands of the C corporation. If we dispose of any such appreciated assets during the five-year period following our acquisition of the assets from the C corporation (i.e., during the five-year period following our qualification as a REIT), we will be subject to tax at the highest corporate tax rates on any gain from such assets to the extent of the excess of the fair market value of the assets on the date that they were acquired by us (i.e., at the time that we became a REIT) over the adjusted tax basis of such assets on such date, which are referred to as built-in gains. The assets acquired from Pinnacle are expected to have significant built-in-gains. Because, prior to the Pinnacle transaction, Pinnacle was a C corporation, if we dispose of any such appreciated assets during the five-year period following the transaction, we will be subject to tax at the highest corporate tax rates on any gain from such assets to the extent of the built-in-gain in such assets at the time of the transaction.</w:t>
      </w:r>
    </w:p>
    <w:p>
      <w:pPr>
        <w:spacing w:after="0" w:line="25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would be subject to this tax liability even if we continue to qualify and maintain our status as a REIT. Any recognized built-in gain will retain our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December 31, 2017, we had indebtedness of $4.48 billion, with an additional $699.6 million available for borrowing under our revolving credit facility. 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To the extent that we incur additional indebtedness or such other obligations, the risks associated with our leverage, including our possible inability to service our debt, would increase.</w:t>
      </w:r>
    </w:p>
    <w:p>
      <w:pPr>
        <w:spacing w:after="0" w:line="2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incurred additional indebtedness in connection with the Pinnacle transaction.</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increased indebtedness could have important consequences, including the following:</w:t>
      </w:r>
    </w:p>
    <w:p>
      <w:pPr>
        <w:spacing w:after="0" w:line="279" w:lineRule="exact"/>
        <w:rPr>
          <w:sz w:val="20"/>
          <w:szCs w:val="20"/>
          <w:color w:val="auto"/>
        </w:rPr>
      </w:pPr>
    </w:p>
    <w:p>
      <w:pPr>
        <w:ind w:left="1300" w:right="4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may limit our ability to obtain additional debt or equity financing for working capital, capital expenditures, acquisitions, debt service requirements and general corporate or other purposes;</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material portion of our cash flows will be dedicated to the payment of principal and interest on our indebtedness, including indebtedness it may incur in the future, and will not be available for other purposes, including to pay dividends and make acquisitions;</w:t>
      </w:r>
    </w:p>
    <w:p>
      <w:pPr>
        <w:spacing w:after="0" w:line="146"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make us more vulnerable to downturns in general economic or industry conditions or in our business, or prevent us from carrying out activities that are important to our growth;</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increase our interest expense if interest rates in general increase because our indebtedness under the senior unsecured credit facility bears interest at floating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limit our ability to take advantage of strategic business opportunities; and</w:t>
      </w:r>
    </w:p>
    <w:p>
      <w:pPr>
        <w:spacing w:after="0" w:line="225" w:lineRule="exact"/>
        <w:rPr>
          <w:rFonts w:ascii="Arial" w:cs="Arial" w:eastAsia="Arial" w:hAnsi="Arial"/>
          <w:sz w:val="18"/>
          <w:szCs w:val="18"/>
          <w:color w:val="auto"/>
        </w:rPr>
      </w:pPr>
    </w:p>
    <w:p>
      <w:pPr>
        <w:ind w:left="1300" w:right="40" w:hanging="644"/>
        <w:spacing w:after="0" w:line="279"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it could make it more difficult for us to satisfy our obligations with respect to our indebtedness, including under the notes, and any failure to comply with the obligations of any of our debt instruments, including any financial and other restrictive covenants, could result in an event of default under the indenture governing the notes or under the agreements governing our other indebtedness which, if not cured or waived, could result in the acceleration of our indebtedness under the senior credit facility and under the notes.</w:t>
      </w:r>
    </w:p>
    <w:p>
      <w:pPr>
        <w:spacing w:after="0" w:line="14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under our senior unsecured credit facility or from other debt financing, in an amount sufficient to enable us to pay our indebtedness, including the notes, or to fund our other liquidity needs. If we do not generate sufficient cash flow from operations to satisfy our debt service obligations, including payments on the notes,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business operations. Our inability to generate sufficient cash flow to satisfy our debt service requirements, including the inability to service the notes, or to refinance our obligations on commercially reasonable terms, would have an adverse effect, which could be material, on our business, financial position and results of operations, as well as on our ability to satisfy our obligations in respect of the notes.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may be subject to significant dilution caused by the additional issuance of equity securities.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and when additional funds are raised through the issuance of equity securities, including under our "at the market" offering program (the "ATM Program") and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may make it more difficult for our shareholders to sell their GLPI common stock at a time and price that they deem appropriate and could impair our future ability to raise capital through an offering of our equity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obtain additional capital, our growth may be limited.</w:t>
      </w:r>
    </w:p>
    <w:p>
      <w:pPr>
        <w:spacing w:after="0" w:line="2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will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29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24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Further, the dividend yield on our common stock, as a percentage of the price of such common stock, will influence the price of such common stock. Thus, an increase in market interest rates may lead prospective purchasers of our common stock to expect a higher dividend yield, which would adversely affect the market price of our common stock.</w:t>
      </w:r>
    </w:p>
    <w:p>
      <w:pPr>
        <w:spacing w:after="0" w:line="2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Spin-Off from Penn and the Acquisition of Pinnacle's Gaming Properties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tax-free for U.S. federal income tax purposes, GLPI could be subject to significant tax liabilities and, in certain circumstances, GLPI could be required to indemnify Penn for material taxes pursuant to indemnification obligations under the Tax Matters Agreement.</w:t>
      </w:r>
    </w:p>
    <w:p>
      <w:pPr>
        <w:spacing w:after="0" w:line="23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Penn has received a private letter ruling from the IRS substantially to the effect that, among other things, the Spin-Off, together with the required compliance exchanges and certain related transactions, will qualify as a transaction that is generally tax-free for U.S. federal income tax purposes under Sections 355 and/or 368(a)(1)(D) of the Code (the "IRS Ruling"). The IRS Ruling does not address certain requirements for tax-free treatment of the Spin-Off under Section 355, and Penn received from its tax advisors a tax opinion substantially to the effect that, with respect to such requirements on which the IRS will not rule, such requirements have been satisfied. The IRS Ruling, and the tax opinions that Penn received from its tax advisors, relied on, among other things, certain representations, assumptions and undertakings, including those relating to the past and future conduct of GLPI's business, and the IRS Ruling and the opinions would not be valid if such representations, assumptions and undertakings were incorrect in any material respect.</w:t>
      </w:r>
    </w:p>
    <w:p>
      <w:pPr>
        <w:spacing w:after="0" w:line="22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Notwithstanding the IRS Ruling and the tax opinions, the IRS could determine the Spin-Off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opinions that are not covered by the IRS Ruling.</w:t>
      </w:r>
    </w:p>
    <w:p>
      <w:pPr>
        <w:spacing w:after="0" w:line="22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Under a Tax Matters Agreement that GLPI entered into with Penn, GLPI generally is required to indemnify Penn against any tax resulting from the Spin-Off to the extent that such tax resulted from (i) an acquisition of all or a portion of the equity securities or assets of GLPI, whether by merger or otherwise, (ii) other actions or failures to act by GLPI, or (iii) any of GLPI's representations or undertakings being incorrect or violated. GLPI's indemnification obligations to Penn and its subsidiaries, officers and directors will not be limited by any maximum amount. If GLPI is required to indemnify Penn or such other persons under the circumstance set forth in the Tax Matters Agreement, GLPI may be subject to substantial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included in this filing may not be a reliable indicator of future results.</w:t>
      </w:r>
    </w:p>
    <w:p>
      <w:pPr>
        <w:spacing w:after="0" w:line="27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historical financial statements for the years ended December 31, 2017, 2016, 2015 and 2014 included herein reflect a full year of operations for the real estate entity and the businesses in the TRS, whereas financial results for the year ended December 31, 2013 (included in Item 6) reflect a full year of operations for the businesses in the TRS and a partial year from November 1, 2013 to December 31, 2013 for the real estate entity. The historical financial statements included herein do not reflect what the business, financial position or results of operations of GLPI may be in the future.</w:t>
      </w:r>
    </w:p>
    <w:p>
      <w:pPr>
        <w:spacing w:after="0" w:line="20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ownership by our executive officers and directors of common shares, options or other equity awards of Penn may create, or may create the appearance of, conflicts of interest.</w:t>
      </w:r>
    </w:p>
    <w:p>
      <w:pPr>
        <w:spacing w:after="0" w:line="2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Because of their current or former positions with Penn, substantially all of our executive officers, including our chief executive officer and chief financial officer, and certain directors own common shares of Penn, options to purchase common shares of Penn or other Penn equity awards as well as common shares, options to purchase common shares and/or other equity awards in GLPI. The individual holdings of common shares, options to purchase common shares or other equity awards of Penn and GLPI may be significant for some of these persons compared to their total assets. These equity interests may create, or appear to create, conflicts of interest when these directors and officers are faced with decisions that could benefit or affect the equity holders of Penn in ways that do not benefit or affect us in the same manner.</w:t>
      </w:r>
    </w:p>
    <w:p>
      <w:pPr>
        <w:spacing w:after="0" w:line="24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Peter M. Carlino, our Chairman and Chief Executive Officer, and David A. Handler, one of our independent directors, also serve on the Penn Board of Directors which may create conflicts of interest and/or create regulatory obstacles for the Company in its pursuit of additional properties.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Peter M. Carlino serves as non-executive Chairman of the Board of Directors of Penn and the Chairman and Chief Executive Officer of GLPI. In addition, David A. Handler, one of our directors, serves as a director at Penn. These overlapping positions could create, or appear to create, potential conflicts of interest when our or Penn's management and directors pursue the same corporate opportunities, such as greenfield development opportunities, or face decisions that could have different implications for us and Penn. For example, potential conflicts of interest could arise in connection with the negotiation or the resolution of any dispute between us and Penn (or its subsidiaries) regarding the terms of the agreements governing the separation and the relationship (e.g. Penn Master Lease) thereafter. Potential conflicts of interest could also arise if we and Penn enter into any commercial arrangements with each other in the future, including as a result of Penn's proposed acquisition of Pinnacle and the consummation of the transactions contemplated thereby. We have established a mechanism in our Corporate Governance Guidelines to address potential conflicts through the use of an independent director but there can be no</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30"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assurance that this process will completely eliminate conflicts resulting from overlapping directors. In addition to potential conflicts of interest, the overlapping director position could create obstacles to engaging in certain transactions in close proximity to existing Penn properties and there can be no assurance that we will be able to overcome such obstacles.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of GLPI pursuant to the Separation and Distribution Agreement could materially adversely affect GLPI.</w:t>
      </w:r>
    </w:p>
    <w:p>
      <w:pPr>
        <w:spacing w:after="0" w:line="29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Separation and Distribution Agreement between GLPI and Penn provides for, among other things, the principal corporate transactions required to effect the separation, certain conditions to the separation and provisions governing the relationship between GLPI and Penn with respect to, and resulting from the separation.</w:t>
      </w:r>
    </w:p>
    <w:p>
      <w:pPr>
        <w:spacing w:after="0" w:line="235" w:lineRule="exact"/>
        <w:rPr>
          <w:sz w:val="20"/>
          <w:szCs w:val="20"/>
          <w:color w:val="auto"/>
        </w:rPr>
      </w:pPr>
    </w:p>
    <w:p>
      <w:pPr>
        <w:jc w:val="both"/>
        <w:ind w:right="820" w:firstLine="648"/>
        <w:spacing w:after="0" w:line="286" w:lineRule="auto"/>
        <w:rPr>
          <w:sz w:val="20"/>
          <w:szCs w:val="20"/>
          <w:color w:val="auto"/>
        </w:rPr>
      </w:pPr>
      <w:r>
        <w:rPr>
          <w:rFonts w:ascii="Arial" w:cs="Arial" w:eastAsia="Arial" w:hAnsi="Arial"/>
          <w:sz w:val="17"/>
          <w:szCs w:val="17"/>
          <w:color w:val="auto"/>
        </w:rPr>
        <w:t>Among other things, the Separation and Distribution Agreement provides for indemnification obligations designed to make us financially responsible for substantially all liabilities that may result relating to or arising out of our business. If GLPI is required to indemnify Penn under the circumstances set forth in the Separation and Distribution Agreement, GLPI may be subject to substantial liabilities.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Each of Penn and Pinnacle have contractual obligations to indemnify us for certain liabilities. However, there can be no assurance that these indemnities will be sufficient to insure us against the full amount of such liabilities, or that Penn's or Pinnacle’s ability, as applicable, to satisfy its indemnification obligation will not be impaired in the future.</w:t>
      </w:r>
    </w:p>
    <w:p>
      <w:pPr>
        <w:spacing w:after="0" w:line="23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Penn and Pinnacle have contractual obligations to indemnify us for certain liabilities. However, third parties could seek to hold us responsible for any of the liabilities that Penn and Pinnacle agreed to retain, and there can be no assurance that Penn or Pinnacle, as applicable, will be able to fully satisfy its indemnification obligations. Moreover, even if we ultimately succeed in recovering from Penn or Pinnacle, as applicable, any amounts for which we are held liable, we may be temporarily required to bear these losses while seeking recovery from Penn or Pinnacle, as applicable, and such recovery could have a material adverse impact on Penn's or Pinnacle’s financial condition and ability to pay rent due under the Penn Master Lease or the Pinnacle Master Lease, as applicable.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court could deem the distribution to be a fraudulent conveyance and void the transaction or impose substantial liabilities upon us.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court could deem the distribution of GLPI common shares or certain internal restructuring transactions undertaken by Penn in connection with the Spin-Off, or the Purging Distribution by GLPI,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Penn some or all of the shares of our common stock issued in the distribution, to return some of the Purging Distribution to GLPI, or require us to fund liabilities of other companies involved in the restructuring transactions for the benefit of creditors. Whether a transaction is a fraudulent conveyance or transfer will vary depending upon the jurisdiction whose law is being applied.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agreements are not the result of negotiations between unrelated third parties.</w:t>
      </w:r>
    </w:p>
    <w:p>
      <w:pPr>
        <w:spacing w:after="0" w:line="2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agreements that we entered into with Penn in connection with the Spin-Off, including the Separation and Distribution Agreement, Penn Master Lease, Tax Matters Agreement, Employee Matters Agreement and Transition Services Agreement, were negotiated in the context of the Spin-Off while we were still a wholly-owned subsidiary of Penn. Accordingly, during the period in which the terms of those agreements were negotiated, we did not have an independent board of directors or a management team independent of Penn. As a result, although those agreements are generally intended to reflect arm's-length terms, the terms of those agreements may not reflect terms that would have resulted from arm's-length negotiations between unaffiliated third parties. Accordingly, there can be no assurance that the terms of these agreements will be as favorable for GLPI as would have resulted from negotiations with one or more unrelated third parties.</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3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Properties</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of December 31, 2017, the Company had 36 rental properties, consisting of the real property associated with 20 gaming and related facilities operated by Penn, the real property associated with 15 gaming and related facilities operated by Pinnacle and the real property associated with the Casino Queen in East St. Louis, Illinois. All rental properties are subject to long-term triple-net leases. For additional information pertaining to our tenant leases and our rental properties see Item 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Properties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Hollywood Casino Baton Rouge is a dockside riverboat casino located on approximately 20.1 acres, which we own, on the east bank of the Mississippi River in the East Baton Rouge Downtown Development District. The property site serves as the dockside embarkation for Hollywood Casino Baton Rouge and features a two-story building. We also own approximately 4.0 acres of land which features a railroad underpass that provides unimpeded access to the casino property.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Perryville</w:t>
      </w:r>
    </w:p>
    <w:p>
      <w:pPr>
        <w:spacing w:after="0" w:line="14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own 36.4 acres of land in Perryville, Maryland where Hollywood Casino Perryville is located. The property is located directly off Interstate 95 in Cecil County, Maryland just 35 miles northeast of Baltimore and 70 miles from Washington, D.C.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 for further information pertaining to our TRS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corporate headquarters building is located in Wyomissing, Pennsylvania and is owned by the Company.</w:t>
      </w:r>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will be sufficient to cover losses arising from such matters.</w:t>
      </w: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4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Our common stock is quoted on the NASDAQ Global Select Market under the symbol "GLPI." The following table sets forth for the periods indicated the high and low closing prices per share of our common stock as reported on the NASDAQ Global Select Market and cash dividends per share declared and paid for the same periods.</w:t>
      </w:r>
    </w:p>
    <w:p>
      <w:pPr>
        <w:spacing w:after="0" w:line="200" w:lineRule="exact"/>
        <w:rPr>
          <w:sz w:val="20"/>
          <w:szCs w:val="20"/>
          <w:color w:val="auto"/>
        </w:rPr>
      </w:pPr>
    </w:p>
    <w:p>
      <w:pPr>
        <w:spacing w:after="0" w:line="202" w:lineRule="exact"/>
        <w:rPr>
          <w:sz w:val="20"/>
          <w:szCs w:val="20"/>
          <w:color w:val="auto"/>
        </w:rPr>
      </w:pPr>
    </w:p>
    <w:tbl>
      <w:tblPr>
        <w:tblLayout w:type="fixed"/>
        <w:tblInd w:w="206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440" w:type="dxa"/>
            <w:vAlign w:val="bottom"/>
            <w:gridSpan w:val="2"/>
          </w:tcPr>
          <w:p>
            <w:pPr>
              <w:ind w:left="520"/>
              <w:spacing w:after="0"/>
              <w:rPr>
                <w:sz w:val="20"/>
                <w:szCs w:val="20"/>
                <w:color w:val="auto"/>
              </w:rPr>
            </w:pPr>
            <w:r>
              <w:rPr>
                <w:rFonts w:ascii="Arial" w:cs="Arial" w:eastAsia="Arial" w:hAnsi="Arial"/>
                <w:sz w:val="14"/>
                <w:szCs w:val="14"/>
                <w:b w:val="1"/>
                <w:bCs w:val="1"/>
                <w:color w:val="auto"/>
              </w:rPr>
              <w:t>High</w:t>
            </w:r>
          </w:p>
        </w:tc>
        <w:tc>
          <w:tcPr>
            <w:tcW w:w="1440" w:type="dxa"/>
            <w:vAlign w:val="bottom"/>
            <w:gridSpan w:val="2"/>
          </w:tcPr>
          <w:p>
            <w:pPr>
              <w:ind w:left="520"/>
              <w:spacing w:after="0"/>
              <w:rPr>
                <w:sz w:val="20"/>
                <w:szCs w:val="20"/>
                <w:color w:val="auto"/>
              </w:rPr>
            </w:pPr>
            <w:r>
              <w:rPr>
                <w:rFonts w:ascii="Arial" w:cs="Arial" w:eastAsia="Arial" w:hAnsi="Arial"/>
                <w:sz w:val="14"/>
                <w:szCs w:val="14"/>
                <w:b w:val="1"/>
                <w:bCs w:val="1"/>
                <w:color w:val="auto"/>
              </w:rPr>
              <w:t>Low</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w w:val="95"/>
              </w:rPr>
              <w:t>Dividends per Share</w:t>
            </w:r>
          </w:p>
        </w:tc>
      </w:tr>
      <w:tr>
        <w:trPr>
          <w:trHeight w:val="237"/>
        </w:trPr>
        <w:tc>
          <w:tcPr>
            <w:tcW w:w="3100" w:type="dxa"/>
            <w:vAlign w:val="bottom"/>
          </w:tcPr>
          <w:p>
            <w:pPr>
              <w:jc w:val="right"/>
              <w:ind w:right="2679"/>
              <w:spacing w:after="0"/>
              <w:rPr>
                <w:sz w:val="20"/>
                <w:szCs w:val="20"/>
                <w:color w:val="auto"/>
              </w:rPr>
            </w:pPr>
            <w:r>
              <w:rPr>
                <w:rFonts w:ascii="Arial" w:cs="Arial" w:eastAsia="Arial" w:hAnsi="Arial"/>
                <w:sz w:val="16"/>
                <w:szCs w:val="16"/>
                <w:b w:val="1"/>
                <w:bCs w:val="1"/>
                <w:color w:val="auto"/>
                <w:w w:val="89"/>
              </w:rPr>
              <w:t>2017</w:t>
            </w: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bl>
    <w:p>
      <w:pPr>
        <w:spacing w:after="0" w:line="13" w:lineRule="exact"/>
        <w:rPr>
          <w:sz w:val="20"/>
          <w:szCs w:val="20"/>
          <w:color w:val="auto"/>
        </w:rPr>
      </w:pPr>
    </w:p>
    <w:tbl>
      <w:tblPr>
        <w:tblLayout w:type="fixed"/>
        <w:tblInd w:w="2040" w:type="dxa"/>
        <w:tblCellMar>
          <w:top w:w="0" w:type="dxa"/>
          <w:left w:w="0" w:type="dxa"/>
          <w:bottom w:w="0" w:type="dxa"/>
          <w:right w:w="0" w:type="dxa"/>
        </w:tblCellMar>
      </w:tblPr>
      <w:tr>
        <w:trPr>
          <w:trHeight w:val="264"/>
        </w:trPr>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580" w:type="dxa"/>
            <w:vAlign w:val="bottom"/>
            <w:tcBorders>
              <w:top w:val="single" w:sz="8" w:color="CCEEFF"/>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w:t>
            </w:r>
          </w:p>
        </w:tc>
        <w:tc>
          <w:tcPr>
            <w:tcW w:w="560" w:type="dxa"/>
            <w:vAlign w:val="bottom"/>
            <w:tcBorders>
              <w:top w:val="single" w:sz="8" w:color="CCEEFF"/>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30.27</w:t>
            </w:r>
          </w:p>
        </w:tc>
        <w:tc>
          <w:tcPr>
            <w:tcW w:w="620" w:type="dxa"/>
            <w:vAlign w:val="bottom"/>
            <w:tcBorders>
              <w:top w:val="single" w:sz="8" w:color="CCEEFF"/>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38.53</w:t>
            </w:r>
          </w:p>
        </w:tc>
        <w:tc>
          <w:tcPr>
            <w:tcW w:w="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7"/>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w:t>
            </w: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37.20</w:t>
            </w:r>
          </w:p>
        </w:tc>
        <w:tc>
          <w:tcPr>
            <w:tcW w:w="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35.54</w:t>
            </w: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37"/>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24.82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7"/>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35.89</w:t>
            </w:r>
          </w:p>
        </w:tc>
        <w:tc>
          <w:tcPr>
            <w:tcW w:w="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32.42</w:t>
            </w: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7"/>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33.17</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6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7"/>
        </w:trPr>
        <w:tc>
          <w:tcPr>
            <w:tcW w:w="3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closing sale price per share of our common stock on the NASDAQ Global Select Market on February 12, 2018 was $33.31. As of February 12, 2018, there were approximately 691 holders of record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87"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On February 1, 2018, the Company declared a regular quarterly cash dividend of $0.63 per share, which is payable on March 23, 2018 to shareholders of record as of March 9, 2018. Cash available for distribution to GLPI shareholders is derived from the rental payments received under the Company's real estate leases and the income of the TRS Properties.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13 to the consolidated financial statements for further details on dividends.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30"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83"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following selected consolidated financial and operating data for the five-year period ended December 31, 2017 is derived from our consolidated financial statements. The selected consolidated financial and operating data should be read in conjunction with our consolidated financial statements and notes thereto, "Management's Discussion and Analysis of Financial Condition and Results of Operations" and the other financial information included herein.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(3)</w:t>
            </w: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1"/>
              </w:rPr>
              <w:t>(in thousands, except per share data)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971,307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828,255</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575,053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591,068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235,452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365,789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347,632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181,547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605,518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480,623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257,415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258,506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53,905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215,133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390,385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296,850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135,564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143,920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30,449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15,596</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380,598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289,305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128,122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138,807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14,853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shares outstanding - Basic</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210,705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178,594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114,432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112,037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110,617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514,370</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(3,218,616)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(317,319)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(16,275)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2,698,927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(205,188)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123,835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115,717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109,783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106,843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28,923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Collections of principal payments on investment in direct</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financing lease</w:t>
            </w:r>
          </w:p>
        </w:tc>
        <w:tc>
          <w:tcPr>
            <w:tcW w:w="2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19,254</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19,102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142,769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16,428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36,556</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41,875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35,973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285,221</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3,662,045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3,739,091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2,090,059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2,180,124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2,010,303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direct financing lease, net</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2,637,639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2,710,711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7,246,882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7,369,330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2,448,155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2,525,454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2,562,362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4,442,880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4,664,965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2,510,341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87"/>
              </w:rPr>
              <w:t>2,570,361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2,303,123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2,433,869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(176,290)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Property Data:</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rental properties owned at year end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Rentable square feet at year end</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00" w:hanging="652"/>
        <w:spacing w:after="0" w:line="268"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In April 2016, the Company purchased substantially all of the real property assets of Pinnacle for approximately $4.8 billion. The purchase of these assets, which were subsequently leased back to Pinnacle under a triple-net lease and financed through a combination of debt and equity, contributed to the Company's significant growth in asset base as well as improved financial performance during fiscal years 2017 and 2016. To a lesser extent, the purchase of the real property assets of the Meadows for $323.3 million in September 2016, (which were also subsequently leased to</w:t>
      </w:r>
    </w:p>
    <w:p>
      <w:pPr>
        <w:sectPr>
          <w:pgSz w:w="11900" w:h="16838" w:orient="portrait"/>
          <w:cols w:equalWidth="0" w:num="1">
            <w:col w:w="11400"/>
          </w:cols>
          <w:pgMar w:left="240" w:top="130"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30" w:right="25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right="100"/>
        <w:spacing w:after="0" w:line="306" w:lineRule="auto"/>
        <w:rPr>
          <w:sz w:val="20"/>
          <w:szCs w:val="20"/>
          <w:color w:val="auto"/>
        </w:rPr>
      </w:pPr>
      <w:r>
        <w:rPr>
          <w:rFonts w:ascii="Arial" w:cs="Arial" w:eastAsia="Arial" w:hAnsi="Arial"/>
          <w:sz w:val="18"/>
          <w:szCs w:val="18"/>
          <w:color w:val="auto"/>
        </w:rPr>
        <w:t>Pinnacle) also contributed to the Company's improved operating results during fiscal years 2017 and 2016. Finally, the purchase of the real property assets of Bally's Casino Tunica and Resorts Casino Tunica for $82.9 million in May 2017 (leased to Penn) contributed slightly to the Company's increase in net revenues for fiscal year 2017. See Note 4 to the Consolidated Financial Statements for additional information on the Company's acquisitions.</w:t>
      </w:r>
    </w:p>
    <w:p>
      <w:pPr>
        <w:spacing w:after="0" w:line="160" w:lineRule="exact"/>
        <w:rPr>
          <w:sz w:val="20"/>
          <w:szCs w:val="20"/>
          <w:color w:val="auto"/>
        </w:rPr>
      </w:pPr>
    </w:p>
    <w:p>
      <w:pPr>
        <w:ind w:left="660" w:right="280" w:hanging="652"/>
        <w:spacing w:after="0" w:line="252"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 higher level of capital expenditures in 2014 was primarily due to the construction of Hollywood Gaming at Dayton Raceway and Hollywood Gaming at Mahoning Valley Race Course which opened to the public on August 28, 2014 and September 17, 2014, respectively.</w:t>
      </w:r>
    </w:p>
    <w:p>
      <w:pPr>
        <w:spacing w:after="0" w:line="189" w:lineRule="exact"/>
        <w:rPr>
          <w:rFonts w:ascii="Arial" w:cs="Arial" w:eastAsia="Arial" w:hAnsi="Arial"/>
          <w:sz w:val="22"/>
          <w:szCs w:val="22"/>
          <w:color w:val="auto"/>
          <w:vertAlign w:val="superscript"/>
        </w:rPr>
      </w:pPr>
    </w:p>
    <w:p>
      <w:pPr>
        <w:ind w:left="660" w:right="400" w:hanging="652"/>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The Company's 2013 fiscal year reflects a partial year of operations for the GLP Capital operating segment as GLPI was spun-off from Penn on November 1, 2013. See Note 1 to the Consolidated Financial Statements for additional details.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 See Note 4 to the Consolidated Financial Statements for further details surrounding the Pinnacle acquisition.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December 31,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contain approximately 15.2 million of rentable square feet. As of December 31, 2017, our properties were 100% occupied.</w:t>
      </w:r>
    </w:p>
    <w:p>
      <w:pPr>
        <w:spacing w:after="0" w:line="9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expect to grow our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from Penn and Pinnacle, respectively. We will acquire these properties in connection with the proposed acquisition of Pinnacle by Penn pursuant to a definitive agreement and plan of merger between them, also dated December 17, 2017.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and to enter into a new master lease agreement with Boyd on terms similar to the Company’s existing leases. The transaction is expected to add additional annual rental revenue of approximately $46 million upon closing. The transaction which is subject to regulatory approval is expected to close in the second half of 2018.</w:t>
      </w:r>
    </w:p>
    <w:p>
      <w:pPr>
        <w:spacing w:after="0" w:line="8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w:t>
      </w:r>
    </w:p>
    <w:p>
      <w:pPr>
        <w:spacing w:after="0" w:line="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2017, the majority of our earnings are the result of the rental revenues we receive from our triple-net Master Leases with Penn and Pinnacle. Additionally, we have rental revenue from the Casino Queen property which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leased back to a third 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in accordance with ASC 605, we record revenue for the real estate taxes paid by our tenants on the leased properties with an offsetting expense in general and administrative expense within the consolidated statement of income, as we believe we are the primary obligor. Similarly, we record revenue for the ground lease rent paid by our tenants with an offsetting expense in general and administrative expense within the consolidated statement of income as we have concluded that as the lessee we are the primary obligor under the ground leases. We sublease these ground leases back to our tenants, who are responsible for payment directly to the landlord.</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Gaming revenue generated by our TRS Properties is derived primarily from video lottery gaming revenue and to a lesser extent, table game and poker revenue, which is highly dependent upon the volume and spending levels of customers at our TRS Properties. Other revenues at our TRS Properties are derived from dining, retail, and certain other ancillary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will contribute significantly to our success: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Property Portfolio</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our portfolio consisted of 38 gaming and related facilities. Our portfolio comprises approximately 15.4 million of property square footage and over 5,200 acres of owned and leased land and is broadly diversified by location across 14 states. Our geographic diversification will limit the effect of a decline in any one regional market on our overall performance.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Tenants</w:t>
      </w:r>
    </w:p>
    <w:p>
      <w:pPr>
        <w:spacing w:after="0" w:line="27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December 31, 2017, substantially all of the Company's real estate properties were leased to Penn or Pinnacle and approximately 53% and 45% of the Company's collective rental revenues and income from direct financing lease were derived from tenant leases with Penn and Pinnacle, respectively. Penn and Pinnacle are both leading, diversified, multi-jurisdictional owners and managers of gaming and pari-mutuel properties and established gaming providers with strong financial performance. Penn and Pinnacle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Readers are directed to Penn and Pinnacle's respective websites for further financial information on these companies. As disclosed above, Penn has entered into an agreement to acquire Pinnacle and we expect that transaction to close in the second half of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2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taxes levied on or with respect to the leased properties and all utilities and other services necessary or appropriate for the leased properties and the business conducted on the leased properties.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UPREIT Structure</w:t>
      </w:r>
    </w:p>
    <w:p>
      <w:pPr>
        <w:spacing w:after="0" w:line="2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the flexibility to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and Committed Management Team</w:t>
      </w:r>
    </w:p>
    <w:p>
      <w:pPr>
        <w:spacing w:after="0" w:line="27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Although our management team has limited experience in operating a REIT, it has extensive gaming and real estate experience. Peter M. Carlino, chief executive officer of GLPI, has more than 30 years of experience in the acquisition and development of gaming facilities and other real estate projects. William J. Clifford, chief financial officer of GLPI, is a finance professional with more than 30 years of experience in the gaming industry, including four years of gaming regulatory experience, sixteen years of casino property operations, and sixteen years of corporate experience. Through years of public company experience, our management team also has extensive experience accessing both debt and equity capital markets to fund growth and maintain a flexible capital structure.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reported net revenues and income from operations of $971.3 million and $605.5 million, respectively, for the year ended December 31, 2017, compared to $828.3 million and $480.6 million, respectively, for the year ended December 31, 2016. The major factors affecting our results for the year ended December 31, 2017, as compared to the year ended December 31, 2016, were:</w:t>
      </w:r>
    </w:p>
    <w:p>
      <w:pPr>
        <w:spacing w:after="0" w:line="181"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April 2016, we acquired substantially all of Pinnacle's real estate assets. These assets are leased back to Pinnacle under a Master Lease which is bifurcated between an operating lease and a direct financing lease, resulting in the recognition of rental income for the land assets leased to Pinnacle and income from a direct financing lease for the building assets leased to Pinnacle. Additionally, during September 2016, we acquired the real estate assets of the Meadows and leased these assets to Pinnacle under a single property triple-net lease and during May of 2017, we acquired the real estate assets of Bally's Casino Tunica (subsequently re-branded as the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Jackpot Casino) and Resorts Casino Tunica (the "Tunica Properties") and leased these assets to Penn under the Penn Master Lease. Rental revenue and income from the direct financing lease were $829.2 million and $684.2 million for the years ended December 31, 2017 and 2016, respectively. Rental revenue and income from the direct financing lease increased by $145.0 million for the year ended December 31, 2017, as compared to the year ended December 31, 2016, primarily due to the Pinnacle transaction, which increased rental income, income from the direct financing lease and revenue recorded for real estate taxes paid by our tenants and the Tunica and Meadows transactions, which increased both rental income and revenue recorded for real estate taxes paid by our tenants.</w:t>
      </w:r>
    </w:p>
    <w:p>
      <w:pPr>
        <w:spacing w:after="0" w:line="173"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revenues for our TRS Properties decreased by $2.0 million for the year ended December 31, 2017, as compared to the prior year, due to decreased revenues at both Hollywood Casino Baton Rouge and Hollywood Casino Perryville. The largest driver of the decrease resulted from lower revenues at Hollywood Casino Perryville, related to the outsourcing of its food and beverage outlets to a third party provider during the first quarter of 2017.</w:t>
      </w:r>
    </w:p>
    <w:p>
      <w:pPr>
        <w:spacing w:after="0" w:line="18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operating expenses increased by $18.2 million for the year ended December 31, 2017, as compared to the prior year, driven by increases in real estate taxes, primarily as a result of the addition of the Pinnacle and Meadows properties to our real estate portfolio and land right and ground rent lease expense, primarily related to the land rights acquired with the Pinnacle and Tunica transactions, partially offset by a decline in general and administrative expenses.</w:t>
      </w:r>
    </w:p>
    <w:p>
      <w:pPr>
        <w:spacing w:after="0" w:line="18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expenses, net increased by $31.4 million for the year ended December 31, 2017, as compared to the prior year, driven by increases in interest expense from the Company's April 2016 borrowings, which were utilized to finance the Pinnacle transaction.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increased by $91.3 million for the year ended December 31, 2017, compared to the prior year, primarily due to the variances explained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660" w:right="1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1, 2017, the Company purchased the real property assets of Bally's Casino Tunica and Resorts Casino Tunica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86"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9, 2016, the Company purchased the real property assets of the Meadows from Cannery Casino Resorts, LLC. Concurrent with the Company's purchase of the Meadows' real estate assets, Pinnacle purchased the entities holding the Meadows gaming and racing licenses and operating assets directly from CCR. GLPI leases the Meadows real property assets to Pinnacle under a triple-net lease separate from the Pinnacle Master Lease with an initial term of 10 years with no purchase option and the option to renew for three successive five-year terms and one four-year term, at Pinnacle's option.</w:t>
      </w:r>
    </w:p>
    <w:p>
      <w:pPr>
        <w:spacing w:after="0" w:line="188" w:lineRule="exact"/>
        <w:rPr>
          <w:rFonts w:ascii="Arial" w:cs="Arial" w:eastAsia="Arial" w:hAnsi="Arial"/>
          <w:sz w:val="18"/>
          <w:szCs w:val="18"/>
          <w:color w:val="auto"/>
        </w:rPr>
      </w:pPr>
    </w:p>
    <w:p>
      <w:pPr>
        <w:jc w:val="both"/>
        <w:ind w:left="660" w:right="320" w:hanging="328"/>
        <w:spacing w:after="0" w:line="31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April 28,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 The Pinnacle Master Lease added 14 properties to our real estate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660" w:right="32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During the first quarter of 2017, Hollywood Casino Perryville outsourced the operation of its food and beverage outlets to a third party provider. Employees of these outlets are now employees of the third party; therefore both Hollywood Casino Perryville's revenues and expenses related to food and beverage decreased during the year ended December 31, 2017, as compared to the prior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real estate investments, and goodwill and other intangible assets as critical accounting estimates, as they are the most important to our financial statement presentation and require difficult, subjective and complex judgments.</w:t>
      </w:r>
    </w:p>
    <w:p>
      <w:pPr>
        <w:spacing w:after="0" w:line="24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 REIT, the majority of our revenues are derived from rent received from our tenants under long-term triple-net leases. Currently, we have Master Leases with both Penn and Pinnacle under which we lease 20 and 14 properties, respectively, to these tenants. We also have a long-term lease with Casino Queen and a separate single property lease by which we lease the Meadows' real estate assets to Pinnacle. The accounting guidance under ASC 840 - Leases ("ASC 840") is complex and requires the use of judgments and assumptions by management to determine the proper accounting treatment of a lease. We perform a lease classification test upon the entry into any new lease, to determine if we will account for the lease as a capital or operating lease. The revenue recognition model and thus the presentation of our financial statements is significantly different under capital leases and operating leases.</w:t>
      </w:r>
    </w:p>
    <w:p>
      <w:pPr>
        <w:spacing w:after="0" w:line="16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Under the operating lease model, as the lessor, the assets we lease remain on our books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30" w:right="27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 Recognition of rental income commences when control of the facility has been transferred to the tenant. Under operating lease treatment, assets we own and lease to tenants are recorded on our consolidated balance sheet as real estate investments.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direct financing lease model, however, at lease inception we record an investment in direct financing lease on our consolidated balance sheet rather than recording the actual assets we own and the cash rent we receive from tenants is not entirely recorded as rental revenue, but rather a portion is recorded as interest income and a portion is recorded as a reduction to the direct financing lease receivable. Under ASC 840, for leases of both building and land, leases may be bifurcated between operating and capital leases, with the land portion of the lease typically qualifying for operating lease treatment. To determine if the building portion of a lease triggers capital lease treatment we conduct the four lease tests in ASC 840 outlined below. If a lease meets any of the four criteria below, it is accounted for as a capital lease.</w:t>
      </w:r>
    </w:p>
    <w:p>
      <w:pPr>
        <w:spacing w:after="0" w:line="174" w:lineRule="exact"/>
        <w:rPr>
          <w:sz w:val="20"/>
          <w:szCs w:val="20"/>
          <w:color w:val="auto"/>
        </w:rPr>
      </w:pPr>
    </w:p>
    <w:p>
      <w:pPr>
        <w:ind w:right="160"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Transfer of ownership - </w:t>
      </w:r>
      <w:r>
        <w:rPr>
          <w:rFonts w:ascii="Arial" w:cs="Arial" w:eastAsia="Arial" w:hAnsi="Arial"/>
          <w:sz w:val="18"/>
          <w:szCs w:val="18"/>
          <w:color w:val="auto"/>
        </w:rPr>
        <w:t>The lease transfers ownership of the property to the lessee by the end of the lease term. This criterion is met in situations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lease agreement provides for the transfer of title at or shortly after the end of the lease term in exchange for the payment of a nominal fee, for example, the minimum required by statutory regulation to transfer title.</w:t>
      </w:r>
    </w:p>
    <w:p>
      <w:pPr>
        <w:spacing w:after="0" w:line="176" w:lineRule="exact"/>
        <w:rPr>
          <w:rFonts w:ascii="Arial" w:cs="Arial" w:eastAsia="Arial" w:hAnsi="Arial"/>
          <w:sz w:val="18"/>
          <w:szCs w:val="18"/>
          <w:color w:val="auto"/>
        </w:rPr>
      </w:pPr>
    </w:p>
    <w:p>
      <w:pPr>
        <w:jc w:val="both"/>
        <w:ind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Bargain purchase option </w:t>
      </w:r>
      <w:r>
        <w:rPr>
          <w:rFonts w:ascii="Arial" w:cs="Arial" w:eastAsia="Arial" w:hAnsi="Arial"/>
          <w:sz w:val="18"/>
          <w:szCs w:val="18"/>
          <w:color w:val="auto"/>
        </w:rPr>
        <w:t>- The lease contains a bargain purchase option, which is a provision allowing the lessee, at its option, to purchase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for a price which is sufficiently lower than the expected fair value of the property at the date the option becomes exercisable. In addition, the exercise of the option must be reasonably assured at lease inception.</w:t>
      </w:r>
    </w:p>
    <w:p>
      <w:pPr>
        <w:spacing w:after="0" w:line="176" w:lineRule="exact"/>
        <w:rPr>
          <w:rFonts w:ascii="Arial" w:cs="Arial" w:eastAsia="Arial" w:hAnsi="Arial"/>
          <w:sz w:val="18"/>
          <w:szCs w:val="18"/>
          <w:color w:val="auto"/>
        </w:rPr>
      </w:pPr>
    </w:p>
    <w:p>
      <w:pPr>
        <w:ind w:right="220"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Lease term </w:t>
      </w:r>
      <w:r>
        <w:rPr>
          <w:rFonts w:ascii="Arial" w:cs="Arial" w:eastAsia="Arial" w:hAnsi="Arial"/>
          <w:sz w:val="18"/>
          <w:szCs w:val="18"/>
          <w:color w:val="auto"/>
        </w:rPr>
        <w:t>- The lease term is equal to 75 percent or more of the estimated economic life of the leased property. However, if the beginning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term falls within the last 25 percent of the total estimated economic life of the leased property, including earlier years of use, this criterion shall not be used for purposes of classifying the lease. This test is conducted on a property by property basis.</w:t>
      </w:r>
    </w:p>
    <w:p>
      <w:pPr>
        <w:spacing w:after="0" w:line="176" w:lineRule="exact"/>
        <w:rPr>
          <w:rFonts w:ascii="Arial" w:cs="Arial" w:eastAsia="Arial" w:hAnsi="Arial"/>
          <w:sz w:val="18"/>
          <w:szCs w:val="18"/>
          <w:color w:val="auto"/>
        </w:rPr>
      </w:pPr>
    </w:p>
    <w:p>
      <w:pPr>
        <w:ind w:right="20" w:firstLine="332"/>
        <w:spacing w:after="0" w:line="277" w:lineRule="auto"/>
        <w:tabs>
          <w:tab w:leader="none" w:pos="51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Minimum lease payments </w:t>
      </w:r>
      <w:r>
        <w:rPr>
          <w:rFonts w:ascii="Arial" w:cs="Arial" w:eastAsia="Arial" w:hAnsi="Arial"/>
          <w:sz w:val="17"/>
          <w:szCs w:val="17"/>
          <w:color w:val="auto"/>
        </w:rPr>
        <w:t>- The present value of the minimum lease payments at the beginning of the lease term, excluding that portion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representing executory costs such as insurance, maintenance, and taxes to be paid by the lessor, including any profit thereon, equals or exceeds 90% of the fair value of the leased property to the lessor at lease inception less any related investment tax credit retained by the lessor and expected to be realized by the lessor. If the beginning of the lease term falls within the last 25% of the total estimated economic life of the leased property, including earlier years of use, this criterion shall not be used for purposes of classifying the lease.</w:t>
      </w:r>
    </w:p>
    <w:p>
      <w:pPr>
        <w:spacing w:after="0" w:line="17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tests outlined above, as well as the resulting calculations, require subjective judgments, such as determining, at lease inception, the fair value of the assets, the residual value of the assets at the end of the lease term, the likelihood a tenant will exercise all renewal options (in order to determine the lease term), the estimated remaining economic life of the leased assets, the incremental borrowing rate of the lessee and the interest rate implicit in the lease. A slight change in estimate or judgment can result in a materially different financial statement presentation.</w:t>
      </w:r>
    </w:p>
    <w:p>
      <w:pPr>
        <w:spacing w:after="0" w:line="171"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Our net investment in the direct financing lease is evaluated for impairment as necessary, if indicators of impairment are present, to determine if there has been an-other-than-temporary decline in the residual value of the property or a change in the lessee's credit worthiness.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meet the various other requirements imposed by the Code relating to matters such as operating results, asset holdings, distribution levels, and diversity of stock ownership.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22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TRS Properties are able to engage in activities resulting in income that would be not qualifying income for a REIT. As a result, certain activities of the Company which occur within our TRS Properties are subject to federal and state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Investments</w:t>
      </w:r>
    </w:p>
    <w:p>
      <w:pPr>
        <w:spacing w:after="0" w:line="2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Additionally, the amortization of real estate assets subject to capital leases (for which GLPI is the lessee) is included within the depreciation line item of the Company's consolidated statements of income.</w:t>
      </w:r>
    </w:p>
    <w:p>
      <w:pPr>
        <w:spacing w:after="0" w:line="23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continually monitor events and circumstances that could indicate that the carrying amount of our real estate investments may not be recoverable or realized. When indicators of potential impairment suggest that the carrying value of a real estate investment may not be recoverable, we estimate the fair value of the investment by calculating the undiscounted future cash flows from the use and eventual disposition of the investment. This amount is compared to the asset's carrying value. If we determine the carrying amount is not recoverable, we would recognize an impairment charge equivalent to the amount required to reduce the carrying value of the asset to its estimated fair value, calculated in accordance with GAAP. We group our real estate investments together by lease,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December 31, 2017, we had $75.5 million in goodwill and $9.6 million in other intangible assets within our consolidated balance sheet, resulting from the contribution of Hollywood Casino Baton Rouge and Hollywood Casino Perryville in connection with the Spin-Off. Our goodwill resides on the books of our Hollywood Casino Baton Rouge subsidiary, while the other intangible asset represents a gaming license on the books of our Hollywood Casino Perryville subsidiary. Both subsidiaries are members of the TRS Properties segment and are considered separate reporting units under ASC 350, "Intangibles - Goodwill and Other" ("ASC 350"). Goodwill is tested at the reporting unit level, which is an operating segment or one level below an operating segment for which discrete financial information is available.</w:t>
      </w:r>
    </w:p>
    <w:p>
      <w:pPr>
        <w:spacing w:after="0" w:line="247"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Under ASC 350, we are required to test goodwill for impairment at least annually and whenever events or circumstances indicate that it is more likely than not that goodwill may be impaired. We have elected to perform our annual goodwill impairment test as of October 1 of each year. ASC 350 prescribes a two-step goodwill impairment test, the first step which involves the determination of the fair value of each reporting unit and its comparison to the carrying amount. In order to determine the fair value of the Baton Rouge reporting unit, the Company utilized a discounted cash flow model, which relied on projected EBITDA to determine the reporting unit's future cash flows. If the carrying amount exceeds the fair value in step 1, then step 2 of the impairment test is performed to determine the implied value of goodwill. If the implied value of goodwill is less than the goodwill allocated to the reporting unit, an impairment loss is recognized.</w:t>
      </w:r>
    </w:p>
    <w:p>
      <w:pPr>
        <w:spacing w:after="0" w:line="24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accordance with ASC 350, we consider the Hollywood Casino Perryville gaming license an indefinite-lived intangible asset that does not require amortization based on our future expectations to operate this casino indefinitely as well as the gaming industry's historical experience in renewing these intangible assets at minimal cost with various state gaming commissions. Rather, the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We expect to expense any costs related to the gaming license renewal as incurred.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assessed the fair value of our gaming license using the Greenfield Method under the income approach. The Greenfield Method estimates the fair value of the gaming license assuming we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20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Projected revenues and operating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Theoretical construction costs and duration;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Pre-opening expenses;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Remaining useful life of the license.</w:t>
      </w:r>
    </w:p>
    <w:p>
      <w:pPr>
        <w:spacing w:after="0" w:line="27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evaluation of goodwill and indefinite-lived intangible assets requires the use of estimates about future operating results to determine the estimated fair value of the reporting unit and the indefinite-lived intangible assets. We must make various assumptions and estimates in performing our impairment testing. The implied fair value includes estimates of future cash flows that are based on reasonable and supportable assumptions which represent our best estimates of the cash flows expected to result from the use of the assets. Changes in estimates, increases in our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our estimates. If our ongoing estimates of future cash flows are not met, we may have to record additional impairment charges in future accounting periods. Our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23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Forecasted cash flows can be significantly impacted by the local economy in which our subsidiaries operate. For example, increases in unemployment rates can result in decreased customer visitations and/or lower customer spend per visit. In addition, new legislation which approves gaming in nearby jurisdictions or further expands gaming in jurisdictions in which we operate can result in increased competition for the property. This generally has a negative effect on profitability once competitors become established, as a certain level of cannibalization occurs absent an overall increase in customer visitations. Lastly, increases in gaming taxes approved by state regulatory bodies can negatively impact forecasted cash flows.</w:t>
      </w: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our business strategy, which may reallocate capital and resources to different or new opportunities which management believes will enhance our overall value but may be to the detriment of our existing operations.</w:t>
      </w: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determined the fair value of our goodwill and gaming license as of October 1, 2017 utilizing the forecasted cash flow methods described above and compared these values to the carrying value of the assets on our balance sheet. In determining the fair value of each asset, we incorporated recent operating trends of both TRS properties into our current year projections. After consideration of these facts, the fair value of both assets exceeded their carrying amounts, and as of October 1, 2017, our goodwill and gaming license were not impaired.</w:t>
      </w:r>
    </w:p>
    <w:p>
      <w:pPr>
        <w:spacing w:after="0" w:line="24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As discussed in Note 2 to the Consolidated Financial Statements, the FASB recently issued ASU 2017-04, </w:t>
      </w:r>
      <w:r>
        <w:rPr>
          <w:rFonts w:ascii="Arial" w:cs="Arial" w:eastAsia="Arial" w:hAnsi="Arial"/>
          <w:sz w:val="17"/>
          <w:szCs w:val="17"/>
          <w:i w:val="1"/>
          <w:iCs w:val="1"/>
          <w:color w:val="auto"/>
        </w:rPr>
        <w:t>Intangibles - 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which simplifies the goodwill impairment test for public companies by eliminating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Step 2 from the test. Upon the adoption of ASU 2017-04, an impairment charge is simply recorded as the difference between the carrying value and fair value of a reporting unit's goodwill, when the carrying value exceeds fair value. See Note 2 to the Consolidated Financial Statements for further details on the new standard. The Company does not expect the adoption of ASU 2017-04 to significantly impact its goodwill impairment testing, as it has not recognized an impairment charge for goodwill or intangible assets since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most important factors and trends that contribute or may contribute to our operating performance:</w:t>
      </w:r>
    </w:p>
    <w:p>
      <w:pPr>
        <w:spacing w:after="0" w:line="225"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a wholly-owned subsidiary of Penn and a wholly-owned subsidiary of Pinnacle lease substantially all of our properties, pursuant to their respective Master Leases, and account for a significant portion of our revenue.</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years ended December 31, 2017, 2016 and 2015 are summarized below:</w:t>
      </w:r>
    </w:p>
    <w:p>
      <w:pPr>
        <w:spacing w:after="0" w:line="200" w:lineRule="exact"/>
        <w:rPr>
          <w:sz w:val="20"/>
          <w:szCs w:val="20"/>
          <w:color w:val="auto"/>
        </w:rPr>
      </w:pPr>
    </w:p>
    <w:p>
      <w:pPr>
        <w:spacing w:after="0" w:line="24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Rental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392,075</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35,050</w:t>
            </w:r>
          </w:p>
        </w:tc>
      </w:tr>
      <w:tr>
        <w:trPr>
          <w:trHeight w:val="237"/>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Total rental revenue and income from direct financing lease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829,221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684,204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427,125</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153,523</w:t>
            </w:r>
          </w:p>
        </w:tc>
      </w:tr>
      <w:tr>
        <w:trPr>
          <w:trHeight w:val="237"/>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976,087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833,865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580,648</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r>
      <w:tr>
        <w:trPr>
          <w:trHeight w:val="237"/>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971,307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828,255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575,053</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85,774</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36,412</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14,799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2,812</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82,857</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109,783</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317,638</w:t>
            </w:r>
          </w:p>
        </w:tc>
      </w:tr>
      <w:tr>
        <w:trPr>
          <w:trHeight w:val="257"/>
        </w:trPr>
        <w:tc>
          <w:tcPr>
            <w:tcW w:w="20" w:type="dxa"/>
            <w:vAlign w:val="bottom"/>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605,518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480,623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257,415</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years ended December 31, 2017, 2016 and 2015 is summarized below:</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Income from Operations</w:t>
            </w:r>
          </w:p>
        </w:tc>
        <w:tc>
          <w:tcPr>
            <w:tcW w:w="780" w:type="dxa"/>
            <w:vAlign w:val="bottom"/>
            <w:tcBorders>
              <w:bottom w:val="single" w:sz="8" w:color="auto"/>
            </w:tcBorders>
          </w:tcPr>
          <w:p>
            <w:pPr>
              <w:spacing w:after="0"/>
              <w:rPr>
                <w:sz w:val="16"/>
                <w:szCs w:val="16"/>
                <w:color w:val="auto"/>
              </w:rPr>
            </w:pPr>
          </w:p>
        </w:tc>
      </w:tr>
      <w:tr>
        <w:trPr>
          <w:trHeight w:val="229"/>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9"/>
                <w:szCs w:val="19"/>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6"/>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427,125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232,701</w:t>
            </w: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TRS Properties</w:t>
            </w:r>
          </w:p>
        </w:tc>
        <w:tc>
          <w:tcPr>
            <w:tcW w:w="260" w:type="dxa"/>
            <w:vAlign w:val="bottom"/>
          </w:tcPr>
          <w:p>
            <w:pPr>
              <w:spacing w:after="0"/>
              <w:rPr>
                <w:sz w:val="21"/>
                <w:szCs w:val="21"/>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144,051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147,928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24,714</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575,053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480,623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257,415</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FFO, AFFO and Adjusted EBITDA</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w:t>
      </w:r>
    </w:p>
    <w:p>
      <w:pPr>
        <w:sectPr>
          <w:pgSz w:w="11900" w:h="16838" w:orient="portrait"/>
          <w:cols w:equalWidth="0" w:num="1">
            <w:col w:w="11420"/>
          </w:cols>
          <w:pgMar w:left="240" w:top="13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debt issuance costs amortization, other depreciation, amortization of land rights, straight-line rent adjustments and direct financing lease adjustments,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and the amortization of land rights.</w:t>
      </w:r>
    </w:p>
    <w:p>
      <w:pPr>
        <w:spacing w:after="0" w:line="16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years ended December 31, 2017, 2016 and 2015 is as follows: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380,598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289,305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128,122</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Losses (gains) from dispositions of property</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95,511</w:t>
            </w: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481,704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384,924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223,818</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55,825</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73,072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14,272</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Amortization of land rights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debt issuance costs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14,016</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16,811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669,490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542,120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321,789</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net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121,851</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7,442</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r>
      <w:tr>
        <w:trPr>
          <w:trHeight w:val="270"/>
        </w:trPr>
        <w:tc>
          <w:tcPr>
            <w:tcW w:w="60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Amortization of debt issuance costs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(14,016)</w:t>
            </w:r>
          </w:p>
        </w:tc>
      </w:tr>
      <w:tr>
        <w:trPr>
          <w:trHeight w:val="257"/>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884,562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721,403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440,019</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Such amortization is a non-cash component included in interest, net.</w:t>
      </w:r>
    </w:p>
    <w:p>
      <w:pPr>
        <w:sectPr>
          <w:pgSz w:w="11900" w:h="16838" w:orient="portrait"/>
          <w:cols w:equalWidth="0" w:num="1">
            <w:col w:w="11320"/>
          </w:cols>
          <w:pgMar w:left="2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20"/>
          </w:cols>
          <w:pgMar w:left="240" w:top="130"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years ended December 31, 2017, 2016 and 2015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GLP Capital</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TRS Properties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29"/>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372,832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280,295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119,914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8,208</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(Gains) losses from dispositions of property</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100,576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8"/>
              </w:rPr>
              <w:t>473,408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375,898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215,577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8,296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9,026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8,241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73,072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12,359</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Amortization of land rights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amortization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8"/>
              </w:rPr>
              <w:t>653,544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524,822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304,142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15,946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17,298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17,647</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204,730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173,371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111,449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10,402</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6,104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2,953</w:t>
            </w:r>
          </w:p>
        </w:tc>
      </w:tr>
      <w:tr>
        <w:trPr>
          <w:trHeight w:val="270"/>
        </w:trPr>
        <w:tc>
          <w:tcPr>
            <w:tcW w:w="42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Debt issuance costs amortization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846,347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684,063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402,913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38,215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37,340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37,106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23"/>
          <w:szCs w:val="23"/>
          <w:color w:val="auto"/>
          <w:vertAlign w:val="superscript"/>
        </w:rPr>
      </w:pPr>
      <w:r>
        <w:rPr>
          <w:rFonts w:ascii="Arial" w:cs="Arial" w:eastAsia="Arial" w:hAnsi="Arial"/>
          <w:sz w:val="17"/>
          <w:szCs w:val="17"/>
          <w:color w:val="auto"/>
        </w:rPr>
        <w:t>Such amortization is a non-cash component included in interest, net.</w:t>
      </w:r>
    </w:p>
    <w:p>
      <w:pPr>
        <w:spacing w:after="0" w:line="201" w:lineRule="exact"/>
        <w:rPr>
          <w:rFonts w:ascii="Arial" w:cs="Arial" w:eastAsia="Arial" w:hAnsi="Arial"/>
          <w:sz w:val="23"/>
          <w:szCs w:val="23"/>
          <w:color w:val="auto"/>
          <w:vertAlign w:val="superscript"/>
        </w:rPr>
      </w:pPr>
    </w:p>
    <w:p>
      <w:pPr>
        <w:ind w:left="660" w:right="180" w:hanging="328"/>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an intercompany interest elimination of $10.4 million for the years ended December 31, 2017, 2016 and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Net income, FFO, AFFO, and Adjusted EBITDA for our GLP Capital segment were $372.8 million, $473.4 million, $653.5 million and $846.3 million, respectively, for the year ended December 31, 2017. This compared to net income, FFO, AFFO, and Adjusted EBITDA, for our GLP Capital segment of $280.3 million, $375.9 million, $524.8 million and $684.1 million, respectively, for the year ended December 31, 2016. The significant increase in net income in our GLP Capital segment was primarily driven by a $145.0 million increase in net revenues, partially offset by a $21.0 million increase in operating expenses and a $31.4 million increase in interest, net. The increase in net revenues in our GLP Capital segment was primarily due to the Pinnacle transaction, which increased rental income, income from the direct financing lease and revenue recorded for real estate taxes paid by our tenants and the Tunica and Meadows transactions, which increased both rental income and revenue recorded for real estate taxes paid by our tenants. The increase in operating expenses in our GLP Capital segment was driven by increases in real estate taxes, primarily as a result of the addition of the Pinnacle and Meadows properties to our real estate portfolio during 2016 and land right and ground rent lease expense, primarily related to the land rights acquired with the Pinnacle and Tunica transactions, partially offset by a decline in general and administrative expenses. The increase in interest, net was driven by higher interest expense related to the Company's additional borrowings incurred to finance the Pinnacle acquisition. The changes described above also led to higher FFO for the year ended December 31, 2017, as compared to the year ended December 31, 2016. The increase in AFFO for our GLP Capital segment was primarily driven by the changes described above, as well as, increases in adjustments for our direct financing lease, increased amortization of land rights related to the acquired ground leases, increased straight-line rent adjustments related to our Meadows Lease and the addition of the Tunica Properties to the Penn Master Lease, partially offset by lower debt issuance costs amortization and stock based compensation, all of which are added back for purposes of calculating AFFO.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w:t>
      </w:r>
    </w:p>
    <w:p>
      <w:pPr>
        <w:sectPr>
          <w:pgSz w:w="11900" w:h="16838" w:orient="portrait"/>
          <w:cols w:equalWidth="0" w:num="1">
            <w:col w:w="11420"/>
          </w:cols>
          <w:pgMar w:left="240" w:top="130"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charges which are non-deductible for tax purposes. Therefore, these adjustments help our investors better understand the components of our taxable income which must be distributed to our shareholders. The increase in Adjusted EBITDA for our GLP Capital segment was primarily driven by the increases in AFFO described above, as well as, a higher add back for interest.</w:t>
      </w:r>
    </w:p>
    <w:p>
      <w:pPr>
        <w:spacing w:after="0" w:line="181"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Net income and FFO for our TRS Properties segment decreased by $1.2 million and $0.7 million, respectively, for the year ended December 31, 2017, as compared to the year ended December 31, 2016, primarily due to declining revenues partially offset by decreased expenses. AFFO for our TRS Properties segment decreased by $1.4 million for the year ended December 31, 2017, as compared to the year ended December 31, 2016, primarily due the reasons described above, as well as, lower depreciation expense due to certain assets reaching full depreciation. Adjusted EBITDA for our TRS Properties segment increased by $0.9 million for the year ended December 31, 2017, as compared to the year ended December 31, 2016, primarily due to the explanations described above, in addition to higher income taxes in the year ended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Net income, FFO, AFFO, and Adjusted EBITDA for our GLP Capital segment were $280.3 million, $375.9 million, $524.8 million and $684.1 million, respectively, for the year ended December 31, 2016. This compared to net income, FFO, AFFO, and Adjusted EBITDA, for our GLP Capital segment of $119.9 million, $215.6 million, $304.1 million and $402.9 million, respectively, for the year ended December 31, 2015. The significant increase in net income in our GLP Capital segment was primarily driven by a $257.1 million increase in net revenues, partially offset by a $32.9 million increase in real estate taxes and a $61.7 million increase in interest expense. The increase in net revenues in our GLP Capital segment was primarily due to the portion of the rent received under the Pinnacle Master Lease recognized as rental income and as income from the direct financing lease, and to a lesser extent the rental income recognized under the Meadows Lease, as well as the impact of the Penn rent escalator and an increase in real estate taxes paid by tenants. Interest expense increased due to the Company's additional borrowings incurred to finance the Pinnacle acquisition. The changes described above also led to higher FFO for the year ended December 31, 2016, as compared to the year ended December 31, 2015. The increase in AFFO for our GLP Capital segment was primarily driven by the changes described above, as well as, the inclusion of adjustments for our direct financing lease and the amortization of land rights, increased straight-line rent adjustments related to our new Meadows Lease and higher stock-based compensation expense, which are added back for purposes of calculating AFFO. The increase in Adjusted EBITDA for our GLP Capital segment was primarily driven by the increases in AFFO described above, as well as, a higher add back for interest, less the increase in amortized debt issuance costs, which are non-cash and excluded from Adjusted EBITDA.</w:t>
      </w:r>
    </w:p>
    <w:p>
      <w:pPr>
        <w:spacing w:after="0" w:line="17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income and FFO for our TRS Properties segment both increased by $0.8 million for the year ended December 31, 2016 as compared to the year ended December 31, 2015, primarily due to expense management at the TRS Properties, despite declining revenues. AFFO for our TRS Properties segment decreased by $0.3 million for the year ended December 31, 2016, as compared to the year ended December 31, 2015, primarily due to lower depreciation expense due to certain assets reaching full depreciation. Adjusted EBITDA for our TRS Properties segment increased by $0.2 million for the year ended December 31, 2016, as compared to the year ended December 31, 2015, primarily due to the explanations described above, in addition to higher income taxes in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years ended December 31, 2017, 2016 and 2015 were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146,866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149,661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833,865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142,222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Less promotional allowances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14.8 %</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828,255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143,052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6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89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427,125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257,079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60.2 %</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149,661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153,523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833,865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580,648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253,217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43.6 %</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Less promotional allowances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828,255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575,053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253,202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44.0 %</w:t>
            </w: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the years ended December 31, 2017 and 2016, rental revenue and income from the direct financing lease were $829.2 million and $684.2 million, respectively, for our GLP Capital segment, which included $83.7 million and $67.8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 and during May 2017, we acquired the real estate assets of the Tunica Properties and leased these assets to Penn under the Penn Master Lease.</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accordance with ASC 605, the Company is required to present the real estate taxes paid by its tenants on the leased properties as revenue with an offsetting expense on its consolidated statement of operations, as the Company believes it is the primary obligor. Similarly, the Company records revenue for the ground lease rent paid by its tenants with an offsetting expense in land rights and ground lease expense within the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Rental revenue and income from the direct financing lease increased $145.0 million or 21.2% for the year ended December 31, 2017, as compared to the year ended December 31, 2016, primarily due to a full year of rent for the portion of the rent received under the Pinnacle Master Lease recognized as rental income and as income from the direct financing lease, a full year of rent received under the Meadows Lease and from the addition of the Tunica Properties to the Penn Master Lease, as well as the impact of the Penn and Pinnacle rent escalators, improved results at our two Ohio properties with monthly variable rent and an increase in real estate taxes, primarily resulting from the addition of the Pinnacle properties to our real estate portfolio. Specifically, Pinnacle contributed $103.1 million of rental revenue and income from the direct financing lease to the increase in net revenues for the year ended December 31, 2017, as compared to the year ended December 31, 2016. The Penn properties contributed $14.5 million to the increase in net revenues for the year ended December 31, 2017, as compared to the year ended December 31, 2016, resulting from the addition of the Tunica Properties, the impact of the rent escalator and the performance at the Ohio properties, while the Meadows Lease contributed $11.4 million to the increase in net revenues for the year ended December 31, 2017, as compared to the prior year. Lastly, real estate taxes contributed $15.8 million to the increase in net revenues for the year ended December 31, 2017, as compared to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the years ended December 31, 2016 and 2015, rental revenue and income from the direct financing lease were $684.2 million and $427.1 million, respectively, for our GLP Capital segment, which included $67.8 million and $35.0 million, respectively, of revenue for the real estate taxes paid by our tenants on the leased properties.</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Rental revenue and income from the direct financing lease increased $257.1 million or 60.2% for the year ended December 31, 2016, as compared to the year ended December 31, 2015, primarily due to the portion of the rent received under the Pinnacle Master Lease recognized as rental income and as income from the direct financing lease, as well as the impact of the Penn rent escalator and an increase in real estate taxes, primarily resulting from the addition of the Pinnacle properties to our real estate portfolio. Specifically, Pinnacle contributed $164.7 million of rental revenue, $48.9 million of interest income from the direct financing lease and $23.9 million of real estate tax income to net revenues for the year ended December 31, 2016. The Meadows contributed $5.1 million of rental revenue and $0.6 million of real estate tax income to net revenues for the year ended December 31, 2016, while the Penn rent escalator contributed an increase of $4.9 million of rental revenue for the year ended December 31, 2016, as compared to the year ended December 31, 2015.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Gaming, food, beverage and other revenue for our TRS Properties segment decreased by $2.8 million, or 1.9%, for the year ended December 31, 2017, as compared to the year ended December 31, 2016, due to decreased gaming, food, beverage and other revenues of $2.5 million and $0.3 million at Hollywood Casino Perryville and Hollywood Baton Rouge, respectively. The largest driver of the decrease resulted from lower revenues at Hollywood Casino Perryville, related to the outsourcing of its food and beverage outlets to a third party provider during the first quarter of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Gaming, food, beverage and other revenue for our TRS Properties segment decreased by $3.9 million, or 2.5%, for the year ended December 31, 2016, as compared to the year ended December 31, 2015, primarily due to decreased gaming revenues of $2.0 million and $1.7 million at Hollywood Casino Perryville and Hollywood Baton Rouge, respectively, resulting from lower patronage at both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years ended December 31, 2017, 2016 and 2015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84,666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15,218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113,480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365,789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347,632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33,036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90.7 %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11,987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426.3 %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82,857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347,632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317,638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29,994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Gaming, food, beverage and other expense for our TRS Properties segment decreased by approximately $2.0 million, or 2.4%, for the year ended December 31, 2017, as compared to the year ended December 31, 2016, primarily due to lower expenses resulting from the outsourcing of the operations of the food and beverage outlets at Hollywood Casino Perryville during the first quarter of 2017 and lower gaming and admissions taxes, resulting from lower revenues at both TRS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Gaming, food, beverage and other expense for our TRS Properties segment decreased by approximately $3.3 million, or 3.9%, for the year ended December 31, 2016, as compared to the year ended December 31, 2015, primarily due to lower gaming and admissions taxes, resulting from lower revenues at both TRS Properties, as well as a decrease in the gaming tax rate on revenue generated from slot machines at Hollywood Casino Perryville. During the year ended December 31, 2015, Hollywood Casino Perryville directly purchased slot machines in exchange for gaming tax reductions from the state of Maryland, lowering its tax rate on gaming revenues derived from slot machines for the year ended December 31, 2016 as compared to the year ended December 31, 2015.</w:t>
      </w:r>
    </w:p>
    <w:p>
      <w:pPr>
        <w:sectPr>
          <w:pgSz w:w="11900" w:h="16838" w:orient="portrait"/>
          <w:cols w:equalWidth="0" w:num="1">
            <w:col w:w="11400"/>
          </w:cols>
          <w:pgMar w:left="240" w:top="130" w:right="25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130" w:right="25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Real estate taxes increased by $15.2 million, or 21.9%, for the year ended December 31, 2017, as compared to the year ended December 31, 2016, primarily due to a full year of the real estate tax expense attributable to the acquired Pinnacle and Meadows properties. Although this amount is paid by our tenants, we are required to present this amount in both revenues and expense for financial reporting purposes under ASC 605.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Real estate taxes increased by approximately $33.0 million, or 90.7%, for the year ended December 31, 2016, as compared to the year ended December 31, 2015, primarily due to the inclusion of the real estate tax expense attributable to the acquired Pinnacle properties.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Land rights and ground lease expense includes the amortization of land rights and rent expense related to the Company's long-term ground leases.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Land rights and ground lease expense increased by $9.2 million, or 62.2%, for the year ended December 31, 2017, as compared to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primarily due to a full year of amortization of the land rights associated with the Pinnacle acquisition, as well as a full year of ground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these leases and the acquisition of the Tunica Properties in May of 2017. In connection with both acquisitions, we acquired land rights to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leases which are recorded on our consolidated balance sheet as land right assets and amortized over the term of the leases, including renewal options. We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 rent expense related to these ground leases with offsetting revenue recorded within the consolidated statements of income as we have concluded that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lessee we are the primary obligor under the ground leases. We sublease these ground leases back to our tenants, who are responsible for payment directly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landlord.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Land rights and ground lease expense increased by $12.0 million, or 426.3%, for the year ended December 31, 2016, as compared to the year ended December 31, 2015, primarily due to the 2016 acquisition of substantially all of the real property of Pinnacle.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General and administrative expenses include items such as compensation costs (including stock-based compensation awards), professional services and costs associated with development activities. In addition, Penn provided GLPI with certain administrative and support services on a transitional basis pursuant to a transition services agreement executed in connection with the Spin-Off from the date of the Spin-Off through September 30, 2015. The fees charged to GLPI for transition services furnished pursuant to this agreement were determined based on fixed percentages of Penn’s internal costs which were intended to approximate the actual cost incurred by Penn in providing the transition services to GLPI for the relevant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General and administrative expenses decreased by $8.2 million, or 11.5%, for the year ended December 31, 2017, as compared to the year ended December 31, 2016, led by lower stock-based compensation charges in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General and administrative expenses decreased by $11.5 million, or 13.9%, for the year ended December 31, 2016, as compared to the year ended December 31, 2015, led by lower legal expenses and stock-based compensation charges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Depreciation expense increased by $3.9 million or 3.6% to $113.5 million for the year ended December 31, 2017 as compared to the year ended December 31, 2016, primarily due to a full year of depreciation expense on the Meadows assets, which were acquired in September of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Depreciation expense was relatively flat year over year when comparing the year ended December 31, 2016 to the year ended December 31, 2015. The Company notes that only the land assets acquired from Pinnacle are recorded as fixed assets on our consolidated balance sheet, whereas the building assets acquired from Pinnacle are recorded as an investment in direct financing lease on our consolidated balance sheet. Therefore, the Company did not record any additional depreciation as a result of the Pinnacle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years ended December 31, 2017, 2016 and 2015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59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1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December 31, 2017, interest expense related to our fixed and variable rate borrowings was $217.1 million, as compared to $185.9 million in the year ended December 31, 2016. Interest expense primarily increased due to interest expense related to the April 2016 issuance of $400 million of senior unsecured notes due 2021 and $975 million of senior unsecured notes due 2026 and borrowings of $825 million under the term loan A-1 facility. The additional borrowings were utilized to finance the Pinnacle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14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For the year ended December 31, 2016, interest expense related to our fixed and variable rate borrowings was $185.9 million, as compared to $124.2 million in the year ended December 31, 2015. Interest expense primarily increased due to interest expense related the additional borrowing utilized to finance the Pinnacle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income tax expense increased $2.2 million for the year ended December 31, 2017 as compared to the year ended December 31, 2016. During the year ended December 31, 2017, we had income tax expense of approximately $9.8 million, compared to income tax expense of $7.5 million during the year ended December 31, 2016. Income tax expense increased primarily due to adjustments at the TRS Properties related to the December 2017 Tax Cuts and Job Act. Our effective tax rate (income taxes as a percentage of income before income taxes) was 2.5% for both the years ended December 31, 2017 and 2016.</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income tax expense remained relatively flat during the year ended December 31, 2016 as compared to the year ended December 31, 2015. During the year ended December 31, 2016, we had income tax expense of approximately $7.5 million, compared to income tax expense of $7.4 million during the year ended December 31, 2015. Our effective tax rate (income taxes as a percentage of income from operations before income taxes) was 2.5% for the year ended December 31, 2016, as compared to 5.5% for the year ended December 31, 2015, as we had additional rental income in the year ended December 31, 2016 which was not subject to income tax.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Net cash provided by operating activities was $598.7 million, $514.4 million and $319.7 million during the years ended December 31, 2017, 2016 and 2015, respectively. The increase in net cash provided by operating activities of $84.3 million for the year ended December 31, 2017 as compared to the year ended December 31, 2016 was primarily comprised of an increase in cash receipts from customers/tenants of $129.3 million, (excluding cash received from Pinnacle and classified as an investing activity) and a decrease in cash paid to employees of $10.6 million, partially offset by increases in cash paid for operating expenses, interest and taxes of $1.2 million, $49.9 million and $4.3 million, respectively. The increase in cash receipts collected from our customers and tenants for the year ended December 31, 2017 as compared to the year ended December 31, 2016 was primarily due to a full year of rent received under both the Pinnacle Master Lease and the Meadows Lease, as well as the additional rent received from Penn related to the new Tunica Properties, the performance of the Ohio properties and the impact of the rent escalators under both Master Leases, partially offset by a decrease in our TRS Properties' net revenues. The increase in cash paid for interest was related to the Company's April 2016 acquisition of Pinnacle's real estate assets and the related borrowings. The increase in net cash provided by operating activities for the year ended December 31, 2016 as compared to the year ended December 31, 2015 was primarily due to the rent received under the Pinnacle Master Lease and to a lesser extent the Meadows Lease and the impact of the Penn rent escalator, partially offset by a decrease in the TRS Properties' net revenues and higher interest related to the Company's borrowings primarily related to the Pinnacle transaction.</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Net cash provided by investing activities totaled $0.7 million during the year ended December 31, 2017 and used cash of $3.2 billion and $14.1 million, respectively, for the years ended December 31, 2016 and 2015. Net cash provided by investing activities during the year ended December 31, 2017 consisted of cash payments of $83.3 million primarily related to the acquisition of the Tunica Properties and capital expenditures of $3.2 million, partially offset by net cash received of $13.2 million from Casino Queen to retire their five-year term loan and borrow an additional $13.0 million under a new 5.5 year unsecured term loan at 15%, as well as rental payments received from tenants and applied against the lease receivable on our balance sheet of $73.1 million. Net cash used in investing activities during the year ended December 31, 2016 consisted of cash payments of $3.3 billion related to the acquisition of the Pinnacle and Meadows' real estate assets, partially offset by principal payments of $3.2 million made by Casino Queen on their five-year term loan, as well rental payments received from tenants and applied against the lease receivable on our balance sheet of $48.5 million. In addition to the cash paid for the Pinnacle assets, we also issued approximately 56.0 million shares of our common stock as consideration for the Pinnacle real estate assets (non-cash investing activity). Net cash used in investing activities for the year ended December 31, 2015 included capital expenditures of $19.1 million, primarily related to $6.5 million of construction spend related to the Company's new corporate headquarters building located in Wyomissing, Pennsylvania, and Hollywood Casino Perryville's $5.9 million purchase of slot machines, associated with its initiative to directly purchase slot machines in exchange for gaming tax reductions, partially offset by $4.7 million of principal payments received from Casino Queen on their five year term loan.</w:t>
      </w:r>
    </w:p>
    <w:p>
      <w:pPr>
        <w:spacing w:after="0" w:line="17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Financing activities used net cash of $606.9 million during the year ended December 31, 2017, provided net cash of $2.7 billion during the year ended December 31, 2016 and used net cash of $299.6 million during the year ended December 31, 2015. Net cash used by financing activities for the year ended December 31, 2017 included dividend payments of $529.4 million and repayments of long-term debt of $335.1 million, partially offset by proceeds from the issuance of common stock under the ATM Program, net of issuance costs of $139.4 million, proceeds from stock option exercises, net of taxes paid related to shares withheld for tax purposes on restricted stock award vestings of $18.2 million and proceeds from the issuance of long-term debt of $100.0 million. Net cash provided by financing activities for the year ended December 31, 2016 included proceeds from the issuance of long-term debt of $2.6 billion, proceeds from the issuance of common stock, net of issuance costs of $870.8 million and proceeds from stock option exercises of $113.5 million, partially offset by dividend payments of $428.4 million and repayments of long-term debt and financing costs of $409.0 million. During the year ended December 31, 2016, we issued approximately 28.8 million shares of our common stock in a primary equity offering and approximately 1.3 million shares of our common stock under the ATM Program, as well as issuing $1.375 billion in new senior unsecured notes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drawing down on the $825 million term loan A-1 facility. These new debt and equity instruments were utilized to finance the acquisition of the Pinnacle and Meadows' real estate assets. In addition to the shares issued in the primary equity offering and the ATM Offering, we also issued approximately 56.0 million shares of our common stock as consideration for the Pinnacle real estate assets (non-cash financing activity). Net cash used in financing activities for the year ended December 31, 2015 included dividend payments of $251.7 million and repayments of long-term debt and financing costs of $77.6 million, partially offset by proceeds from stock option exercises of $29.7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Capital project expenditures totaled $16.1 million for the year ended December 31, 2015 and primarily consisted of construction spend totaling $6.5 million related to the Company's new corporate headquarters building located in Wyomissing, Pennsylvania and Hollywood Casino Perryville's direct purchase of slot machines. During the year ended December 31, 2015, Hollywood Casino Perryville made direct purchases of slot machines from the state of Maryland totaling $5.9 million, which resulted in a decrease of gaming taxes derived from slot machine revenues. Previously, all of the property's slot machines were owned by the state. As this one-time project cost was dictated by new state legislation that allowed Maryland casinos to purchase their slot machines in exchange for gaming tax reductions this expense was treated as a capital project expenditure.</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the years ended December 31, 2017, 2016 and 2015 we spent approximately $3.2 million, $3.1 million and $3.0 million, respectively, for capital maintenance expenditures. The majority of the capital maintenance expenditures were for slot machines and slot machine equipment at our TRS Properties. Our tenants are responsible for capital maintenance expenditures at our leased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has a $1,825 million dollar Credit Facility, consisting of a $700 million revolving credit facility, a $300 million Term Loan A facility, and an $825 million Term Loan A-1 facility. The revolving credit facility and the Term Loan A facility mature on October 28, 2018 and the Term Loan A-1 facility matures on April 28, 2021. At December 31, 2017, the Credit Facility had a gross outstanding balance of $1,055 million, consisting of the $1,055 million Term Loan A and A-1 facilities. Additionally, at December 31, 2017, the Company was contingently obligated under letters of credit issued pursuant to the senior unsecured credit facility with face amounts aggregating approximately $0.4 million, resulting in $699.6 million of available borrowing capacity under the revolving credit facility as of December 31, 2017.</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2017, the Company was in compliance with all required financial covenants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30"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At December 31, 2017, the Company had $550 million outstanding of 4.375% senior unsecured notes maturing on November 1, 2018 (the "2018 Notes"), $1,000 million outstanding of 4.875% senior unsecured notes maturing on November 1, 2020 (the "2020 Notes"), $400 million of 4.375% senior unsecured notes maturing on April 15, 2021 (the "2021 Notes"), $500 million outstanding of 5.375% senior unsecured notes maturing on November 1, 2023 (the "2023 Notes") and $975 million of 5.375% senior unsecured notes maturing on April 15, 2026 (the "2026 Notes" and collectively with the 2018 Notes, the 2020 Notes, the 2021 Notes and the 2023 Notes, the "Notes"). Interest on each of the 2018 Notes, 2020 Notes and 2023 Notes, is payable semi-annually on May 1 and November 1 of each year. Interest on the 2021 Notes and 2026 Notes is payable semi-annually on April 15 and October 15 of each year and commenced on October 15, 2016.</w:t>
      </w:r>
    </w:p>
    <w:p>
      <w:pPr>
        <w:spacing w:after="0" w:line="10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may redeem the Notes of any series at any time, and from time to time, at a redemption price of 100% of the principal amount of the Notes redeemed, plus a "make-whole" redemption premium described in the indenture governing the Notes, together with accrued and unpaid interest to, but not including, the redemption date, except that if Notes of a series are redeemed 90 or fewer days prior to their maturity, the redemption price will be 100% of the principal amount of the Notes redeemed, together with accrued and unpaid interest to, but not including, the redemption date. If GLPI experiences a change of control accompanied by a decline in the credit rating of the Notes of a particular series, the Company will be required to give holders of the Notes of such series the opportunity to sell their Notes of such series at a price equal to 101% of the principal amount of the Notes of such series, together with accrued and unpaid interest to, but not including, the repurchase date. The Notes also are subject to mandatory redemption requirements imposed by gaming laws and regulations.</w:t>
      </w:r>
    </w:p>
    <w:p>
      <w:pPr>
        <w:spacing w:after="0" w:line="2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Notes were issued by GLP Capital, L.P. and GLP Financing II, Inc. (the "Issuers"), two wholly-owned subsidiaries of GLPI, and are guaranteed on a senior unsecured basis by GLPI. The guarantees of GLPI are full and unconditional. The Notes are the Issuers' senior unsecured obligations and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of the Issuers' senior indebtedness, including the Credit Facility, and senior in right of payment to all of the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indebtedness, without giving effect to collateral arrangements. See Note 19 for additional financial information on the parent guarantor and subsidiary issuers of the Notes.</w:t>
      </w:r>
    </w:p>
    <w:p>
      <w:pPr>
        <w:spacing w:after="0" w:line="107"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Based on our current level of operations and anticipated earnings, we believe that cash generated from operations and cash on hand, together with amounts available under our senior unsecured credit facility, will be adequate to meet our anticipated debt service requirements, capital expenditures, working capital needs and dividend requirements. During 2018, we expect to refinance our Credit Facility which matures on October 28, 2018. 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ATM Program)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Contractual Cash Obligations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contractual obligations at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2019 - 2020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2021 - 2022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2023 and After</w:t>
            </w:r>
          </w:p>
        </w:tc>
      </w:tr>
      <w:tr>
        <w:trPr>
          <w:trHeight w:val="196"/>
        </w:trPr>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credit facility</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107,617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32,984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4.375% senior unsecured notes due 2018</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24,063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24,063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2020</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4.375% senior unsecured notes due 2021</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61,250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5.375% senior unsecured notes due 2023</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26,875</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5.375% senior unsecured notes due 2026</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975,000</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445,454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52,406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104,813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104,813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183,422</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599,986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546,433</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Other liabilities reflected in the Company's consolidated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balance sheets </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6,027,774</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994,104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1,376,781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1,424,576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2,232,313</w:t>
            </w: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364" w:lineRule="exact"/>
        <w:rPr>
          <w:sz w:val="20"/>
          <w:szCs w:val="20"/>
          <w:color w:val="auto"/>
        </w:rPr>
      </w:pPr>
    </w:p>
    <w:p>
      <w:pPr>
        <w:ind w:left="580" w:right="40" w:hanging="572"/>
        <w:spacing w:after="0" w:line="232" w:lineRule="auto"/>
        <w:tabs>
          <w:tab w:leader="none" w:pos="5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The interest rates associated with the variable rate components of our senior unsecured credit facility are estimated, reflected of forward LIBOR curves plus the spread over LIBOR of 150 basis points. The contractual amounts to be paid on our variable rate obligations are affected by changes in market interest rates and changes in our spreads which are based on our leverage ratios. Future changes in such ratios will impact the contractual amounts to be paid.</w:t>
      </w:r>
    </w:p>
    <w:p>
      <w:pPr>
        <w:spacing w:after="0" w:line="179"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Primarily represents liabilities associated with reward programs at our TRS Properties that can be redeemed for free play, merchandise or services.</w:t>
      </w: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30" w:right="25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Commercial Commitments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material commercial commitments as of December 31, 2017 for the following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272415</wp:posOffset>
            </wp:positionV>
            <wp:extent cx="4751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Total Amounts</w:t>
            </w:r>
          </w:p>
        </w:tc>
        <w:tc>
          <w:tcPr>
            <w:tcW w:w="340" w:type="dxa"/>
            <w:vAlign w:val="bottom"/>
          </w:tcPr>
          <w:p>
            <w:pPr>
              <w:spacing w:after="0"/>
              <w:rPr>
                <w:sz w:val="14"/>
                <w:szCs w:val="14"/>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2019 - 2020</w:t>
            </w:r>
          </w:p>
        </w:tc>
        <w:tc>
          <w:tcPr>
            <w:tcW w:w="100" w:type="dxa"/>
            <w:vAlign w:val="bottom"/>
          </w:tcPr>
          <w:p>
            <w:pPr>
              <w:spacing w:after="0"/>
              <w:rPr>
                <w:sz w:val="14"/>
                <w:szCs w:val="14"/>
                <w:color w:val="auto"/>
              </w:rPr>
            </w:pPr>
          </w:p>
        </w:tc>
        <w:tc>
          <w:tcPr>
            <w:tcW w:w="14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2021 - 2022</w:t>
            </w:r>
          </w:p>
        </w:tc>
        <w:tc>
          <w:tcPr>
            <w:tcW w:w="120" w:type="dxa"/>
            <w:vAlign w:val="bottom"/>
          </w:tcPr>
          <w:p>
            <w:pPr>
              <w:spacing w:after="0"/>
              <w:rPr>
                <w:sz w:val="14"/>
                <w:szCs w:val="14"/>
                <w:color w:val="auto"/>
              </w:rPr>
            </w:pPr>
          </w:p>
        </w:tc>
        <w:tc>
          <w:tcPr>
            <w:tcW w:w="14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2023 and After</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Committed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The available balance under the revolving credit portion of our senior unsecured credit facility is reduced by outstanding 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off-balance sheet arrangements as of December 31, 2017 and 2016.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$4,481.2 million at December 31, 2017. Furthermore, $3,425.0 million of our obligations are the senior unsecured notes that have fixed interest rates with maturity dates ranging from less than one year to eight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December 31, 2017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December 31, 2017.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01/01/18-</w:t>
            </w:r>
          </w:p>
        </w:tc>
        <w:tc>
          <w:tcPr>
            <w:tcW w:w="2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01/01/19-</w:t>
            </w:r>
          </w:p>
        </w:tc>
        <w:tc>
          <w:tcPr>
            <w:tcW w:w="24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01/01/20-</w:t>
            </w:r>
          </w:p>
        </w:tc>
        <w:tc>
          <w:tcPr>
            <w:tcW w:w="26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01/01/21-</w:t>
            </w:r>
          </w:p>
        </w:tc>
        <w:tc>
          <w:tcPr>
            <w:tcW w:w="2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01/01/22-</w:t>
            </w:r>
          </w:p>
        </w:tc>
        <w:tc>
          <w:tcPr>
            <w:tcW w:w="22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280" w:type="dxa"/>
            <w:vAlign w:val="bottom"/>
          </w:tcPr>
          <w:p>
            <w:pPr>
              <w:spacing w:after="0"/>
              <w:rPr>
                <w:sz w:val="14"/>
                <w:szCs w:val="14"/>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12/31/18</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12/31/19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12/31/20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12/31/21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12/31/22</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12/31/2017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ind w:lef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jc w:val="center"/>
              <w:ind w:right="148"/>
              <w:spacing w:after="0"/>
              <w:rPr>
                <w:sz w:val="20"/>
                <w:szCs w:val="20"/>
                <w:color w:val="auto"/>
              </w:rPr>
            </w:pPr>
            <w:r>
              <w:rPr>
                <w:rFonts w:ascii="Arial" w:cs="Arial" w:eastAsia="Arial" w:hAnsi="Arial"/>
                <w:sz w:val="14"/>
                <w:szCs w:val="14"/>
                <w:color w:val="auto"/>
                <w:w w:val="92"/>
              </w:rPr>
              <w:t>$550,000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ind w:left="5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1,000,000</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1,475,000</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3,425,000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3,574,688</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5"/>
              </w:rPr>
              <w:t>4.88%</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auto"/>
                <w:w w:val="90"/>
              </w:rPr>
              <w:t>4.38%</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5.38%</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230,000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1,045,600</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18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right="2820" w:hanging="5612"/>
        <w:spacing w:after="0" w:line="481" w:lineRule="auto"/>
        <w:tabs>
          <w:tab w:leader="none" w:pos="5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Estimated rate, reflective of forward LIBOR plus the spread over LIBOR applicable to variable-rate borrowing. 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Gaming and Leisure Properties, Inc. and Subsidiaries (the "Company") as of December 31, 2017 and 2016, and the related consolidated statements of income, changes in shareholders’ equity (deficit), and cash flows, for each of the two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16,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30"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statements of income, changes in shareholders' equity (deficit) and cash flows for the year ended December 31, 2015, of Gaming and Leisure Properties, Inc. and Subsidiaries (the "Company"). Our audit also included the financial statement schedule listed in the Index at Item 15(a). These financial statements and schedule are the responsibility of the Company's management. Our responsibility is to express an opinion on these financial statements and schedule based on our audit.</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operations and cash flows of Gaming and Leisure Properties, Inc. and Subsidiaries for the year ended December 31, 2015,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130" w:right="31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r>
      <w:tr>
        <w:trPr>
          <w:trHeight w:val="270"/>
        </w:trPr>
        <w:tc>
          <w:tcPr>
            <w:tcW w:w="83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3,739,091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119,427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36,556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26,200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50,090</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33,743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32,584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4,664,965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rental revenue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166,052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19,564</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r>
      <w:tr>
        <w:trPr>
          <w:trHeight w:val="277"/>
        </w:trPr>
        <w:tc>
          <w:tcPr>
            <w:tcW w:w="8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84"/>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84"/>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December 31,</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and 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500,000,000 shares authorized, 212,717,549 and 207,676,827 shares issued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December 31, 2017 and December 31, 2016, respectively)</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accumulated deficit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(1,477,709)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(1,328,937)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7,246,882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7,369,330</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83"/>
        </w:trPr>
        <w:tc>
          <w:tcPr>
            <w:tcW w:w="6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671,190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567,444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392,075</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35,050</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427,125</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146,866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153,523</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580,648</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(5,595)</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575,053</w:t>
            </w:r>
          </w:p>
        </w:tc>
      </w:tr>
      <w:tr>
        <w:trPr>
          <w:trHeight w:val="277"/>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82,463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85,774</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36,412</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Land rights and ground lease expense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14,799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2,812</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82,857</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113,480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109,783</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317,638</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605,518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480,623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257,415</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6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(124,183)</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2,332</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(121,851)</w:t>
            </w:r>
          </w:p>
        </w:tc>
      </w:tr>
      <w:tr>
        <w:trPr>
          <w:trHeight w:val="291"/>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135,564</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7,442</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380,598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128,122</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6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40"/>
          </w:cols>
          <w:pgMar w:left="240" w:top="130" w:right="141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93"/>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112,981,088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(176,290)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2,511,639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34,646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paid ($2.18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(251,732)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(251,732)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128,122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115,594,321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935,220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(1,189,890)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86,074,167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2,693,939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2,694,800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5,870,282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115,416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paid ($2.32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(428,352)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289,305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207,676,827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3,760,729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(1,328,937)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3,864,872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1,013,984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paid ($2.50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(529,370)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380,598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212,717,549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3,933,829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380,598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289,305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128,122</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123,835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109,783</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14,016</w:t>
            </w:r>
          </w:p>
        </w:tc>
      </w:tr>
      <w:tr>
        <w:trPr>
          <w:trHeight w:val="243"/>
        </w:trPr>
        <w:tc>
          <w:tcPr>
            <w:tcW w:w="6860" w:type="dxa"/>
            <w:vAlign w:val="bottom"/>
            <w:gridSpan w:val="2"/>
          </w:tcPr>
          <w:p>
            <w:pPr>
              <w:ind w:left="380"/>
              <w:spacing w:after="0"/>
              <w:rPr>
                <w:sz w:val="20"/>
                <w:szCs w:val="20"/>
                <w:color w:val="auto"/>
              </w:rPr>
            </w:pPr>
            <w:r>
              <w:rPr>
                <w:rFonts w:ascii="Arial" w:cs="Arial" w:eastAsia="Arial" w:hAnsi="Arial"/>
                <w:sz w:val="18"/>
                <w:szCs w:val="18"/>
                <w:color w:val="auto"/>
              </w:rPr>
              <w:t>Losses (gains) on dispositions of property</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185</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43"/>
        </w:trPr>
        <w:tc>
          <w:tcPr>
            <w:tcW w:w="68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16,811</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55,825</w:t>
            </w:r>
          </w:p>
        </w:tc>
      </w:tr>
      <w:tr>
        <w:trPr>
          <w:trHeight w:val="297"/>
        </w:trPr>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(9,712)</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4,241</w:t>
            </w:r>
          </w:p>
        </w:tc>
      </w:tr>
      <w:tr>
        <w:trPr>
          <w:trHeight w:val="243"/>
        </w:trPr>
        <w:tc>
          <w:tcPr>
            <w:tcW w:w="68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w:t>
            </w:r>
          </w:p>
        </w:tc>
      </w:tr>
      <w:tr>
        <w:trPr>
          <w:trHeight w:val="243"/>
        </w:trPr>
        <w:tc>
          <w:tcPr>
            <w:tcW w:w="68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598,711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514,370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319,688</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Capital project expenditures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(16,149)</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310</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4,650</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Acquisition of real estate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(3,267,992)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(3,218,616)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(14,142)</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(529,370)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(251,732)</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Proceeds from exercise of options, net of taxes paid related to shares withheld for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6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purposes on restricted stock award vestings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29,686</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139,414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870,810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(68,098)</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2,698,927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(299,644)</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5,902</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35,973</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36,556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41,875</w:t>
            </w: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the consolidated financial statements for supplemental cash flow information and noncash investing and financing activities.</w:t>
      </w:r>
    </w:p>
    <w:p>
      <w:pPr>
        <w:sectPr>
          <w:pgSz w:w="11900" w:h="16838" w:orient="portrait"/>
          <w:cols w:equalWidth="0" w:num="1">
            <w:col w:w="11100"/>
          </w:cols>
          <w:pgMar w:left="240" w:top="130" w:right="5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00"/>
          </w:cols>
          <w:pgMar w:left="240" w:top="130" w:right="55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Basis of Presentation</w:t>
      </w:r>
    </w:p>
    <w:p>
      <w:pPr>
        <w:spacing w:after="0" w:line="2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"Spinoffs and Reverse Spinoffs."</w:t>
      </w:r>
    </w:p>
    <w:p>
      <w:pPr>
        <w:spacing w:after="0" w:line="19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1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unitary triple-net lease with an initial term of 10 years (expiring April 30, 2026) with no purchase option, followed by five 5-year renewal options (exercisable by Pinnacle) on the same terms and conditions (the "Pinnacle Master Lease"). See Note 4 for further details surrounding the Pinnacle acquisition.</w:t>
      </w:r>
    </w:p>
    <w:p>
      <w:pPr>
        <w:spacing w:after="0" w:line="16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December 31,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contain approximately 15.2 million of rentable square feet. As of December 31, 2017, the Company's properties were 100% occupied.</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GLPI expects to grow its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Center from Penn and Pinnacle, respectively. We will acquire these properties in connection with the proposed acquisition of Pinnacle by Penn pursuant to a definitive agreement and plan of merger between them, also dated December 17, 2017 (the "Merger").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Gaming Corporation (“Boyd”) and to enter into a new master lease agreement with Boyd on terms similar to the Company’s existing leases. The transaction which is subject to regulatory approval is expected to close in the second half of 2018.</w:t>
      </w:r>
    </w:p>
    <w:p>
      <w:pPr>
        <w:spacing w:after="0" w:line="179"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In order to conform to the current presentation of the statement of income, the Company combined certain line items on the consolidated statements of income for the years ended December 31, 2016 and 2015. Specifically, the Company aggregated the former revenue line items gaming revenue and food, beverage and other revenue into the line item gaming, food, beverage and other revenues and aggregated the former expense line items gaming expenses and food, beverage and other expenses into the line item gaming, food, beverage and other expenses. Furthermore, also to conform to the current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presentation of the statement of income, the Company separated the general and administrative line item into the line items general and administrative expenses and land rights and ground lease expense on the consolidated statements of income for the years ended December 31, 2016 and 2015. This new line item includes the amortization of land rights and rent expense related to the Company's long-term ground leases. These reclassifications were made only for presentation purposes and had no impact on the Company's financial results for the years ended December 31, 2016 and 2015.</w:t>
      </w:r>
    </w:p>
    <w:p>
      <w:pPr>
        <w:spacing w:after="0" w:line="9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GLPI and its subsidiaries. All intercompany accounts and transactions have been eliminated in consolidation.</w:t>
      </w:r>
    </w:p>
    <w:p>
      <w:pPr>
        <w:spacing w:after="0" w:line="8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No. 2016-09,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(Topic 718): Improvements to Employee Share-Based Payment Accounting </w:t>
      </w:r>
      <w:r>
        <w:rPr>
          <w:rFonts w:ascii="Arial" w:cs="Arial" w:eastAsia="Arial" w:hAnsi="Arial"/>
          <w:sz w:val="16"/>
          <w:szCs w:val="16"/>
          <w:color w:val="auto"/>
        </w:rPr>
        <w:t>("ASU 2016-09"). This ASU amends certain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payments to employees, including (i) requiring all income tax effects of share-based awards to be recognized in the income statement when the award vests or settles and eliminating APIC pools, (ii) permitting employers to withhold the share equivalent of an employee's maximum tax liability without triggering liability accounting and (iii) allowing companies to make a policy election to account for forfeitures as they occur. The Company adopted ASU 2016-09 on January 1, 2017 and it did not have a significant impact on how the Company accounts for share-based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This ASU provides clarity about which changes to the terms or conditions of a share-based payment 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The Company adopted ASU 2017-09 on January 1, 2018 and does not expect the adoption of ASU 2017-09 to significantly impact its accounting for share-based payment awards, as changes to awards' terms and conditions subsequent to the grant date are unusual and infrequent in nature.</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does not expect the adoption of ASU 2017-04 to significantly impact its goodwill impairment testing.</w:t>
      </w:r>
    </w:p>
    <w:p>
      <w:pPr>
        <w:spacing w:after="0" w:line="19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ASU 2017-01 is effective for annual reporting periods beginning after December 15, 2017. The Company adopted ASU 2017-01 on January 1, 2018 with no impact to the Company's accounting treatment of its acquisitions.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30"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The Company adopted ASU 2016-15 on January 1, 2018, with no impact to its presentation of cash receipts and payments on its consolidated statements of cash flows.</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is required to be adopted on a modified retrospective basis, meaning the new leasing model will be applied to the earliest year presented in the financial statements and thereafter. However, in November 2017, the FASB issued a proposed ASU, which would permit companies to apply the transition provisions of the lease accounting standard at its effective date (i.e. comparative financial statements would not be required).</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consolidated balance sheet for these leases.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This new standard will replace all current U.S. GAAP guidance on this topic and eliminate all industry-specific guidance. ASU 2014-09 provides a unified five-step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At the April 1, 2015 FASB meeting, the board voted to defer the effective date for the new revenue recognition standard to annual reporting periods beginning after December 15, 2017. The pronouncement was originally effective for annual reporting periods beginning after December 15, 2016, and companies were permitted to elect the adoption of the standard as of the original effective date. When adopted, the new guidance can be applied either retrospectively to each period presented or as a cumulative-effect adjustment as of the date of adoption.</w:t>
      </w:r>
    </w:p>
    <w:p>
      <w:pPr>
        <w:spacing w:after="0" w:line="179"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Company has completed its evaluation of the impact of adopting this new accounting standard on its financial statements and internal revenue recognition policies. The majority of the Company's revenue recognition policies will not be impacted by the new standard, as leases (the source of the Company's majority of revenues) are excluded from ASU 2014-09. Only the accounting treatment for the customer loyalty programs at the TRS properties will be impacted by the adoption of ASU 2014-09. Specifically, the recognition of revenue associated with these points based programs will be impacted by eliminating the current accrual for the cost of the points awarded at the time of play and instead deferring the portion of the revenue received from the customer at the time of play and attributed to the awarded points until a later period when the points are redeemed or forfeited. The revenue deferral will be calculated from the portion of the transaction price allocated to the points based upon their retail value. Under the former guidance, the cost of the points was recorded as an operating expense through the gaming, food, beverage and other expense line item of the Company's consolidated statement of income. In addition, upon the adoption of ASU 2014-09, promotional allowances representing the retail value of food, beverages and other services furnished to guests without charge will no longer be presented as a separate line item on the consolidated statements of income, rather they will be presented on a net basis within gaming, food, beverage and other revenue. This change has no impact to net revenues and is for presentation purposes only. The Company adopted ASU</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2014-09 on January 1, 2018 using the modified retrospective approach and recorded a cumulative adjustment to retained earnings of approximately $400,000 at the adoption date.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right="7780" w:firstLine="8"/>
        <w:spacing w:after="0" w:line="485" w:lineRule="auto"/>
        <w:tabs>
          <w:tab w:leader="none" w:pos="18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spacing w:after="0" w:line="4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considers all cash balances and highly-liquid investments with original maturities of three months or less to be cash and cash equivalents.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2017, substantially all of the Company's real estate properties were leased to Penn or Pinnacle and approximately 53% and 45% of the Company's collective rental revenues and income from direct financing lease were derived from tenant leases with Penn and Pinnacle, respectively. Revenues from Penn and Pinnacle are reported in the Company's GLP Capital, L.P. reportable segment. Both Penn and Pinnacle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and Pinnacle's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2017, the Company's portfolio of 36 leased properties and the TRS properties is diversified by location across 14 states.</w:t>
      </w:r>
    </w:p>
    <w:p>
      <w:pPr>
        <w:spacing w:after="0" w:line="23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Financial instruments that subject the Company to credit risk consist of cash and cash equivalents, accounts receivable, loans receivable and the Company's net investment in direct financing lease related to the Pinnacle Master Lease. (See Note 8 for further details on the net investment in direct financing lease).</w:t>
      </w:r>
    </w:p>
    <w:p>
      <w:pPr>
        <w:spacing w:after="0" w:line="23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28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Prepaid expenses consist of expenditures for goods (other than inventories) or services before the goods are used or the services are received. These amounts are deferred and charged to operations as the benefits are realized and primarily consist of prepayments for insurance and other contracts that will be expensed during the subsequent year. It also includes property taxes that were paid in advance, as well as transaction costs that will be allocated to purchase price upon the closing of an asset acquisition. Other assets consists primarily of accounts receivable, deposits, food and beverage inventory and deferred compensation plan assets (See Note 10 for further details on the deferred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"Fair Value Measurements and Disclosures" ("ASC 820"). Deferred compensation plan assets are included within other assets on the consolidated balance sheets.</w:t>
      </w:r>
    </w:p>
    <w:p>
      <w:pPr>
        <w:sectPr>
          <w:pgSz w:w="11900" w:h="16838" w:orient="portrait"/>
          <w:cols w:equalWidth="0" w:num="1">
            <w:col w:w="11360"/>
          </w:cols>
          <w:pgMar w:left="24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60"/>
          </w:cols>
          <w:pgMar w:left="240" w:top="130" w:right="29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36,556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26,200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1,045,600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1,272,852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3,425,000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3,574,688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3,573,500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28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w:t>
      </w:r>
    </w:p>
    <w:p>
      <w:pPr>
        <w:spacing w:after="0" w:line="2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continually monitors events and circumstances that could indicate that the carrying amount of its real estate investments may not be recoverable or realized. When indicators of potential impairment suggest that the carrying value of a real estate investment may not be recoverable, the Company estimates the fair value of the investment by calculating the undiscounted future cash flows from the use and eventual disposition of the investment. This amount is compared to the asset's carrying value. If the Company determines the carrying amount is not recoverable, it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8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Land rights represent the Company's rights to land subject to long-term ground leases. The Company records land rights at the acquisition date fair value of the long-term rights purchased from sellers. Essentially, land rights represent the below market value of the related ground leases. Land rights are amortized over the individual lease term of each ground lease, including all renewal options. Amortization expense related to the land rights is recorded within land rights and ground lease expense in the Company's consolidated statements of income. Land rights are monitored for potential impairment in much the same way as the Company's real estate assets. If the Company determines the carrying amount of a land right is not recoverable, it would recognize an impairment charge equivalent to the amount required to reduce the carrying value of the asset to its estimated fair value,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Used in Operations</w:t>
      </w:r>
    </w:p>
    <w:p>
      <w:pPr>
        <w:spacing w:after="0" w:line="28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represent assets used by the Company's TRS operations and certain corporate assets.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of property and equipment is recorded using the straight-line method over the following estimated useful lives: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 to 31 years</w:t>
            </w:r>
          </w:p>
        </w:tc>
      </w:tr>
      <w:tr>
        <w:trPr>
          <w:trHeight w:val="27"/>
        </w:trPr>
        <w:tc>
          <w:tcPr>
            <w:tcW w:w="37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31 years</w:t>
            </w:r>
          </w:p>
        </w:tc>
      </w:tr>
      <w:tr>
        <w:trPr>
          <w:trHeight w:val="27"/>
        </w:trPr>
        <w:tc>
          <w:tcPr>
            <w:tcW w:w="37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Leasehold improvements are depreciated over the shorter of the estimated useful life of the improvement or the related lease term. The estimated useful lives are determined based on the nature of the assets as well as the Company's current operating strategy.</w:t>
      </w:r>
    </w:p>
    <w:p>
      <w:pPr>
        <w:spacing w:after="0" w:line="2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reviews the carrying value of its property and equipment for possible impairment whenever events or changes in circumstances indicate that the carrying value of an asset may not be recoverable based upon the estimated undiscounted future cash flows expected to result from its use and eventual disposition. If the Company determines the carrying amount is not recoverable, it would recognize an impairment charge equivalent to the amount required to reduce the carrying value of the asset to its estimated fair value, calculated in accordance with GAAP. In estimating expected future cash flows for determining whether an asset is impaired, assets are grouped at the individual property level. In assessing the recoverability of the carrying value of property and equipment,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for these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Direct Financing Leases</w:t>
      </w:r>
    </w:p>
    <w:p>
      <w:pPr>
        <w:spacing w:after="0" w:line="2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investment in direct financing lease represents the building portion of the real estate assets acquired in the Pinnacle acquisition. As discussed in Note 8, the Pinnacle Master Lease is bifurcated between an operating lease and a direct financing lease, with the land assets qualifying for operating lease treatment and the building assets triggering direct financing lease treatment. Upon entry into a direct financing lease, the Company records the acquisition date fair value of the purchased buildings as the net investment in direct financing lease on its consolidated balance sheet. The gross investment in a direct financing lease represents the total future minimum lease payments attributable to the direct financing lease as well as the estimated residual value of the property. At any point in time, the difference between the net investment and gross investment in a direct financing lease represents the unearned income which is subsequently recognized as interest income and included in income from direct financing lease in the Company's consolidated statements of income. Unearned income is recognized over the applicable lease term using the effective interest rate method which produces a constant periodic rate of return on the net investment in the leased property. Furthermore, the Company's investment in direct financing leases is reduced over the applicable lease term to its residual value by the building portion of rent.</w:t>
      </w:r>
    </w:p>
    <w:p>
      <w:pPr>
        <w:spacing w:after="0" w:line="23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and when an investment in direct financing lease is identified for impairment evaluation, the Company will apply the guidance in both ASC 310 "Receivables" ("ASC 310") and ASC 360 "Property, Plant and Equipment" ("ASC 360"). Under ASC 310, the lease receivable portion of the net investment in direct financing leases is classified as a loan and identified for impairment when it becomes probable GLPI, as the lessor, will be unable to collect all rental payments associated with the Company's investment in direct financing leases. Under ASC 360, the residual value portion of the net investment in direct financing leases is monitored for impairment under the same method the Company applies to real estate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8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At both December 31, 2017 and 2016, the Company had $75.5 million of goodwill and $9.6 million of other intangible assets within its consolidated balance sheets, resulting from the contribution of Hollywood Casino Baton Rouge and Hollywood Casino Perryville in connection with the Spin-Off. The Company's goodwill resides on the books of its Hollywood Casino Baton Rouge subsidiary, while the other intangible asset represents a gaming license on the books of its Hollywood Casino Perryville subsidiary. Both subsidiaries are members of the TRS Properties segment and are considered separate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30" w:right="25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reporting units under ASC 350, "Intangibles - Goodwill and Other" ("ASC 350"). Goodwill is tested at the reporting unit level, which is an operating segment or one level below an operating segment for which discrete financial information is available.</w:t>
      </w:r>
    </w:p>
    <w:p>
      <w:pPr>
        <w:spacing w:after="0" w:line="22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Under ASC 350, the Company is required to test goodwill for impairment at least annually and whenever events or circumstances indicate that it is more likely than not that goodwill may be impaired. The Company has elected to perform its annual goodwill impairment test as of October 1 of each year. ASC 350 prescribes a two-step goodwill impairment test, the first step which involves the determination of the fair value of each reporting unit and its comparison to the carrying amount. In order to determine the fair value of the Baton Rouge reporting unit, the Company utilized a discounted cash flow model, which relied on projected EBITDA to determine the reporting unit's future cash flows. If the carrying amount exceeds the fair value in step 1, then step 2 of the impairment test is performed to determine the implied value of goodwill. If the implied value of goodwill is less than the goodwill allocated to the reporting unit, an impairment loss is recognized.</w:t>
      </w:r>
    </w:p>
    <w:p>
      <w:pPr>
        <w:spacing w:after="0" w:line="24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accordance with ASC 350, the Company considers its Hollywood Casino Perryville gaming license an indefinite-lived intangible asset that does not require amortization based on the Company's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The Company expects to expense any costs related to the gaming license renewal as incurred.</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assessed the fair value of our gaming license using the Greenfield Method under the income approach. The Greenfield Method estimates the fair value of the gaming license assuming the Company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24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Projected revenues and operating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Theoretical construction costs and duration;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Pre-opening expenses;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Remaining useful life of the license</w:t>
      </w:r>
    </w:p>
    <w:p>
      <w:pPr>
        <w:spacing w:after="0" w:line="2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evaluation of goodwill and indefinite-lived intangible assets requires the use of estimates about future operating results to determine the estimated fair value of the reporting unit and the indefinite-lived intangible assets. The Company must make various assumptions and estimates in performing its impairment testing. The implied fair value includes estimates of future cash flows that are based on reasonable and supportable assumptions, which represent the Company's best estimates of the cash flows expected to result from the use of the assets.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the Company's ongoing estimates of future cash flows are not met, the Company may have to record additional impairment charges in future accounting periods. The Company's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23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Forecasted cash flows can be significantly impacted by the local economy in which the Company's subsidiaries operate. For example, increases in unemployment rates can result in decreased customer visitations and/or lower customer spend per visit. In addition, new legislation which approves gaming in nearby jurisdictions or further expands gaming in jurisdictions in which the Company operates can result in increased competition for the property. This generally has a negative effect on profitability once competitors become established, as a certain level of cannibalization occurs absent an overall increase in customer visitations. Lastly, increases in gaming taxes approved by state regulatory bodies can negatively impact forecasted cash flows.</w:t>
      </w:r>
    </w:p>
    <w:p>
      <w:pPr>
        <w:spacing w:after="0" w:line="21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the Company's overall value but may be to the detriment of its existing operations.</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 determined the fair value of its goodwill and gaming license as of October 1, 2017 utilizing the forecasted cash flow methods described above and compared these values to the carrying value of the assets on its balance sheet. In determining the fair value of each asset, the Company incorporated recent operating trends of both TRS properties into its current year projections. After consideration of these facts, the fair value of both assets substantially exceeded their carrying amount, and as of October 1, 2017, the Company's goodwill and gaming license were not impaired.</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Note 2, the FASB recently issued ASU 2017-04, which simplifies the goodwill impairment test for public companies by eliminating Step 2 from the test. Upon the adoption of ASU 2017-04, an impairment charge is simply recorded as the difference between the carrying value and fair value of a reporting unit's goodwill, when the carrying value exceeds fair value. See Note 2 for further details on the new standard. The Company does not expect the adoption of ASU 2017-04 to significantly impact its goodwill impairment testing, as it has not recognized an impairment charge for goodwill or intangible assets since inception.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8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Arial" w:cs="Arial" w:eastAsia="Arial" w:hAnsi="Arial"/>
          <w:sz w:val="16"/>
          <w:szCs w:val="16"/>
          <w:i w:val="1"/>
          <w:iCs w:val="1"/>
          <w:color w:val="auto"/>
        </w:rPr>
        <w:t>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the Company records long-term debt net of unamortized debt issuance costs on its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may periodically loan funds to tenants. Loans are made at prevailing market interest rates and recorded on the Company's consolidated balance sheets at carrying value which approximates fair value. If the collectability of an outstanding loan balance is not reasonably assured, the Company will assess the loan's carrying value for potential impairment. If it is determined the loan is in fact impaired it will be written down or off completely. Currently, the Company does not have any allowances recorded against its loan receivable as the collection of the remaining principal and interest payments is reasonable assured. Interest income related to loans receivable is recorded in interest income within the Company's consolidated statements of income in the period earned.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TRS Properties are able to engage in activities resulting in income that would not be qualifying income for a REIT. As a result, certain activities of the Company which occur within its TRS Properties are subject to federal and state income taxes.</w:t>
      </w:r>
    </w:p>
    <w:p>
      <w:pPr>
        <w:spacing w:after="0" w:line="22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accounts for income taxes in accordance with ASC 740, "Income Taxes"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23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2017.</w:t>
      </w:r>
    </w:p>
    <w:p>
      <w:pPr>
        <w:spacing w:after="0" w:line="20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 ended December 31, 2017, the Company recognized no penalties and interest, net of deferred income taxes and during the years ended December 31, 2016 and 2015, the Company recognized $1 thousand and $59 thousand of penalties and interest, net of deferred income taxes, respectively.</w:t>
      </w:r>
    </w:p>
    <w:p>
      <w:pPr>
        <w:spacing w:after="0" w:line="2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The Company continues to be organized</w:t>
      </w:r>
    </w:p>
    <w:p>
      <w:pPr>
        <w:sectPr>
          <w:pgSz w:w="11900" w:h="16838" w:orient="portrait"/>
          <w:cols w:equalWidth="0" w:num="1">
            <w:col w:w="11400"/>
          </w:cols>
          <w:pgMar w:left="240" w:top="130"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130" w:right="25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4 taxable years following the year in which it failed to qualify to be taxed as a REIT.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8.</w:t>
      </w:r>
    </w:p>
    <w:p>
      <w:pPr>
        <w:spacing w:after="0" w:line="17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Additionally, in accordance with ASC 605, "Revenue Recognition," the Company records revenue for the real estate taxes paid by its tenants on the leased properties with an offsetting expense in real estate taxes within the consolidated statement of income as the Company has concluded it is the primary obligor. Similarly, the Company records revenue for the ground lease rent paid by its tenants with an offsetting expense in land rights and ground lease expense within the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 See Note 2 for a summary of anticipated changes to the recognition of revenue at the TRS Properties upon the adoption of ASU 2014-09 on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the TRS Properties, the Company is subject to gaming and admission taxes based on gross gaming revenues in the jurisdictions in which it operates. The Company primarily recognizes gaming tax expense based on the statutorily required percentage of revenue that is required to be paid to state and local jurisdictions in the states where wagering occurs. At Hollywood Casino Baton Rouge, the state gaming tax rate is flat, while the admission tax is based on graduated tax rates that increase as gross gaming revenues increase. At Hollywood Casino Perryville the state gaming tax rate is flat.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tax expense in future interim periods. For the three years ended December 31, 2017, these expenses, which are recorded within gaming, food, beverage and other expense in the consolidated statements of income, totaled $57.4 million, $57.7 million and $60.1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w:t>
      </w:r>
    </w:p>
    <w:p>
      <w:pPr>
        <w:spacing w:after="0" w:line="18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years ended December 31, 2017, 2016 and 2015: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210,705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178,594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114,432</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Assumed conversion of restricted stock</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performance-based restricted stock awards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212,752</w:t>
            </w:r>
          </w:p>
        </w:tc>
        <w:tc>
          <w:tcPr>
            <w:tcW w:w="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180,622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118,439</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73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5"/>
        </w:trPr>
        <w:tc>
          <w:tcPr>
            <w:tcW w:w="11160" w:type="dxa"/>
            <w:vAlign w:val="bottom"/>
            <w:gridSpan w:val="16"/>
          </w:tcPr>
          <w:p>
            <w:pPr>
              <w:ind w:left="660"/>
              <w:spacing w:after="0"/>
              <w:rPr>
                <w:sz w:val="20"/>
                <w:szCs w:val="20"/>
                <w:color w:val="auto"/>
              </w:rPr>
            </w:pPr>
            <w:r>
              <w:rPr>
                <w:rFonts w:ascii="Arial" w:cs="Arial" w:eastAsia="Arial" w:hAnsi="Arial"/>
                <w:sz w:val="18"/>
                <w:szCs w:val="18"/>
                <w:color w:val="auto"/>
                <w:w w:val="91"/>
              </w:rPr>
              <w:t>The following table presents the calculation of basic and diluted EPS for the Company’s common stock for the years ended December 31, 2017,</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2016 and 2015: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2"/>
        </w:trPr>
        <w:tc>
          <w:tcPr>
            <w:tcW w:w="7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3"/>
          </w:tcPr>
          <w:p>
            <w:pPr>
              <w:jc w:val="center"/>
              <w:ind w:right="260"/>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380,598</w:t>
            </w:r>
          </w:p>
        </w:tc>
        <w:tc>
          <w:tcPr>
            <w:tcW w:w="3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289,305</w:t>
            </w:r>
          </w:p>
        </w:tc>
        <w:tc>
          <w:tcPr>
            <w:tcW w:w="2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128,122</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3"/>
                <w:szCs w:val="23"/>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379,976</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288,637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127,605</w:t>
            </w:r>
          </w:p>
        </w:tc>
        <w:tc>
          <w:tcPr>
            <w:tcW w:w="2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178,594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114,432</w:t>
            </w:r>
          </w:p>
        </w:tc>
        <w:tc>
          <w:tcPr>
            <w:tcW w:w="20" w:type="dxa"/>
            <w:vAlign w:val="bottom"/>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380,598</w:t>
            </w:r>
          </w:p>
        </w:tc>
        <w:tc>
          <w:tcPr>
            <w:tcW w:w="3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289,305</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128,122</w:t>
            </w:r>
          </w:p>
        </w:tc>
        <w:tc>
          <w:tcPr>
            <w:tcW w:w="20" w:type="dxa"/>
            <w:vAlign w:val="bottom"/>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212,752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180,622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118,439</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r>
      <w:tr>
        <w:trPr>
          <w:trHeight w:val="27"/>
        </w:trPr>
        <w:tc>
          <w:tcPr>
            <w:tcW w:w="7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3,483, 23,954 and 24,233 outstanding equity based awards during the years ended December 31, 2017, 2016 and 2015, respectively, that were not included in the computation of diluted EPS because they were antidilutive.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130" w:right="29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Company's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unrecognized compensation cost relating to restricted stock awards and performance-based restricted stock awards will be amortized to expense over the awards’ remaining vesting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14 for further information related to the stock-based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real estate assets)</w:t>
      </w:r>
    </w:p>
    <w:p>
      <w:pPr>
        <w:ind w:right="100"/>
        <w:spacing w:after="0" w:line="255" w:lineRule="auto"/>
        <w:rPr>
          <w:sz w:val="20"/>
          <w:szCs w:val="20"/>
          <w:color w:val="auto"/>
        </w:rPr>
      </w:pPr>
      <w:r>
        <w:rPr>
          <w:rFonts w:ascii="Arial" w:cs="Arial" w:eastAsia="Arial" w:hAnsi="Arial"/>
          <w:sz w:val="18"/>
          <w:szCs w:val="18"/>
          <w:color w:val="auto"/>
        </w:rPr>
        <w:t>("GLP Capital") and the TRS Properties. The GLP Capital reportable segment consists of the leased real property and represents the majority of the Company’s business. The TRS Properties reportable segment consists of Hollywood Casino Perryville and Hollywood Casino Baton Rouge. See Note 15 for further information with respect to the Company’s segments.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has presented the consolidated statements of cash flows using the indirect method, which involves the reconciliation of net income to net cash flow from 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Year Acquisition</w:t>
      </w:r>
    </w:p>
    <w:p>
      <w:pPr>
        <w:spacing w:after="0" w:line="225" w:lineRule="exact"/>
        <w:rPr>
          <w:sz w:val="20"/>
          <w:szCs w:val="20"/>
          <w:color w:val="auto"/>
        </w:rPr>
      </w:pPr>
    </w:p>
    <w:p>
      <w:pPr>
        <w:ind w:right="120" w:firstLine="648"/>
        <w:spacing w:after="0" w:line="274" w:lineRule="auto"/>
        <w:rPr>
          <w:sz w:val="20"/>
          <w:szCs w:val="20"/>
          <w:color w:val="auto"/>
        </w:rPr>
      </w:pPr>
      <w:r>
        <w:rPr>
          <w:rFonts w:ascii="Arial" w:cs="Arial" w:eastAsia="Arial" w:hAnsi="Arial"/>
          <w:sz w:val="16"/>
          <w:szCs w:val="16"/>
          <w:color w:val="auto"/>
        </w:rPr>
        <w:t>On May 1, 2017, the Company acquired the real property assets of Bally's Casino Tunica (subsequently re-branded as the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Jackpot Casino) and Resorts Casino Tunica (the "Tunica Properties") for $82.9 million. The Company acquired both Bally's Casino Tunica and Resorts Casino Tunica, as well as the Resorts Hotel and land at Bally's Casino Tunica. Land rights to three long-term ground leases related to the Tunica Properties were also acquired in the transaction. The Company records revenue for the ground lease rent paid by its tenants with an offsetting expense in land rights and ground lease expense within the consolidated statements of income as the Company has concluded that as the lessee it is the primary obligor under these ground leases. As the primary obligor under these ground leases, the Company will record annual obligations of $2.7 million in its financial statements as both revenue and expense. However, the Company subleases these ground leases back to its tenants, who are responsible for payment directly to the landlord.</w:t>
      </w:r>
    </w:p>
    <w:p>
      <w:pPr>
        <w:spacing w:after="0" w:line="18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September 9, 2016, the Company acquired the real property assets of the Meadows Racetrack and Casino (the "Meadows") from Cannery Casino Resorts ("CCR") for approximately $323.3 million. Concurrent with the Company's purchase of the Meadows' real estate assets, Pinnacle purchased the entities holding the Meadows' gaming and racing licenses and operating assets from CCR. GLPI leases the Meadows' real property assets to Pinnacle under a triple-net lease separate from the Pinnacle Master Lease with an initial term of 10 years with no purchase option and the option to renew for three successive 5-year terms and one 4-year term, at Pinnacle's option (the "Meadows Lease").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30"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April 28, 2016, the Company acquired substantially all of the real estate assets of Pinnacle, adding 14 properties to its real estate portfolio. The acquisition of Pinnacle's real estate assets was the final step in a series of transactions contemplated by the July 20, 2015 merger agreement between GLPI, Gold Merger Sub, LLC, a wholly owned subsidiary of GLPI ("Merger Sub"), and Pinnacle providing for the merger of Pinnacle with and into Merger Sub, with Merger Sub surviving the merger as a wholly owned subsidiary of GLPI (the "Pinnacle Merger"). Following the Pinnacle Merger, GLPI contributed all of the equity interests of Gold Merger Sub to GLP Capital, L.P., a Pennsylvania limited partnership and a wholly owned subsidiary of GLPI ("GLP Capital"). At December 31, 2017, GLPI owns all of Pinnacle’s real property assets, other than Pinnacle’s Belterra Park Gaming &amp; Entertainment Center property and excess land at certain locations. Approval of the Pinnacle Merger by GLPI shareholders and Pinnacle stockholders was obtained at separate special meetings held on March 15, 2016.</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order to effect the acquisition of Pinnacle’s real property assets (other than the Belterra Park property and excess land at certain locations), prior to the Pinnacle Merger, Pinnacle caused certain assets relating to its operating business to be transferred to, and liabilities relating thereto to be assumed by a newly formed wholly owned subsidiary of Pinnacle ("OpCo"). Immediately following the separation of its real property assets and gaming and other operating assets, Pinnacle distributed to its stockholders all of the issued and outstanding shares of common stock of OpCo. As described above, on April 28, 2016, Pinnacle merged with and into Merger Sub, as described in more detail in the joint proxy statement/prospectus filed with a Registration Statement on Form S-4 (No. 333-206649) initially filed by GLPI with the SEC on December 23, 2015 and declared effective on February 16, 2016 (the "Joint Proxy Statement/Prospectus"), completing the Pinnacle Merger. Merger Sub, as the surviving company in the Pinnacle Merger, owns substantially all of Pinnacle’s real estate assets that were retained or transferred to Pinnacle in the separation and leases those assets back to Pinnacle pursuant to the triple-net 35-year (including extension renewals) Pinnacle Master Lease. A wholly-owned subsidiary of Pinnacle operates the leased gaming facilities as a tenant under the Pinnacle Master Lease Agreement.</w:t>
      </w:r>
    </w:p>
    <w:p>
      <w:pPr>
        <w:spacing w:after="0" w:line="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the effective time of the Pinnacle Merger, each share of Pinnacle common stock issued and outstanding immediately prior to the effective time of the Pinnacle Merger was converted into 0.85 of a share of GLPI common stock, with cash paid in lieu of the issuance of fractional shares of GLPI common stock. Shares of GLPI common stock were also issued to satisfy GLPI's portion of the outstanding Pinnacle employee equity and cash-based incentive awards outstanding at the closing date. Approximately 56.0 million shares of GLPI common stock were issued as consideration in the Pinnacle Merger. Additionally, GLPI repaid $2.7 billion of Pinnacle's debt and paid $226.8 million of Pinnacle's transaction expenses related to the Pinnacle Merger. The acquisition of the Pinnacle real estate assets is accounted for as an asset acquisition under ASC 805 - Business Combinations. Under asset acquisition accounting, transaction costs incurred to acquire the purchased assets are also included as part of the asset cost. Inclusive of $28.3 million of the Company's own transaction expenses, the purchase price of the Pinnacle real estate assets was $4.8 billion. The Pinnacle Merger contributed approximately $352.5 million and $237.5 million to the Company's net revenues for the years ended December 31, 2017 and 2016, respectively and resulted in approximately $54.2 million and $36.2 million of additional operating expenses for the same periods. Pinnacle is a publicly traded company that is subject to the informational filing requirements of the Securities and Exchange Act of 1934, as amended, and is required to file periodic reports on Form 10-K, Form 10-Q and Form 8-K with the SEC. Readers are directed to Pinnacle's website for further financial information on Pinnacle.</w:t>
      </w:r>
    </w:p>
    <w:p>
      <w:pPr>
        <w:spacing w:after="0" w:line="22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Purchase price allocations are primarily based on the fair values of assets acquired and liabilities assumed at the time of acquisition. The following tables summarize the consideration transferred in the Pinnacle Merger and the purchase price allocation to the assets acquired in the Pinnacle Merger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244475</wp:posOffset>
            </wp:positionV>
            <wp:extent cx="673227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171450"/>
                    </a:xfrm>
                    <a:prstGeom prst="rect">
                      <a:avLst/>
                    </a:prstGeom>
                    <a:noFill/>
                  </pic:spPr>
                </pic:pic>
              </a:graphicData>
            </a:graphic>
          </wp:anchor>
        </w:drawing>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Consideration</w:t>
      </w:r>
    </w:p>
    <w:p>
      <w:pPr>
        <w:spacing w:after="0" w:line="6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180" w:type="dxa"/>
            <w:vAlign w:val="bottom"/>
          </w:tcPr>
          <w:p>
            <w:pPr>
              <w:ind w:left="100"/>
              <w:spacing w:after="0"/>
              <w:rPr>
                <w:sz w:val="20"/>
                <w:szCs w:val="20"/>
                <w:color w:val="auto"/>
              </w:rPr>
            </w:pPr>
            <w:r>
              <w:rPr>
                <w:rFonts w:ascii="Arial" w:cs="Arial" w:eastAsia="Arial" w:hAnsi="Arial"/>
                <w:sz w:val="18"/>
                <w:szCs w:val="18"/>
                <w:color w:val="auto"/>
              </w:rPr>
              <w:t>Cash</w:t>
            </w:r>
          </w:p>
        </w:tc>
        <w:tc>
          <w:tcPr>
            <w:tcW w:w="50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2,955,090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GLPI common stock</w:t>
            </w:r>
          </w:p>
        </w:tc>
        <w:tc>
          <w:tcPr>
            <w:tcW w:w="4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1,823,991</w:t>
            </w:r>
          </w:p>
        </w:tc>
        <w:tc>
          <w:tcPr>
            <w:tcW w:w="0" w:type="dxa"/>
            <w:vAlign w:val="bottom"/>
          </w:tcPr>
          <w:p>
            <w:pPr>
              <w:spacing w:after="0"/>
              <w:rPr>
                <w:sz w:val="1"/>
                <w:szCs w:val="1"/>
                <w:color w:val="auto"/>
              </w:rPr>
            </w:pP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Fair value of total consideration transferred</w:t>
            </w:r>
          </w:p>
        </w:tc>
        <w:tc>
          <w:tcPr>
            <w:tcW w:w="43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4,779,081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180" w:type="dxa"/>
            <w:vAlign w:val="bottom"/>
          </w:tcPr>
          <w:p>
            <w:pPr>
              <w:spacing w:after="0"/>
              <w:rPr>
                <w:sz w:val="24"/>
                <w:szCs w:val="24"/>
                <w:color w:val="auto"/>
              </w:rPr>
            </w:pPr>
          </w:p>
        </w:tc>
        <w:tc>
          <w:tcPr>
            <w:tcW w:w="500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50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1,422,547</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Land rights, net</w:t>
            </w:r>
          </w:p>
        </w:tc>
        <w:tc>
          <w:tcPr>
            <w:tcW w:w="4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596,920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4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2,759,244</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4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43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4,779,081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300" w:type="dxa"/>
            <w:vAlign w:val="bottom"/>
            <w:vMerge w:val="restart"/>
          </w:tcPr>
          <w:p>
            <w:pPr>
              <w:jc w:val="right"/>
              <w:ind w:right="3010"/>
              <w:spacing w:after="0"/>
              <w:rPr>
                <w:sz w:val="20"/>
                <w:szCs w:val="20"/>
                <w:color w:val="auto"/>
              </w:rPr>
            </w:pPr>
            <w:r>
              <w:rPr>
                <w:rFonts w:ascii="Arial" w:cs="Arial" w:eastAsia="Arial" w:hAnsi="Arial"/>
                <w:sz w:val="18"/>
                <w:szCs w:val="18"/>
                <w:color w:val="auto"/>
              </w:rPr>
              <w:t>76</w:t>
            </w: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detailed above, the Company paid $3.0 billion in cash for the acquired Pinnacle real estate assets. In addition, as part of the consideration paid for the Pinnacle real estate assets acquired in the Pinnacle Merger, the Company issued shares of its common stock to Pinnacle stockholders and to Pinnacle to satisfy the Company's portion of Pinnacle's employee equity and cash-based incentive awards. The dollar value of the issued shares was $1.8 billion and is considered purchase price.</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real estate investments, net represent the land purchased from Pinnacle, while the land rights, net represent the Company's rights to land subject to long-term ground leases. The Company acquired ground leases at several of the Pinnacle properties and immediately subleased the land back to Pinnacle. The investment in direct financing lease, net is the Company's investment in the buildings and building improvements purchased from Pinnacle. As detailed in Note 8, the Pinnacle Master Lease was bifurcated between an operating lease and direct financing lease. The accounting treatment for the buildings purchased under a direct financing lease required the Company to record its initial investment in the buildings as a receivable on its consolidated balance sheet, which is subsequently reduced over the lease term to its estimated residual value. The purchase price allocated to prepaid expenses and other assets represents the current and long-term portions of a director and officer liability insurance policy purchased from Pinnacle.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36 rental properties and the corporate headquarters building and is summarized as follows:</w:t>
      </w:r>
    </w:p>
    <w:p>
      <w:pPr>
        <w:spacing w:after="0" w:line="38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196"/>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2,057,928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2,057,391</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2,461,573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2,438,581</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real estate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4,519,501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4,495,972</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(756,881)</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3,662,045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3,739,091</w:t>
            </w: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 Rights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25 years to 92 years at their respective acquisition dates. Land rights net, consists of the following:</w:t>
      </w:r>
    </w:p>
    <w:p>
      <w:pPr>
        <w:spacing w:after="0" w:line="3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101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656,666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596,921</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(6,163)</w:t>
            </w:r>
          </w:p>
        </w:tc>
      </w:tr>
      <w:tr>
        <w:trPr>
          <w:trHeight w:val="27"/>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640,148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590,758</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Amortization expense related to the ground leases is recorded within land rights and ground lease expense in the consolidated statements of income and totaled $10.4 million and $6.2 million for the years ended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30" w:right="27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585,598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640,148</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Details of the significant ground leases are as follows. The Company leases land at the Belterra Casino Resort under two ground leases, each with an initial term of 5 years and nine automatic renewals of 5 years each. The renewal options extend the leases through 2049 and are not terminable by the Company. The lease includes a base portion which is adjusted at each renewal based upon the CPI and a variable portion which is adjusted annually based upon 1.5% of gross gaming wins in excess of $100 million.</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leases land at the Ameristar East Chicago property under a ground lease with an initial term of 30 years and two optional renewals of 30 years each. The lease extends through 2086 with all renewals. Rent under the lease is adjusted every 3 years based upon the CPI and does not include a variable portion.</w:t>
      </w:r>
    </w:p>
    <w:p>
      <w:pPr>
        <w:spacing w:after="0" w:line="18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leases land at the River City Hotel and Casino under a ground lease with a term of 99 years that extends through 2108. The lease includes a base portion which is fixed and a variable portion which is adjusted annually based upon 2.5% of the annual gross receipts of the property less fixed rent payments made in the same year.</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leases land at the L'Auberge Lakes Charles property under a ground lease with an initial term of 10 years and six optional renewals of 10 years each. The lease extends through 2075 with all renewals. Rent under the lease is adjusted annually based upon the CPI and does not include a variable portion.</w:t>
      </w:r>
    </w:p>
    <w:p>
      <w:pPr>
        <w:spacing w:after="0" w:line="18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leases land at the Resorts Casino Tunica property under a ground lease with an initial term of 3 years and nine optional renewals of 5 years each. The lease extends through 2042 with all renewals. The lease has an annual fixed rent provision and does not include a variable portion.</w:t>
      </w:r>
    </w:p>
    <w:p>
      <w:pPr>
        <w:spacing w:after="0" w:line="124"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The Company leases land at the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Jackpot Casino (formerly known as Bally's Casino Tunica) under two ground leases. The first ground lease has an initial term of 6 years and nine optional renewals of 6 years each. The lease extends through 2054 with all renewals. Rent under this lease is adjusted annually based upon the CPI and does not include a variable portion. The second lease has an initial term of 10 years with ten optional renewals of 5 years each. The lease extends through 2055 with all renewals. The lease has an annual fixed rent provision and a variable portion which is adjusted annually based upon net gaming revenues of up to 4%, dependent on the property's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3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30,965</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116,286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117,350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114,965</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263,610</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(144,183)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108,293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consolidated statements of income and is recognized over the 35-year lease term using the effective interest rate method which produces a constant periodic rate of return 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December 31, 2017, there were no indicators of a decline in the estimated residual value of the property and collectability of the remaining receivable balance is reasonably assured.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investment in direct financing lease, net, consists of the following and represents the building assets acquired from Pinnacle:</w:t>
      </w:r>
    </w:p>
    <w:p>
      <w:pPr>
        <w:spacing w:after="0" w:line="36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6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r>
      <w:tr>
        <w:trPr>
          <w:trHeight w:val="196"/>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3,263,387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3,405,131</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1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3,953,198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4,094,942</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(1,384,231)</w:t>
            </w:r>
          </w:p>
        </w:tc>
      </w:tr>
      <w:tr>
        <w:trPr>
          <w:trHeight w:val="27"/>
        </w:trPr>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2,637,639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2,710,711</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January 2014, the Company completed the asset acquisition of the real property associated with the Casino Queen in East St. Louis, Illinois for $140.7 million. GLPI leases the property back to Casino Queen on a triple-net basis on terms similar to those in the Master Leases. The lease has an initial term of 15 years and the tenant has an option to renew it at the same terms and conditions for four successive five-year periods (the "Casino Queen Lease").</w:t>
      </w:r>
    </w:p>
    <w:p>
      <w:pPr>
        <w:spacing w:after="0" w:line="147"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Simultaneously with the Casino Queen acquisition, GLPI also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w:t>
      </w:r>
    </w:p>
    <w:p>
      <w:pPr>
        <w:ind w:right="20"/>
        <w:spacing w:after="0" w:line="292" w:lineRule="auto"/>
        <w:rPr>
          <w:sz w:val="20"/>
          <w:szCs w:val="20"/>
          <w:color w:val="auto"/>
        </w:rPr>
      </w:pPr>
      <w:r>
        <w:rPr>
          <w:rFonts w:ascii="Arial" w:cs="Arial" w:eastAsia="Arial" w:hAnsi="Arial"/>
          <w:sz w:val="16"/>
          <w:szCs w:val="16"/>
          <w:color w:val="auto"/>
        </w:rPr>
        <w:t>5.5 year term loan to CQ Holding Company, Inc., an affiliate of Casino Queen, to partially finance their acquisition of Lady Luck Casino in Marquette, Iowa. The cash proceeds were net settled. The new loan bears an interest rate of 15% and is pre-payable at any time. As of December 31, 2017, the balance of the new loan is $13.0 million. The collectability of the loan balance is reasonably assured, and as of December 31, 2017, there is no indication that the obligor will not remit all mandatory principal and interest payments in full and on time. The loan balance is recorded at carrying value which approximates fair value. Interest income related to the loan is recorded in interest income within the Company's consolidated statements of income in the period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30" w:right="2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of current maturities and unamortized debt issuance costs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825,000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$700 million revolver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550,000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4,481,230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4,716,341</w:t>
            </w: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(51,376)</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 net of unamortized debt issuance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4,442,880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4,664,965</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December 31, 2017 (in thousands):</w:t>
      </w:r>
    </w:p>
    <w:p>
      <w:pPr>
        <w:spacing w:after="0" w:line="375" w:lineRule="exact"/>
        <w:rPr>
          <w:sz w:val="20"/>
          <w:szCs w:val="20"/>
          <w:color w:val="auto"/>
        </w:rPr>
      </w:pPr>
    </w:p>
    <w:tbl>
      <w:tblPr>
        <w:tblLayout w:type="fixed"/>
        <w:tblInd w:w="3120" w:type="dxa"/>
        <w:tblCellMar>
          <w:top w:w="0" w:type="dxa"/>
          <w:left w:w="0" w:type="dxa"/>
          <w:bottom w:w="0" w:type="dxa"/>
          <w:right w:w="0" w:type="dxa"/>
        </w:tblCellMar>
      </w:tblP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780,117</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1,000,129</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1,225,136</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Over 5 years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1,475,583</w:t>
            </w:r>
          </w:p>
        </w:tc>
      </w:tr>
      <w:tr>
        <w:trPr>
          <w:trHeight w:val="27"/>
        </w:trPr>
        <w:tc>
          <w:tcPr>
            <w:tcW w:w="3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4,481,230</w:t>
            </w:r>
          </w:p>
        </w:tc>
      </w:tr>
      <w:tr>
        <w:trPr>
          <w:trHeight w:val="20"/>
        </w:trPr>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a $1,825 million dollar senior unsecured credit facility (the "Credit Facility"), consisting of a $700 million revolving credit facility, a $300 million Term Loan A facility, and an $825 million Term Loan A-1 facility. The revolving credit facility and the Term Loan A facility mature on October 28, 2018 and the Term Loan A-1 facility matures on April 28, 2021.</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December 31, 2017, the applicable margin was 1.50% for LIBOR loans and 0.50% for base rate loans. In addition, the Company is required to pay a commitment fee on the unused portion of the commitments under the revolving facility at a rate that ranges from 0.15% to 0.35% per annum, depending on the credit ratings assigned to the Credit Facility. At December 31, 2017, the commitment fee rate was 0.25%. The Company is not required to repay any loans under the Credit Facility prior to maturity on October 28, 2018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At December 31, 2017, the Credit Facility had a gross outstanding balance of $1,055 million. Additionally, at December 31, 2017, the Company was contingently obligated under letters of credit issued pursuant to the senior unsecured credit facility with face amounts aggregating approximately $0.4 million, resulting in $699.6 million of available borrowing capacity under the revolving credit facility as of December 31, 2017.</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2017, the Company was in compliance with all required financial covenants under the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December 31, 2017, the Company had $550 million outstanding of 4.375% senior unsecured notes maturing on November 1, 2018 (the "2018 Notes"), $1,000 million outstanding of 4.875% senior unsecured notes maturing on November 1, 2020 (the "2020 Notes"), $400 million of 4.375% senior unsecured notes maturing on April 15, 2021 (the "2021 Notes"), $500 million outstanding of 5.375% senior unsecured notes maturing on November 1, 2023 (the "2023 Notes") and $975 million of 5.375% senior unsecured notes maturing on April 15, 2026 (the "2026 Notes"and collectively with the 2018 Notes, the 2020 Notes, the 2021 Notes and the 2023 Notes, the "Notes"). Interest on each of the 2018 Notes, 2020 Notes and 2023 Notes, is payable semi-annually on May 1 and November 1 of each year. Interest on the 2021 Notes and 2026 Notes is payable semi-annually on April 15 and October 15 of each year and commenced on October 15, 2016.</w:t>
      </w:r>
    </w:p>
    <w:p>
      <w:pPr>
        <w:spacing w:after="0" w:line="10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may redeem the Notes of any series at any time, and from time to time, at a redemption price of 100% of the principal amount of the Notes redeemed, plus a "make-whole" redemption premium described in the indenture governing the Notes, together with accrued and unpaid interest to, but not including, the redemption date, except that if Notes of a series are redeemed 90 or fewer days prior to their maturity, the redemption price will be 100% of the principal amount of the Notes redeemed, together with accrued and unpaid interest to, but not including, the redemption date. If GLPI experiences a change of control accompanied by a decline in the credit rating of the Notes of a particular series, the Company will be required to give holders of the Notes of such series the opportunity to sell their Notes of such series at a price equal to 101% of the principal amount of the Notes of such series, together with accrued and unpaid interest to, but not including, the repurchase date. The Notes also are subject to mandatory redemption requirements imposed by gaming laws and regulations.</w:t>
      </w:r>
    </w:p>
    <w:p>
      <w:pPr>
        <w:spacing w:after="0" w:line="2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The Notes were issued by GLP Capital, L.P. and GLP Financing II, Inc. (the "Issuers"), two wholly-owned subsidiaries of GLPI, and are guaranteed on a senior unsecured basis by GLPI. The guarantees of GLPI are full and unconditional. The Notes are the Issuers' senior unsecured obligations and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of the Issuers' senior indebtedness, including the Credit Facility, and senior in right of payment to all of the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indebtedness, without giving effect to collateral arrangements. See Note 19 for additional financial information on the parent guarantor and subsidiary issuers of the Notes.</w:t>
      </w:r>
    </w:p>
    <w:p>
      <w:pPr>
        <w:spacing w:after="0" w:line="107"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a Separation and Distribution Agreement between Penn and GLPI, any liability arising from or relating to legal proceedings involving the businesses and operations of Penn’s real property holdings prior to the Spin-Off (other than any liability arising from or relating to legal proceedings where the dispute arises from the operation or ownership of the TRS Properties) will be retained by Penn, and Penn will indemnify GLPI (and its subsidiaries, directors, officers, employees and agents and certain other related parties) against any losses it may incur arising from or relating to such legal proceedings. Similarly, pursuant to a Separation and Distribution Agreement between Pinnacle's operating company and GLPI (as successor to Pinnacle Entertainment), any liability arising from or relating to legal proceedings involving the business and operations of Pinnacle's real property holdings prior to the Pinnacle Merger will be retained by Pinnacle, and Pinnacle will indemnify GLPI (and its subsidiaries, directors, officers, employees and agents and certain other related parties) against any losses it may incur arising from or relating to such legal proceedings. There can be no assurance that Penn or Pinnacle will be able to fully satisfy their indemnification obligations. Moreover, even if we ultimately succeed in recovering from Penn or Pinnacle any amounts for which we are liable, we may be temporarily required to bear those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the Spin-Off, Penn assigned to GLPI various leases on the land and buildings acquired in connection with the Spin-Off. The leases consist of annual base lease payments and, in some instances, a percentage rent based on a percent of adjusted gaming wins, as described in the respective leases. The following is a description of some of the more significant lease contracts that Penn assigned to GLPI:</w:t>
      </w:r>
    </w:p>
    <w:p>
      <w:pPr>
        <w:spacing w:after="0" w:line="23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has an operating lease for the land utilized in connection with the operations of the Boomtown Biloxi casino in Biloxi, Mississippi. The lease commenced March 3, 1994 and is for a term of 99 years. The annual rental payments are increased every 5 years by fifteen percent. The next reset period is in March 2019.</w:t>
      </w:r>
    </w:p>
    <w:p>
      <w:pPr>
        <w:spacing w:after="0" w:line="23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an operating lease for the land utilized in connection with the operations of Hollywood Casino Tunica in Tunica, Mississippi. The lease commenced on October 11, 1993 with a five year initial term and nine five year renewals at the tenant's option. The lease agreement has an annual fixed rent provision, as well as an annual revenue-sharing provision, which is equal to the result obtained by subtracting the fixed rent provision from 4% of gross revenues.</w:t>
      </w:r>
    </w:p>
    <w:p>
      <w:pPr>
        <w:spacing w:after="0" w:line="24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Company has an operating lease with the City of Bangor for the land utilized in connection with the operations of Hollywood Casino Bangor, which opened on July 1, 2008. Under the lease agreement, there is a fixed rent provision, for which GLPI is responsible, which totals $0.1 million per year. The term of the lease, which commenced with the opening of Hollywood Casino Bangor, is for an initial term of fifteen years, with three ten-year renewal options.</w:t>
      </w:r>
    </w:p>
    <w:p>
      <w:pPr>
        <w:spacing w:after="0" w:line="10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May 2017, the Company acquired the real estate assets of the Tunica Properties, including the rights to land subject to long-term ground leases. The Company assumed three ground leases related to the acquired Tunica Properties and immediately subleased the land to Penn, who is responsible for payment directly to the landlord. The Company records revenue for the ground lease rent paid by its tenants with an offsetting expense in land rights and ground lease expense within the consolidated statements of income as the Company has concluded that as the lessee it is the primary obligor under these ground leases. The portion of the ground lease rent that is fixed and determinable is included in the schedule below as a future commitment, while the portion of the ground lease rent that is variable is excluded from future commitments as the amounts are not fixed and determinable at December 31, 2017 and therefore considered contingent rent. For those ground leases with optional renewal terms extending beyond the 35-year lease term of the Penn Master Lease, the Company has included only the renewals that align most closely to the 2048 termination date of the Penn Master Lease in the schedule below, as it cannot be reasonably assured it will renew ground leases for land subleased to Penn beyond the term of the Penn Master Lease. The following is a description of the lease contracts assumed from the acquisition of the Tunica Properties: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30" w:right="2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leases land at the Resorts Casino Tunica property under a ground lease with an initial term of 3 years and nine optional renewals of 5 years each. The lease extends through 2042 with all renewals. The lease has an annual fixed rent provision and does not include a variable portion.</w:t>
      </w:r>
    </w:p>
    <w:p>
      <w:pPr>
        <w:spacing w:after="0" w:line="124"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The Company leases land at the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Jackpot Casino (formerly known as Bally's Casino Tunica) under two ground leases. The first ground lease has an initial term of 6 years and nine optional renewals of 6 years each. The lease extends through 2054 with all renewals. Rent under this lease is adjusted annually based upon the CPI and does not include a variable portion. The second lease has an initial term of 10 years with ten optional renewals of 5 years each. The lease extends through 2055 with all renewals. The lease has an annual fixed rent provision and a variable portion which is adjusted annually based upon net gaming revenues of up to 4%, dependent on the property's operating results.</w:t>
      </w:r>
    </w:p>
    <w:p>
      <w:pPr>
        <w:spacing w:after="0" w:line="19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During April 2016, the Company acquired the real estate assets of Pinnacle, including the rights to land subject to long-term ground leases. The Company assumed ground leases at several of the acquired Pinnacle properties and immediately subleased the land back to Pinnacle, who is responsible for payment directly to the landlord. For those ground leases with optional renewal terms extending beyond the 35-year lease term of the Pinnacle Master Lease, the Company has included only the renewals that align most closely to the 2051 termination date of the Pinnacle Master Lease in the schedule below, as it cannot be reasonably assured it will renew ground leases for land subleased to Pinnacle beyond the term of the Pinnacle Master Lease. The following is a description of the more significant lease contracts assumed from Pinnacle:</w:t>
      </w:r>
    </w:p>
    <w:p>
      <w:pPr>
        <w:spacing w:after="0" w:line="178"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Company leases land at the Belterra Casino Resort under two ground leases, each with an initial term of 5 years and nine automatic renewals of 5 years each. The renewal options extend the leases through 2049 and are not terminable by the Company. The lease includes a base portion which is adjusted at each renewal based upon the CPI and a variable portion which is adjusted annually based upon 1.5% of gross gaming wins in excess of $100 million.</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leases land at the Ameristar East Chicago property under a ground lease with an initial term of 30 years and two optional renewals of 30 years each. The lease extends through 2086 with all renewals. Rent under the lease is adjusted every 3 years based upon the CPI and does not include a variable portion.</w:t>
      </w:r>
    </w:p>
    <w:p>
      <w:pPr>
        <w:spacing w:after="0" w:line="18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leases land at the River City Hotel and Casino under a ground lease with a term of 99 years that extends through 2108. The lease includes a base portion which is fixed and a variable portion which is adjusted annually based upon 2.5% of the annual gross receipts of the property less fixed rent payments made in the same year.</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leases land at the L'Auberge Lakes Charles property under a ground lease with an initial term of 10 years and six optional renewals of 10 years each. The lease extends through 2075 with all renewals. Rent under the lease is adjusted annually based upon the CPI and does not include a variable portion.</w:t>
      </w:r>
    </w:p>
    <w:p>
      <w:pPr>
        <w:spacing w:after="0" w:line="10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addition, the Company is liable under numerous operating leases for equipment and other miscellaneous assets, which expire at various dates through 2023.</w:t>
      </w:r>
    </w:p>
    <w:p>
      <w:pPr>
        <w:spacing w:after="0" w:line="22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Total rental expense under these agreements was $15.8 million, $11.0 million and $5.4 million for the years ended December 31, 2017, 2016 and 2015. This includes rent expense under the leases assigned to the Company at Spin-Off, leases for equipment and miscellaneous assets and the fixed and variable rent under the ground leases discussed above.</w:t>
      </w:r>
    </w:p>
    <w:p>
      <w:pPr>
        <w:spacing w:after="0" w:line="23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future minimum lease commitments, as of inception of the lease, relating to noncancelable operating leases at December 31, 2017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Year ending December 31, </w:t>
            </w:r>
            <w:r>
              <w:rPr>
                <w:rFonts w:ascii="Arial" w:cs="Arial" w:eastAsia="Arial" w:hAnsi="Arial"/>
                <w:sz w:val="8"/>
                <w:szCs w:val="8"/>
                <w:b w:val="1"/>
                <w:bCs w:val="1"/>
                <w:color w:val="auto"/>
              </w:rPr>
              <w:t>(1)</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10,735</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10,743</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10,705</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10,691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10,679</w:t>
            </w:r>
          </w:p>
        </w:tc>
      </w:tr>
      <w:tr>
        <w:trPr>
          <w:trHeight w:val="243"/>
        </w:trPr>
        <w:tc>
          <w:tcPr>
            <w:tcW w:w="98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546,433</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599,986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The above table excludes contingent rent in accordance with ASC 840.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The Company makes a discretionary match contribution of 50% of employees' elective salary deferrals, up to a maximum of 6% of eligible employee compensation. The matching contributions for the defined contribution plan were $0.3 million for each of the years ended December 31, 2017, 2016 and 2015.</w:t>
      </w:r>
    </w:p>
    <w:p>
      <w:pPr>
        <w:spacing w:after="0" w:line="2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the years ended December 31, 2017, 2016 and 2015 were $0.6 million, $0.7 million and $0.5 million, respectively. The Company's deferred compensation liability, which was included in other liabilities within the consolidated balance sheet, was $22.7 million and $17.7 million at December 31, 2017 and 2016, respectively and primarily relates to balances contributed as part of the Spin-Off as related to the Company's executive officers that were previously employed by Penn. Assets held in the Trust were $22.6 million and $17.6 million at December 31, 2017 and 2016, respectively, and are included in other assets within the consolidated balance sheet.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Agreements</w:t>
      </w:r>
    </w:p>
    <w:p>
      <w:pPr>
        <w:spacing w:after="0" w:line="2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Some of Hollywood Casino Perryville's employees are currently represented by labor unions. The Seafarers Entertainment and Allied Trade Union represents 161 of Hollywood Casino Perryville's employees under an agreement that expires in February 2020. Additionally, Local No. 27 United Food and Commercial Workers and United Industrial Service Transportation Professional and Government Workers of North America represent certain employees under collective bargaining agreements that expire in 2020, neither of which represents more than 50 of Hollywood Casino Perryville's employees. If the Company fails to renew or modify existing agreements on satisfactory terms, this failure could have a material adverse effect on Hollywood Casino Perryville's business, financial condition and results of operations. There can be no assurance that Hollywood Casino Perryville will be able to maintain these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December 31, 2017, 20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of Penn and Pinnacle subsidiaries that occupy and operate the facilities leased under the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Meadows real estate assets are leased to Pinnacle under a single property triple-net lease separate from the Pinnacle Master Lease. GLPI also leases the Casino Queen property back to its operator on a triple-net basis on terms similar to those in the Master Leases.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right="220" w:firstLine="690"/>
        <w:spacing w:after="0" w:line="264"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4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Casino Queen or Pinnacle could continue as a going concern without the properties that are leased to it under the respective master lease agreements (in the instance of Penn and Pinnacle) and single property lease (in the instance of Casino Queen) with GLPI. At lease inception, all of Casino Queen's revenues and substantially all of Penn and Pinnacle's revenues were generated from operations in connection with the leased properties. There are also various legal restrictions in the jurisdictions in which Penn, Casino Queen and Pinnacle operate that limit the availability and location of gaming facilities, which makes relocation or replacement of the leased gaming facilities restrictive and potentially impracticable or unavailable. Moreover, under the terms of the master leases, Penn and Pinnacle must make renewal elections with respect to all of the leased property together; the tenant is not entitled to selectively renew certain of the leased property while not renewing other property. Accordingly, the Company concluded that failure by Penn, Casino Queen or Pinnacle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15-year term plus all four of the 5-year renewal options. The lease term of the Pinnacle Master Lease is also 35 years, equal to the initial 10-year term plus all five of the 5-year renewal options.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described in Note 4, subsequent to purchasing the majority of Pinnacle's real estate assets and leasing them back to Pinnacle, GLPI entered into a separate triple-net lease with Pinnacle to lease the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 year term only.</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2017, the future minimum rental income from the Company's properties under non-cancelable operating leases, including any reasonably assured rental periods, was as follows (in thousands):</w:t>
      </w:r>
    </w:p>
    <w:p>
      <w:pPr>
        <w:spacing w:after="0" w:line="31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Future Rental</w:t>
            </w: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Straight-Line Rent</w:t>
            </w:r>
          </w:p>
        </w:tc>
        <w:tc>
          <w:tcPr>
            <w:tcW w:w="14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Future Income to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Recognized Related to</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160" w:type="dxa"/>
            <w:vAlign w:val="bottom"/>
            <w:gridSpan w:val="2"/>
            <w:vMerge w:val="continue"/>
          </w:tcPr>
          <w:p>
            <w:pPr>
              <w:spacing w:after="0"/>
              <w:rPr>
                <w:sz w:val="13"/>
                <w:szCs w:val="13"/>
                <w:color w:val="auto"/>
              </w:rPr>
            </w:pPr>
          </w:p>
        </w:tc>
        <w:tc>
          <w:tcPr>
            <w:tcW w:w="1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Payments Receivable</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3"/>
                <w:szCs w:val="13"/>
                <w:color w:val="auto"/>
              </w:rPr>
            </w:pPr>
          </w:p>
        </w:tc>
        <w:tc>
          <w:tcPr>
            <w:tcW w:w="1420" w:type="dxa"/>
            <w:vAlign w:val="bottom"/>
          </w:tcPr>
          <w:p>
            <w:pPr>
              <w:jc w:val="center"/>
              <w:ind w:right="54"/>
              <w:spacing w:after="0" w:line="158" w:lineRule="exact"/>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683,054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631,188</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632,578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643,793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643,793</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632,578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643,793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643,793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16,641,083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16,880,112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19,854,449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20,086,472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years ended December 31, 2017, 2016 and 2015, GLPI recognized $46.8 million, $43.8 million and $43.5 million, respectively, in contingent rental income from Hollywood Casino Columbus and Hollywood Casino Toledo related to clause (ii) in the paragraph above. The expected future minimum rental income from these properties, as well as the portion of the expected future rent based on the performance of the Company's leased facilities that will reset after a certain passage of</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30"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time as detailed above are excluded from the table above as they are considered contingent rental income under ASC 840 "Leases." Furthermore, during the years ended December 31, 2017, 2016 and 2015 the Company recognized $17.5 million, $9.1 million and $4.0 million, respectively of rental income related to the annual rent escalators described above. Any anticipated future rent escalations are also excluded from the table above.</w:t>
      </w:r>
    </w:p>
    <w:p>
      <w:pPr>
        <w:spacing w:after="0" w:line="8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December 31, 2017, the expected future cash receipts to be recognized as income, as well as the cash receipts to be applied against the investment in direct financing lease from the Company's properties under the non-cancelable direct financing lease, inclusive of the fixed portion of ground lease rent and including any reasonably assured rental periods, is as follows (in thousands):</w:t>
      </w:r>
    </w:p>
    <w:p>
      <w:pPr>
        <w:spacing w:after="0" w:line="10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Cash Receipts to be</w:t>
            </w: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Cash Receipts to be Applied</w:t>
            </w:r>
          </w:p>
        </w:tc>
        <w:tc>
          <w:tcPr>
            <w:tcW w:w="0" w:type="dxa"/>
            <w:vAlign w:val="bottom"/>
          </w:tcPr>
          <w:p>
            <w:pPr>
              <w:spacing w:after="0"/>
              <w:rPr>
                <w:sz w:val="1"/>
                <w:szCs w:val="1"/>
                <w:color w:val="auto"/>
              </w:rPr>
            </w:pPr>
          </w:p>
        </w:tc>
      </w:tr>
      <w:tr>
        <w:trPr>
          <w:trHeight w:val="149"/>
        </w:trPr>
        <w:tc>
          <w:tcPr>
            <w:tcW w:w="6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Against the Investment in</w:t>
            </w:r>
          </w:p>
        </w:tc>
        <w:tc>
          <w:tcPr>
            <w:tcW w:w="0" w:type="dxa"/>
            <w:vAlign w:val="bottom"/>
          </w:tcPr>
          <w:p>
            <w:pPr>
              <w:spacing w:after="0"/>
              <w:rPr>
                <w:sz w:val="1"/>
                <w:szCs w:val="1"/>
                <w:color w:val="auto"/>
              </w:rPr>
            </w:pPr>
          </w:p>
        </w:tc>
      </w:tr>
      <w:tr>
        <w:trPr>
          <w:trHeight w:val="158"/>
        </w:trPr>
        <w:tc>
          <w:tcPr>
            <w:tcW w:w="69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Recorded as Income</w:t>
            </w:r>
          </w:p>
        </w:tc>
        <w:tc>
          <w:tcPr>
            <w:tcW w:w="160" w:type="dxa"/>
            <w:vAlign w:val="bottom"/>
          </w:tcPr>
          <w:p>
            <w:pPr>
              <w:spacing w:after="0"/>
              <w:rPr>
                <w:sz w:val="13"/>
                <w:szCs w:val="13"/>
                <w:color w:val="auto"/>
              </w:rPr>
            </w:pPr>
          </w:p>
        </w:tc>
        <w:tc>
          <w:tcPr>
            <w:tcW w:w="1640" w:type="dxa"/>
            <w:vAlign w:val="bottom"/>
          </w:tcPr>
          <w:p>
            <w:pPr>
              <w:jc w:val="right"/>
              <w:ind w:right="112"/>
              <w:spacing w:after="0" w:line="158" w:lineRule="exact"/>
              <w:rPr>
                <w:sz w:val="20"/>
                <w:szCs w:val="20"/>
                <w:color w:val="auto"/>
              </w:rPr>
            </w:pPr>
            <w:r>
              <w:rPr>
                <w:rFonts w:ascii="Arial" w:cs="Arial" w:eastAsia="Arial" w:hAnsi="Arial"/>
                <w:sz w:val="14"/>
                <w:szCs w:val="14"/>
                <w:b w:val="1"/>
                <w:bCs w:val="1"/>
                <w:color w:val="auto"/>
                <w:w w:val="92"/>
              </w:rPr>
              <w:t>Direct Financing Lease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45,244</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70,497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32,881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34,546</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67,166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36,212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37,878</w:t>
            </w:r>
          </w:p>
        </w:tc>
        <w:tc>
          <w:tcPr>
            <w:tcW w:w="0" w:type="dxa"/>
            <w:vAlign w:val="bottom"/>
          </w:tcPr>
          <w:p>
            <w:pPr>
              <w:spacing w:after="0"/>
              <w:rPr>
                <w:sz w:val="1"/>
                <w:szCs w:val="1"/>
                <w:color w:val="auto"/>
              </w:rPr>
            </w:pPr>
          </w:p>
        </w:tc>
      </w:tr>
      <w:tr>
        <w:trPr>
          <w:trHeight w:val="243"/>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1,163,686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1,761,067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1,507,963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1,947,828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portion of the ground lease rent that is fixed and determinable is included in the schedule above as future income, while the portion of the ground lease rent that is variable, as well as, the property taxes the Company's records as revenue are excluded from future minimum revenue as the amounts are not fixed and determinable at December 31, 2017. Furthermore, any contingent rent the Company expects to receive from tenants is excluded from the above schedules as it is not fixed and determinable at December 31, 2017.</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 See Note 2 for a summary of anticipated changes to the recognition of revenue at the TRS Properties upon the adoption of ASU 2014-09 on January 1, 2018.</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consolidated statements of income for the years ended December 31, 2017, 2016 and 2015: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lottery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119,390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122,292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Table game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18,799</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11,213</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gaming, food, beverage and other revenue, net of cash incentives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149,661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153,523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retail value of food and beverage and other services furnished to guests without charge is included in gross revenues and then deducted as promotional allowances.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2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elected on its U.S. federal income tax return for its taxable year that began on January 1, 2014 to be treated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 Act, the corporate tax rate was permanently lowered from the existing maximum rate of 35% to 21%, effective for tax years including or commencing January 1, 2018. As a result of the reduction of the corporate tax rate, U.S. generally accepted accounting principles require companies to re-value their deferred tax assets and liabilities as of the date of the enactment, with resulting tax effects accounted for in the reported period of enactment. As such, the Company revalued its net deferred tax asset at December 31, 2017. This revaluation resulted in a reduction in the value of its net deferred tax asset of approximately $1.8 million, which was recorded as additional income tax expense in the Company’s consolidated statement of income for the year ended December 31,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related to its TRS,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56"/>
        </w:trPr>
        <w:tc>
          <w:tcPr>
            <w:tcW w:w="8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1,655</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5,818</w:t>
            </w:r>
          </w:p>
        </w:tc>
      </w:tr>
      <w:tr>
        <w:trPr>
          <w:trHeight w:val="237"/>
        </w:trPr>
        <w:tc>
          <w:tcPr>
            <w:tcW w:w="40" w:type="dxa"/>
            <w:vAlign w:val="bottom"/>
          </w:tcPr>
          <w:p>
            <w:pPr>
              <w:spacing w:after="0"/>
              <w:rPr>
                <w:sz w:val="20"/>
                <w:szCs w:val="20"/>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7,473</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37"/>
        </w:trPr>
        <w:tc>
          <w:tcPr>
            <w:tcW w:w="40" w:type="dxa"/>
            <w:vAlign w:val="bottom"/>
          </w:tcPr>
          <w:p>
            <w:pPr>
              <w:spacing w:after="0"/>
              <w:rPr>
                <w:sz w:val="20"/>
                <w:szCs w:val="20"/>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(3,816)</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3,657</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charged to operations for years ended December 31, 2017, 2016 and 2015 was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4,945</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3,310</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Total current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8,255</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7,442</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60"/>
          </w:cols>
          <w:pgMar w:left="240" w:top="130" w:right="29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reconcile the statutory federal income tax rate to the actual effective income tax rate for the years ended December 31, 2017, 2016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 of pretax income</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U.S. federal statutory income tax rate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Federal tax rate change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REIT conversion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Other miscellaneous items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777"/>
        </w:trPr>
        <w:tc>
          <w:tcPr>
            <w:tcW w:w="6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6"/>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 based upon pretax income</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U.S. federal statutory income tax</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136,636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103,897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47,447</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Federal tax rate change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REIT conversion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(130,876)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(42,438)</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Permanent differences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miscellaneous items</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r>
      <w:tr>
        <w:trPr>
          <w:trHeight w:val="237"/>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9,787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7,442</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subject to federal income tax examinations for its years ended December 31, 2014 and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year ended December 31, 2017, GLPI sold 3,864,872 shares of its common stock at an average price of $36.22 per share under the ATM Program, which generated gross proceeds of approximately $140.0 million (net proceeds of approximately $139.4 million). Program to date, the Company has sold 5,186,871 shares of its common stock at an average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price of $35.91 per share under the ATM Program and generated gross proceeds of approximately $186.3 million (net proceeds of approximately $185.0 million). The Company used the net proceeds from the ATM Program to partially fund its acquisition of the Meadows' and Tunica real estate assets. As of December 31, 2017, the Company had $213.7 million remaining for issuance under the ATM Program and had not entered into any forward sale agreements.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Issued in Connection with Pinnacle Transaction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April 6, 2016, the Company closed a public offering of 28,750,000 shares of its common stock, at a public offering price of $30.00 per share, before underwriting discount, which included 3,750,000 shares of common stock issued in connection with the exercise in full of the underwriters’ option to purchase additional shares.</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Company received approximately $825.2 million in net proceeds from the offering and used the net proceeds from the offering to partially fund its acquisition of substantially all of the real estate assets of Pinnacle, including the repayment, redemption and/or discharge of a portion of certain debt of Pinnacle assumed by the Company in connection with the Pinnacle Merger and the payment of transaction-related fees and expenses.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on April 28, 2016, in connection with the Pinnacle Merger, the Company issued approximately 56.0 million shares of its common stock to Pinnacle stockholders and to Pinnacle to satisfy the Company's portion of Pinnacle's employee equity and cash-based incentive awards as consideration for the Pinnacle real estate assets.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regular dividends declared and paid by the Company during the years ended December 31, 2017, 2016 and 2015:</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92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Declaration Date</w:t>
            </w: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Shareholder Record Date</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Period Covered</w:t>
            </w:r>
          </w:p>
        </w:tc>
        <w:tc>
          <w:tcPr>
            <w:tcW w:w="1920" w:type="dxa"/>
            <w:vAlign w:val="bottom"/>
            <w:gridSpan w:val="2"/>
          </w:tcPr>
          <w:p>
            <w:pPr>
              <w:ind w:left="30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33"/>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gridSpan w:val="3"/>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 2017</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13, 2017</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2017</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24,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25, 2017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16, 2017</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2017</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July 25, 2017</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8, 2017</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2017</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22,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133,936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19, 2017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1, 2017</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2017</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15,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133,942</w:t>
            </w:r>
          </w:p>
        </w:tc>
      </w:tr>
      <w:tr>
        <w:trPr>
          <w:trHeight w:val="203"/>
        </w:trPr>
        <w:tc>
          <w:tcPr>
            <w:tcW w:w="184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29, 2016</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22, 2016</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2016</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25,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65,345</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April 25, 2016</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 2016</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Second Quarter 2016</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June 17,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113,212</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3, 2016</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12, 2016</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2016</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23,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124,262</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4, 2016</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5, 2016</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Fourth Quarter 2016</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16,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124,466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gridSpan w:val="3"/>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3, 2015</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10, 2015</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0.545</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2015</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27, 2015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62,072</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 2015</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11, 2015</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0.545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2015</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26,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62,348</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July 30, 2015</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14, 2015</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0.545</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2015</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25, 2015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62,456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28, 2015</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1, 2015</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0.545</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2015</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18,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62,814</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In addition for the years ended December 31, 2017, 2016 and 2015, dividend payments were made to or accrued for GLPI restricted stock award holders and for both GLPI and Penn unvested employee stock options in the amount of $0.9 million, $1.1 million and $2.0 million,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30"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summary of the Company's common stock distributions for the years ended December 31, 2017, 2016 and 2015 is as follows (unaudited):</w:t>
      </w: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2015</w:t>
            </w:r>
          </w:p>
        </w:tc>
      </w:tr>
      <w:tr>
        <w:trPr>
          <w:trHeight w:val="244"/>
        </w:trPr>
        <w:tc>
          <w:tcPr>
            <w:tcW w:w="4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dollars per share)</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5"/>
        </w:trPr>
        <w:tc>
          <w:tcPr>
            <w:tcW w:w="4760" w:type="dxa"/>
            <w:vAlign w:val="bottom"/>
          </w:tcPr>
          <w:p>
            <w:pPr>
              <w:ind w:left="20"/>
              <w:spacing w:after="0"/>
              <w:rPr>
                <w:sz w:val="20"/>
                <w:szCs w:val="20"/>
                <w:color w:val="auto"/>
              </w:rPr>
            </w:pPr>
            <w:r>
              <w:rPr>
                <w:rFonts w:ascii="Arial" w:cs="Arial" w:eastAsia="Arial" w:hAnsi="Arial"/>
                <w:sz w:val="18"/>
                <w:szCs w:val="18"/>
                <w:color w:val="auto"/>
              </w:rPr>
              <w:t>Qualified dividends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0.0543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0.1050</w:t>
            </w:r>
          </w:p>
        </w:tc>
        <w:tc>
          <w:tcPr>
            <w:tcW w:w="12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0.0698</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Non-qualified dividends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2.0746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1.9462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44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0.0371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0.0624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0.0012</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Non-taxable return of capital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0.1650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0.0780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0.1628</w:t>
            </w:r>
          </w:p>
        </w:tc>
      </w:tr>
      <w:tr>
        <w:trPr>
          <w:trHeight w:val="29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distributions per common share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2.18</w:t>
            </w:r>
          </w:p>
        </w:tc>
      </w:tr>
      <w:tr>
        <w:trPr>
          <w:trHeight w:val="284"/>
        </w:trPr>
        <w:tc>
          <w:tcPr>
            <w:tcW w:w="4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Percentage classified as qualified dividends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classified as non-qualified dividends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Percentage classified as capital gains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classified as non-taxable return of capital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37"/>
        </w:trPr>
        <w:tc>
          <w:tcPr>
            <w:tcW w:w="47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4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Stock-Based Compensation</w:t>
      </w:r>
    </w:p>
    <w:p>
      <w:pPr>
        <w:spacing w:after="0" w:line="2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2017, the Company had 2,755,796 shares available for future issuance under the 2013 Long Term Incentive Compensation Plan (the "2013 Plan") that was approved by shareholders on October 23, 2013.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2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Spin-Off, each outstanding option with respect to Penn common stock outstanding on the distribution date was converted into two awards, an adjusted Penn option and a GLPI option. The adjustment preserved the aggregate intrinsic value of the options. Additionally, in connection with the Spin-Off, holders of outstanding restricted stock and phantom stock units ("PSUs") with respect to Penn common stock became entitled to an additional share of restricted stock or PSU with respect to GLPI common stock for each share of Penn restricted stock or PSU held. These awards are not counted against the 2013 Plan limit mentioned above.</w:t>
      </w:r>
    </w:p>
    <w:p>
      <w:pPr>
        <w:spacing w:after="0" w:line="10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adjusted options, as well as the restricted stock awards and PSUs, otherwise remain subject to their original terms, except that for purposes of the adjusted Penn awards (including in determining exercisability and the post-termination exercise period), continued service with GLPI following the distribution date shall be deemed continued service with Penn; and for purposes of the GLPI awards (including in determining exercisability and the post-termination exercise period), continued service with Penn following the distribution date shall be deemed continued service with GLPI.</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unrecognized compensation cost relating to restricted stock awards and performance-based restricted stock awards will be amortized to expense over the awards’ remaining vesting periods.</w:t>
      </w:r>
    </w:p>
    <w:p>
      <w:pPr>
        <w:spacing w:after="0" w:line="8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2017, there was no remaining unrecognized compensation cost related to stock options. For the years ended December 31, 2016 and 2015, the Company recognized $20 thousand and $2.8 million, respectively of compensation expense associated with these awards. In addition, for the years ended December 31, 2016 and 2015 the Company also recognized $4.5 million and $11.3 million, respectively, of compensation expense relating to the $2.32 and $2.18, respectively, per share dividends paid on vested employee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30" w:right="2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contain information on stock options issued and outstanding for the year ended December 31, 2017 :</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Option 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2,056,382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(1,013,984)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1,040,745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
              <w:spacing w:after="0"/>
              <w:rPr>
                <w:sz w:val="20"/>
                <w:szCs w:val="20"/>
                <w:color w:val="auto"/>
              </w:rPr>
            </w:pPr>
            <w:r>
              <w:rPr>
                <w:rFonts w:ascii="Arial" w:cs="Arial" w:eastAsia="Arial" w:hAnsi="Arial"/>
                <w:sz w:val="18"/>
                <w:szCs w:val="18"/>
                <w:color w:val="auto"/>
              </w:rPr>
              <w:t>17,902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had 1,040,745 stock options that were exercisable at December 31, 2017 with an exercise price range from $17.33 to $26.45 and a weighted average exercise price of $19.80 which had an intrinsic value of $17.9 million and a weighted-average remaining contractual term of 0.77 years. The aggregate intrinsic value of stock options exercised for the years ended December 31, 2017, 2016 and 2015 was $14.9 million, $75.0 million and $47.8 million, respectively. The Company issues new authorized common shares to satisfy stock option exercises and restricted stock award releases.</w:t>
      </w:r>
    </w:p>
    <w:p>
      <w:pPr>
        <w:spacing w:after="0" w:line="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of December 31, 2017, there was $5.4 million of total unrecognized compensation cost for restricted stock awards that will be recognized over the grants' remaining weighted average vesting period of 1.75 years. For the years ended December 31, 2017, 2016 and 2015, the Company recognized $6.0 million, $7.3 million and $5.9 million, respectively, of compensation expense associated with these awards. The total fair value of awards released for the years ended December 31, 2017, 2016 and 2015, was $7.3 million, $5.3 million and $4.5 million,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years ended December 31, 2017 and 2016:</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5180" w:type="dxa"/>
            <w:vAlign w:val="bottom"/>
          </w:tcPr>
          <w:p>
            <w:pPr>
              <w:spacing w:after="0"/>
              <w:rPr>
                <w:sz w:val="12"/>
                <w:szCs w:val="12"/>
                <w:color w:val="auto"/>
              </w:rPr>
            </w:pPr>
          </w:p>
        </w:tc>
        <w:tc>
          <w:tcPr>
            <w:tcW w:w="128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Grant-Date Fair</w:t>
            </w:r>
          </w:p>
        </w:tc>
      </w:tr>
      <w:tr>
        <w:trPr>
          <w:trHeight w:val="192"/>
        </w:trPr>
        <w:tc>
          <w:tcPr>
            <w:tcW w:w="51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Value</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463,764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168,966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7"/>
        </w:trPr>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280" w:type="dxa"/>
            <w:vAlign w:val="bottom"/>
          </w:tcPr>
          <w:p>
            <w:pPr>
              <w:jc w:val="right"/>
              <w:spacing w:after="0"/>
              <w:rPr>
                <w:sz w:val="20"/>
                <w:szCs w:val="20"/>
                <w:color w:val="auto"/>
              </w:rPr>
            </w:pPr>
            <w:r>
              <w:rPr>
                <w:rFonts w:ascii="Arial" w:cs="Arial" w:eastAsia="Arial" w:hAnsi="Arial"/>
                <w:sz w:val="18"/>
                <w:szCs w:val="18"/>
                <w:color w:val="auto"/>
              </w:rPr>
              <w:t>(14,892)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7"/>
        </w:trPr>
        <w:tc>
          <w:tcPr>
            <w:tcW w:w="5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413,242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184,791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30.89</w:t>
            </w:r>
          </w:p>
        </w:tc>
      </w:tr>
      <w:tr>
        <w:trPr>
          <w:trHeight w:val="27"/>
        </w:trPr>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280" w:type="dxa"/>
            <w:vAlign w:val="bottom"/>
          </w:tcPr>
          <w:p>
            <w:pPr>
              <w:jc w:val="right"/>
              <w:spacing w:after="0"/>
              <w:rPr>
                <w:sz w:val="20"/>
                <w:szCs w:val="20"/>
                <w:color w:val="auto"/>
              </w:rPr>
            </w:pPr>
            <w:r>
              <w:rPr>
                <w:rFonts w:ascii="Arial" w:cs="Arial" w:eastAsia="Arial" w:hAnsi="Arial"/>
                <w:sz w:val="18"/>
                <w:szCs w:val="18"/>
                <w:color w:val="auto"/>
              </w:rPr>
              <w:t>(1,976)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7"/>
        </w:trPr>
        <w:tc>
          <w:tcPr>
            <w:tcW w:w="5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344,744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r>
      <w:tr>
        <w:trPr>
          <w:trHeight w:val="20"/>
        </w:trPr>
        <w:tc>
          <w:tcPr>
            <w:tcW w:w="5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companies included in the MSCI US REIT index and the Company's stock performance ranking among a group of triple-net REIT peer companies. The triple-net measurement group includes publicly traded REITs deriving at least 75% of revenues from triple-net leases. As of December 31, 2017, there was $9.9 million of total unrecognized compensation cost, which will be recognized over the awards' remaining weighted average vesting period of 1.68 years. For the years ended December 31, 2017, 2016 and 2015, the Company recognized $9.7 million, $11.0 million and $8.1 million, respectively, of compensation expense associated with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130" w:right="3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Performance-Based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Weighted Average</w:t>
            </w:r>
          </w:p>
        </w:tc>
      </w:tr>
      <w:tr>
        <w:trPr>
          <w:trHeight w:val="192"/>
        </w:trPr>
        <w:tc>
          <w:tcPr>
            <w:tcW w:w="50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Award Shares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Grant-Date Fair Value</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1,091,556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558,000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17.22</w:t>
            </w:r>
          </w:p>
        </w:tc>
      </w:tr>
      <w:tr>
        <w:trPr>
          <w:trHeight w:val="27"/>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Canceled </w:t>
            </w:r>
            <w:r>
              <w:rPr>
                <w:rFonts w:ascii="Arial" w:cs="Arial" w:eastAsia="Arial" w:hAnsi="Arial"/>
                <w:sz w:val="18"/>
                <w:szCs w:val="18"/>
                <w:color w:val="auto"/>
                <w:vertAlign w:val="superscript"/>
              </w:rPr>
              <w:t>(1)</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(543,556)</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22.93</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558,000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17.95</w:t>
            </w:r>
          </w:p>
        </w:tc>
      </w:tr>
      <w:tr>
        <w:trPr>
          <w:trHeight w:val="27"/>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Canceled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2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1,664,000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r>
      <w:tr>
        <w:trPr>
          <w:trHeight w:val="20"/>
        </w:trPr>
        <w:tc>
          <w:tcPr>
            <w:tcW w:w="5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7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The performance-based restricted stock awards granted in 2014 did not vest as the Company's performance was below the threshold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240" w:top="130" w:right="5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present certain information with respect to the Company’s segments. Intersegment revenues between the Company’s segments were not material in any of the periods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GLP Capital</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TRS Properties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(1)</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829,221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142,086</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971,307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578,661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26,857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215,136</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10,403</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215,133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373,931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1,099</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8,688</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9,787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372,832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380,598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102,652</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10,828</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113,480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project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3,178</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3,178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684,204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144,051</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828,255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454,682</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25,941</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480,623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183,777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281,311</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15,539</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296,850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280,295</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9,010</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289,305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98,171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project expenditures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3,111</w:t>
            </w:r>
          </w:p>
        </w:tc>
      </w:tr>
      <w:tr>
        <w:trPr>
          <w:trHeight w:val="230"/>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427,125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147,928</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575,053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232,701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24,714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257,415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121,855</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10,402</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121,851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121,252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6,104</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7,442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119,914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97,424</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12,359</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109,783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project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10,252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2,953</w:t>
            </w: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2,953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sheet at December 31, 2017</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7,045,747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201,135</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r>
      <w:tr>
        <w:trPr>
          <w:trHeight w:val="230"/>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at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7,156,501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212,829</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7,369,330</w:t>
            </w:r>
          </w:p>
        </w:tc>
      </w:tr>
    </w:tbl>
    <w:p>
      <w:pPr>
        <w:spacing w:after="0" w:line="200" w:lineRule="exact"/>
        <w:rPr>
          <w:sz w:val="20"/>
          <w:szCs w:val="20"/>
          <w:color w:val="auto"/>
        </w:rPr>
      </w:pPr>
    </w:p>
    <w:p>
      <w:pPr>
        <w:spacing w:after="0" w:line="245" w:lineRule="exact"/>
        <w:rPr>
          <w:sz w:val="20"/>
          <w:szCs w:val="20"/>
          <w:color w:val="auto"/>
        </w:rPr>
      </w:pPr>
    </w:p>
    <w:p>
      <w:pPr>
        <w:ind w:right="100" w:firstLine="332"/>
        <w:spacing w:after="0" w:line="236" w:lineRule="auto"/>
        <w:tabs>
          <w:tab w:leader="none" w:pos="81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Amounts in the "Eliminations" column represent the elimination of intercompany interest payments from the Company’s TRS Properties business segment to its GLP Capital business segment.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30" w:right="239" w:bottom="1440" w:gutter="0" w:footer="0" w:header="0"/>
          <w:type w:val="continuous"/>
        </w:sectPr>
      </w:pPr>
    </w:p>
    <w:bookmarkStart w:id="94" w:name="page95"/>
    <w:bookmarkEnd w:id="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Summarized Quarterly Data (Unaudited)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quarterly results of operations for the years ended December 31, 2017 and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Quarter</w:t>
            </w: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264"/>
        </w:trPr>
        <w:tc>
          <w:tcPr>
            <w:tcW w:w="4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22"/>
                <w:szCs w:val="22"/>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Second</w:t>
            </w:r>
          </w:p>
        </w:tc>
        <w:tc>
          <w:tcPr>
            <w:tcW w:w="520" w:type="dxa"/>
            <w:vAlign w:val="bottom"/>
          </w:tcPr>
          <w:p>
            <w:pPr>
              <w:spacing w:after="0"/>
              <w:rPr>
                <w:sz w:val="22"/>
                <w:szCs w:val="22"/>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w:t>
            </w:r>
          </w:p>
        </w:tc>
      </w:tr>
      <w:tr>
        <w:trPr>
          <w:trHeight w:val="250"/>
        </w:trPr>
        <w:tc>
          <w:tcPr>
            <w:tcW w:w="47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242,713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243,391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244,506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240,697</w:t>
            </w:r>
          </w:p>
        </w:tc>
        <w:tc>
          <w:tcPr>
            <w:tcW w:w="3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152,696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152,699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150,117</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93,991</w:t>
            </w: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96,334</w:t>
            </w:r>
          </w:p>
        </w:tc>
        <w:tc>
          <w:tcPr>
            <w:tcW w:w="5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97,014</w:t>
            </w:r>
          </w:p>
        </w:tc>
        <w:tc>
          <w:tcPr>
            <w:tcW w:w="3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93,259</w:t>
            </w:r>
          </w:p>
        </w:tc>
        <w:tc>
          <w:tcPr>
            <w:tcW w:w="3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324"/>
        </w:trPr>
        <w:tc>
          <w:tcPr>
            <w:tcW w:w="4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0.46</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0.45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324"/>
        </w:trPr>
        <w:tc>
          <w:tcPr>
            <w:tcW w:w="4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6205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171450"/>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Net revenues</w:t>
            </w: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148,820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207,361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233,275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238,799</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67,637</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120,817</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143,306</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148,863</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32,749</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73,264</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89,600</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6205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05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6205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051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178"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219"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263" w:lineRule="exact"/>
        <w:rPr>
          <w:sz w:val="20"/>
          <w:szCs w:val="20"/>
          <w:color w:val="auto"/>
        </w:rPr>
      </w:pPr>
    </w:p>
    <w:p>
      <w:pPr>
        <w:sectPr>
          <w:pgSz w:w="11900" w:h="16838" w:orient="portrait"/>
          <w:cols w:equalWidth="0" w:num="2">
            <w:col w:w="10020" w:space="140"/>
            <w:col w:w="1180"/>
          </w:cols>
          <w:pgMar w:left="240" w:top="130" w:right="319" w:bottom="1440" w:gutter="0" w:footer="0" w:header="0"/>
          <w:type w:val="continuous"/>
        </w:sectPr>
      </w:pP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common share: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0.45</w:t>
            </w:r>
          </w:p>
        </w:tc>
      </w:tr>
      <w:tr>
        <w:trPr>
          <w:trHeight w:val="27"/>
        </w:trPr>
        <w:tc>
          <w:tcPr>
            <w:tcW w:w="3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0.45</w:t>
            </w:r>
          </w:p>
        </w:tc>
      </w:tr>
      <w:tr>
        <w:trPr>
          <w:trHeight w:val="27"/>
        </w:trPr>
        <w:tc>
          <w:tcPr>
            <w:tcW w:w="37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hanging="652"/>
        <w:spacing w:after="0" w:line="268"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During April 2016, the Company acquired substantially all of the real estate assets of Pinnacle and subsequently leased these assets back to Pinnacle under a triple-net master lease, which significantly increased the Company's net revenues, income from operations and net income. The acquisition of the Meadows' real property assets in September 2016 also contributed to the Company's improved operating results in the fourth quarter of 2016 as compared to the third quarter of 2016. See Note 4 for further details surrounding the Pinnacle and Meadows acquisitions.</w:t>
      </w:r>
    </w:p>
    <w:p>
      <w:pPr>
        <w:spacing w:after="0" w:line="313" w:lineRule="exact"/>
        <w:rPr>
          <w:sz w:val="20"/>
          <w:szCs w:val="20"/>
          <w:color w:val="auto"/>
        </w:rPr>
      </w:pPr>
    </w:p>
    <w:p>
      <w:pPr>
        <w:ind w:left="660" w:right="5240" w:hanging="652"/>
        <w:spacing w:after="0" w:line="682" w:lineRule="auto"/>
        <w:tabs>
          <w:tab w:leader="none" w:pos="291"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Disclosures of Cash Flow Information and Noncash Activities </w:t>
      </w:r>
      <w:r>
        <w:rPr>
          <w:rFonts w:ascii="Arial" w:cs="Arial" w:eastAsia="Arial" w:hAnsi="Arial"/>
          <w:sz w:val="16"/>
          <w:szCs w:val="16"/>
          <w:color w:val="auto"/>
        </w:rPr>
        <w:t>Supplemental disclosures of cash flow information are as follows: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800" w:type="dxa"/>
            <w:vAlign w:val="bottom"/>
          </w:tcPr>
          <w:p>
            <w:pPr>
              <w:jc w:val="right"/>
              <w:ind w:right="1097"/>
              <w:spacing w:after="0"/>
              <w:rPr>
                <w:sz w:val="20"/>
                <w:szCs w:val="20"/>
                <w:color w:val="auto"/>
              </w:rPr>
            </w:pPr>
            <w:r>
              <w:rPr>
                <w:rFonts w:ascii="Arial" w:cs="Arial" w:eastAsia="Arial" w:hAnsi="Arial"/>
                <w:sz w:val="14"/>
                <w:szCs w:val="14"/>
                <w:b w:val="1"/>
                <w:bCs w:val="1"/>
                <w:color w:val="auto"/>
              </w:rPr>
              <w:t>2017</w:t>
            </w:r>
          </w:p>
        </w:tc>
        <w:tc>
          <w:tcPr>
            <w:tcW w:w="1540" w:type="dxa"/>
            <w:vAlign w:val="bottom"/>
          </w:tcPr>
          <w:p>
            <w:pPr>
              <w:jc w:val="center"/>
              <w:ind w:right="220"/>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4"/>
                <w:szCs w:val="14"/>
                <w:color w:val="auto"/>
              </w:rPr>
            </w:pPr>
          </w:p>
        </w:tc>
        <w:tc>
          <w:tcPr>
            <w:tcW w:w="1380" w:type="dxa"/>
            <w:vAlign w:val="bottom"/>
          </w:tcPr>
          <w:p>
            <w:pPr>
              <w:jc w:val="right"/>
              <w:ind w:right="677"/>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4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income taxes, net of refunds received</w:t>
            </w:r>
          </w:p>
        </w:tc>
        <w:tc>
          <w:tcPr>
            <w:tcW w:w="4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8"/>
                <w:szCs w:val="18"/>
                <w:color w:val="auto"/>
              </w:rPr>
              <w:t>11,646</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7,362</w:t>
            </w:r>
          </w:p>
        </w:tc>
        <w:tc>
          <w:tcPr>
            <w:tcW w:w="5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9,785</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21"/>
                <w:szCs w:val="21"/>
                <w:color w:val="auto"/>
              </w:rPr>
            </w:pPr>
          </w:p>
        </w:tc>
        <w:tc>
          <w:tcPr>
            <w:tcW w:w="1800" w:type="dxa"/>
            <w:vAlign w:val="bottom"/>
          </w:tcPr>
          <w:p>
            <w:pPr>
              <w:jc w:val="right"/>
              <w:ind w:right="437"/>
              <w:spacing w:after="0"/>
              <w:rPr>
                <w:sz w:val="20"/>
                <w:szCs w:val="20"/>
                <w:color w:val="auto"/>
              </w:rPr>
            </w:pPr>
            <w:r>
              <w:rPr>
                <w:rFonts w:ascii="Arial" w:cs="Arial" w:eastAsia="Arial" w:hAnsi="Arial"/>
                <w:sz w:val="18"/>
                <w:szCs w:val="18"/>
                <w:color w:val="auto"/>
              </w:rPr>
              <w:t>204,442</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154,527</w:t>
            </w:r>
          </w:p>
        </w:tc>
        <w:tc>
          <w:tcPr>
            <w:tcW w:w="5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109,966</w:t>
            </w:r>
          </w:p>
        </w:tc>
      </w:tr>
      <w:tr>
        <w:trPr>
          <w:trHeight w:val="459"/>
        </w:trPr>
        <w:tc>
          <w:tcPr>
            <w:tcW w:w="40" w:type="dxa"/>
            <w:vAlign w:val="bottom"/>
          </w:tcPr>
          <w:p>
            <w:pPr>
              <w:spacing w:after="0"/>
              <w:rPr>
                <w:sz w:val="24"/>
                <w:szCs w:val="24"/>
                <w:color w:val="auto"/>
              </w:rPr>
            </w:pPr>
          </w:p>
        </w:tc>
        <w:tc>
          <w:tcPr>
            <w:tcW w:w="5020" w:type="dxa"/>
            <w:vAlign w:val="bottom"/>
            <w:gridSpan w:val="2"/>
          </w:tcPr>
          <w:p>
            <w:pPr>
              <w:ind w:left="280"/>
              <w:spacing w:after="0"/>
              <w:rPr>
                <w:sz w:val="20"/>
                <w:szCs w:val="20"/>
                <w:color w:val="auto"/>
              </w:rPr>
            </w:pPr>
            <w:r>
              <w:rPr>
                <w:rFonts w:ascii="Arial" w:cs="Arial" w:eastAsia="Arial" w:hAnsi="Arial"/>
                <w:sz w:val="18"/>
                <w:szCs w:val="18"/>
                <w:color w:val="auto"/>
              </w:rPr>
              <w:t>Noncash investing and financing activities are as follows:</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5"/>
        </w:trPr>
        <w:tc>
          <w:tcPr>
            <w:tcW w:w="50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24"/>
                <w:szCs w:val="24"/>
                <w:color w:val="auto"/>
              </w:rPr>
            </w:pPr>
          </w:p>
        </w:tc>
        <w:tc>
          <w:tcPr>
            <w:tcW w:w="1800" w:type="dxa"/>
            <w:vAlign w:val="bottom"/>
          </w:tcPr>
          <w:p>
            <w:pPr>
              <w:jc w:val="right"/>
              <w:ind w:right="1097"/>
              <w:spacing w:after="0"/>
              <w:rPr>
                <w:sz w:val="20"/>
                <w:szCs w:val="20"/>
                <w:color w:val="auto"/>
              </w:rPr>
            </w:pPr>
            <w:r>
              <w:rPr>
                <w:rFonts w:ascii="Arial" w:cs="Arial" w:eastAsia="Arial" w:hAnsi="Arial"/>
                <w:sz w:val="14"/>
                <w:szCs w:val="14"/>
                <w:b w:val="1"/>
                <w:bCs w:val="1"/>
                <w:color w:val="auto"/>
              </w:rPr>
              <w:t>2017</w:t>
            </w:r>
          </w:p>
        </w:tc>
        <w:tc>
          <w:tcPr>
            <w:tcW w:w="1540" w:type="dxa"/>
            <w:vAlign w:val="bottom"/>
          </w:tcPr>
          <w:p>
            <w:pPr>
              <w:jc w:val="center"/>
              <w:ind w:right="260"/>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24"/>
                <w:szCs w:val="24"/>
                <w:color w:val="auto"/>
              </w:rPr>
            </w:pPr>
          </w:p>
        </w:tc>
        <w:tc>
          <w:tcPr>
            <w:tcW w:w="1380" w:type="dxa"/>
            <w:vAlign w:val="bottom"/>
          </w:tcPr>
          <w:p>
            <w:pPr>
              <w:jc w:val="right"/>
              <w:ind w:right="677"/>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4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9"/>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 raised to partially finance the Pinnacle transaction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1,823,991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40"/>
          </w:cols>
          <w:pgMar w:left="240" w:top="13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40"/>
          </w:cols>
          <w:pgMar w:left="240" w:top="130" w:right="31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During the year ended December 31, 2014, the Company entered into an Agreement of Sale (the "Sale Agreement") with Wyomissing Professional Center Inc. ("WPC") and acquired certain land in an office complex known as The Wyomissing Professional Center Campus, located in Wyomissing, Pennsylvania (on which to build its corporate headquarters), in exchange for the payment of $725,000 in cash to WPC, plus taxes and closing costs. In addition, the Company reimbursed WPC approximately $270,000 for site work and pre-development costs previously completed per the Sale Agreement. Also in connection with the completion of construction of its corporate headquarters building, the Company entered into an agreement (the "Construction Management Agreement") with CB Consulting Group LLC (the "Construction Manager") during the year ended December 31, 2014. Construction of the Company's corporate headquarters building was completed in October 2015 and the Company did not incur additional costs related to the building with WPC or the Construction Manager subsequent to 2015.</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paid approximately $433,000 and $244,000, respectively, to WPC during the years ended December 31, 2015 and 2014 in connection with construction costs paid by WPC on the Company's behalf. Pursuant to the Construction Management Agreement, the Construction Manager, among other things, provided certain construction management services to the Company in exchange for three percent (3%) of the total cost of work to complete the building construction project, and certain additional costs for added services. During the years ended December 31, 2015 and 2014, the Company paid approximately $175,000 and $59,000, respectively, to the Construction Manager.</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Upon completion of the building in October 2015, the Company became responsible for the payment of monthly common area maintenance fees to the Wyomissing Professional Center Owners' Association ("WPCOA"). During the years ended December 31, 2017, 2016 and 2015, the Company paid approximately $35,000, $30,000 and $10,000 to the WPCOA, respectively.</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Peter M. Carlino, the Company’s Chairman of the Board of Directors and Chief Executive Officer, is also the sole owner of WPC and associated with the WPCOA. In addition, Mr. Carlino’s son owns a material interest in the Construction Manager.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Supplementary Consolidating Financial Information of Parent Guarantor and Subsidiary Issuers</w:t>
      </w:r>
    </w:p>
    <w:p>
      <w:pPr>
        <w:spacing w:after="0" w:line="2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Summarized balance sheet information as of December 31, 2017 and 2016 and summarized income statement and cash flow information for the years ended December 31, 2017, 2016 and 2015 for GLPI as the parent guarantor, for GLP Capital, L.P. and GLP Financing II, Inc. as the subsidiary issuers and the other subsidiary non-issuers is presented below.</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130" w:right="29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1,794,840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1,867,205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5,087,893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2,959,174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7,208,817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4,442,880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220,019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4,750,570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no shares issued or outstanding at December 31, 2017)</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212,717,549 shares issued at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3,933,831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9,498,755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(13,432,586)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(1,453,815)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2,931,526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2,458,247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8,047,067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7,208,817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273,120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671,190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441,742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829,221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146,866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146,866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441,742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441,742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971,307</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84,666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63,151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183,461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182,328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365,789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605,518</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(217,068)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451,295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491,409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352,802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491,409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352,802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to net cash provided by (used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95,058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123,835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65,971</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671,989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390,335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598,711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Acquisition of real estate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73,072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83,632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shares withheld for tax purposes on restricted stock award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vestings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7"/>
              </w:rPr>
              <w:t>Proceeds from issuance of common stock, net of issuance costs</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139,414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(335,112)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371,799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(606,911)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30" w:right="2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2016</w:t>
            </w: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Parent</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Balance Sheet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1,863,568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1,875,523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96,829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2,710,711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24,782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2,433,869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5,211,835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2,947,915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2,433,869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8,378,122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4,909,942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no shares issued or outstanding at December 31, 2016)</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authorized, 207,676,827 shares issued at December 31, 2016)</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3,760,730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9,338,083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(13,098,814)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(1,328,938)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(1,180,410)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2,433,869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8,159,750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(10,593,619)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2,433,869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8,378,122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Rental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383,553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183,891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567,444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67,843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684,204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149,661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149,661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833,865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828,255</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69,448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48,452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71,368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109,554</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186,123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161,509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347,632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238,871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480,623</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(185,896)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318,047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0" w:type="dxa"/>
            <w:vAlign w:val="bottom"/>
          </w:tcPr>
          <w:p>
            <w:pPr>
              <w:spacing w:after="0"/>
              <w:rPr>
                <w:sz w:val="1"/>
                <w:szCs w:val="1"/>
                <w:color w:val="auto"/>
              </w:rPr>
            </w:pPr>
          </w:p>
        </w:tc>
      </w:tr>
      <w:tr>
        <w:trPr>
          <w:trHeight w:val="291"/>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296,850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370,175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256,847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30" w:right="23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24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370,175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256,847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(337,717)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net cash provided by (used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115,717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(Gains) losses on dispositions of property</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58,673</w:t>
            </w:r>
          </w:p>
        </w:tc>
        <w:tc>
          <w:tcPr>
            <w:tcW w:w="0" w:type="dxa"/>
            <w:vAlign w:val="bottom"/>
          </w:tcPr>
          <w:p>
            <w:pPr>
              <w:spacing w:after="0"/>
              <w:rPr>
                <w:sz w:val="1"/>
                <w:szCs w:val="1"/>
                <w:color w:val="auto"/>
              </w:rPr>
            </w:pPr>
          </w:p>
        </w:tc>
      </w:tr>
      <w:tr>
        <w:trPr>
          <w:trHeight w:val="297"/>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571,089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280,998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514,370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(3,267,992)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(3,267,992)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Collection of principal payments on investment in direct financing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(3,219,284)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(3,218,616)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(428,352)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Proceeds from exercise of options, net of taxes paid related to shares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113,484</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w w:val="99"/>
              </w:rPr>
              <w:t>Proceeds from issuance of common stock, net of issuance costs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870,810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870,810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2,552,000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(377,104)</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(2,711,684)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2,929,909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337,717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2,929,909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2,698,927</w:t>
            </w:r>
          </w:p>
        </w:tc>
        <w:tc>
          <w:tcPr>
            <w:tcW w:w="0" w:type="dxa"/>
            <w:vAlign w:val="bottom"/>
          </w:tcPr>
          <w:p>
            <w:pPr>
              <w:spacing w:after="0"/>
              <w:rPr>
                <w:sz w:val="1"/>
                <w:szCs w:val="1"/>
                <w:color w:val="auto"/>
              </w:rPr>
            </w:pP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5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360"/>
          </w:cols>
          <w:pgMar w:left="240" w:top="130" w:right="299" w:bottom="1440" w:gutter="0" w:footer="0" w:header="0"/>
          <w:type w:val="continuous"/>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2015</w:t>
            </w:r>
          </w:p>
        </w:tc>
        <w:tc>
          <w:tcPr>
            <w:tcW w:w="1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Rental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378,075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392,075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35,050</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rental revenue</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411,116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427,125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153,523</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411,116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169,532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580,648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promotional allowances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411,116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163,937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575,053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85,774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85,774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Land rights and ground lease expense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94,380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109,783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128,267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317,638</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221,745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257,415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135,564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132,526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38,982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128,122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2015</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132,526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38,982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128,122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net cash provided by (used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109,783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Losses on sales of property</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55,825</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311,268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319,688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(251,732)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(251,732)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Proceeds from exercise of options, net of taxes paid related to shares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219,403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(299,644)</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1, 2018, the Company declared a regular quarterly cash dividend of $0.63 per share, which is payable on March 23, 2018 to shareholders of record as of March 9,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January 2018, the Company repaid $45 million of borrowings under its Term Loan A facility.</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20"/>
          </w:cols>
          <w:pgMar w:left="240" w:top="130" w:right="11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w w:val="88"/>
              </w:rPr>
              <w:t>Gross Amount at which Carried at Close of</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Life 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4"/>
          </w:tcPr>
          <w:p>
            <w:pPr>
              <w:jc w:val="right"/>
              <w:ind w:right="182"/>
              <w:spacing w:after="0" w:line="135" w:lineRule="exact"/>
              <w:rPr>
                <w:sz w:val="20"/>
                <w:szCs w:val="20"/>
                <w:color w:val="auto"/>
              </w:rPr>
            </w:pPr>
            <w:r>
              <w:rPr>
                <w:rFonts w:ascii="Arial" w:cs="Arial" w:eastAsia="Arial" w:hAnsi="Arial"/>
                <w:sz w:val="12"/>
                <w:szCs w:val="12"/>
                <w:b w:val="1"/>
                <w:bCs w:val="1"/>
                <w:color w:val="auto"/>
                <w:w w:val="98"/>
              </w:rPr>
              <w:t>Initial Cost to Company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Net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Period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2"/>
                <w:szCs w:val="12"/>
                <w:b w:val="1"/>
                <w:bCs w:val="1"/>
                <w:color w:val="auto"/>
                <w:w w:val="91"/>
              </w:rPr>
              <w:t>Capitalized</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jc w:val="right"/>
              <w:spacing w:after="0" w:line="135" w:lineRule="exact"/>
              <w:rPr>
                <w:sz w:val="20"/>
                <w:szCs w:val="20"/>
                <w:color w:val="auto"/>
              </w:rPr>
            </w:pPr>
            <w:r>
              <w:rPr>
                <w:rFonts w:ascii="Arial" w:cs="Arial" w:eastAsia="Arial" w:hAnsi="Arial"/>
                <w:sz w:val="12"/>
                <w:szCs w:val="12"/>
                <w:b w:val="1"/>
                <w:bCs w:val="1"/>
                <w:color w:val="auto"/>
                <w:w w:val="90"/>
              </w:rPr>
              <w:t>Depreciation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Costs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Original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in Latest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7"/>
              </w:rPr>
              <w:t>(Retirements)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Date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Income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Land and</w:t>
            </w:r>
          </w:p>
        </w:tc>
        <w:tc>
          <w:tcPr>
            <w:tcW w:w="780" w:type="dxa"/>
            <w:vAlign w:val="bottom"/>
            <w:gridSpan w:val="2"/>
          </w:tcPr>
          <w:p>
            <w:pPr>
              <w:jc w:val="right"/>
              <w:ind w:right="2"/>
              <w:spacing w:after="0" w:line="135" w:lineRule="exact"/>
              <w:rPr>
                <w:sz w:val="20"/>
                <w:szCs w:val="20"/>
                <w:color w:val="auto"/>
              </w:rPr>
            </w:pPr>
            <w:r>
              <w:rPr>
                <w:rFonts w:ascii="Arial" w:cs="Arial" w:eastAsia="Arial" w:hAnsi="Arial"/>
                <w:sz w:val="12"/>
                <w:szCs w:val="12"/>
                <w:b w:val="1"/>
                <w:bCs w:val="1"/>
                <w:color w:val="auto"/>
                <w:w w:val="88"/>
              </w:rPr>
              <w:t>Buildings and</w:t>
            </w:r>
          </w:p>
        </w:tc>
        <w:tc>
          <w:tcPr>
            <w:tcW w:w="100" w:type="dxa"/>
            <w:vAlign w:val="bottom"/>
          </w:tcPr>
          <w:p>
            <w:pPr>
              <w:spacing w:after="0"/>
              <w:rPr>
                <w:sz w:val="11"/>
                <w:szCs w:val="11"/>
                <w:color w:val="auto"/>
              </w:rPr>
            </w:pP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3"/>
              </w:rPr>
              <w:t>Subsequent to</w:t>
            </w:r>
          </w:p>
        </w:tc>
        <w:tc>
          <w:tcPr>
            <w:tcW w:w="1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Land and</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Buildings and</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9"/>
                <w:szCs w:val="19"/>
                <w:b w:val="1"/>
                <w:bCs w:val="1"/>
                <w:color w:val="auto"/>
                <w:vertAlign w:val="superscript"/>
              </w:rPr>
              <w:t>(1)</w:t>
            </w:r>
          </w:p>
        </w:tc>
        <w:tc>
          <w:tcPr>
            <w:tcW w:w="780" w:type="dxa"/>
            <w:vAlign w:val="bottom"/>
            <w:gridSpan w:val="2"/>
          </w:tcPr>
          <w:p>
            <w:pPr>
              <w:jc w:val="right"/>
              <w:ind w:right="2"/>
              <w:spacing w:after="0" w:line="135"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Construction /</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Date</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9"/>
              </w:rPr>
              <w:t>Statement is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Description</w:t>
            </w:r>
          </w:p>
        </w:tc>
        <w:tc>
          <w:tcPr>
            <w:tcW w:w="94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Location</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Encumbrances</w:t>
            </w:r>
          </w:p>
        </w:tc>
        <w:tc>
          <w:tcPr>
            <w:tcW w:w="9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Improvements</w:t>
            </w: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0"/>
              </w:rPr>
              <w:t>Improvements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88"/>
              </w:rPr>
              <w:t>Acquisition</w:t>
            </w:r>
          </w:p>
        </w:tc>
        <w:tc>
          <w:tcPr>
            <w:tcW w:w="8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Improvements</w:t>
            </w:r>
          </w:p>
        </w:tc>
        <w:tc>
          <w:tcPr>
            <w:tcW w:w="9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Improvements</w:t>
            </w:r>
          </w:p>
        </w:tc>
        <w:tc>
          <w:tcPr>
            <w:tcW w:w="720" w:type="dxa"/>
            <w:vAlign w:val="bottom"/>
            <w:gridSpan w:val="2"/>
            <w:vMerge w:val="continue"/>
          </w:tcPr>
          <w:p>
            <w:pPr>
              <w:spacing w:after="0"/>
              <w:rPr>
                <w:sz w:val="11"/>
                <w:szCs w:val="11"/>
                <w:color w:val="auto"/>
              </w:rPr>
            </w:pPr>
          </w:p>
        </w:tc>
        <w:tc>
          <w:tcPr>
            <w:tcW w:w="780" w:type="dxa"/>
            <w:vAlign w:val="bottom"/>
            <w:gridSpan w:val="2"/>
          </w:tcPr>
          <w:p>
            <w:pPr>
              <w:jc w:val="right"/>
              <w:ind w:right="22"/>
              <w:spacing w:after="0" w:line="130" w:lineRule="exact"/>
              <w:rPr>
                <w:sz w:val="20"/>
                <w:szCs w:val="20"/>
                <w:color w:val="auto"/>
              </w:rPr>
            </w:pPr>
            <w:r>
              <w:rPr>
                <w:rFonts w:ascii="Arial" w:cs="Arial" w:eastAsia="Arial" w:hAnsi="Arial"/>
                <w:sz w:val="12"/>
                <w:szCs w:val="12"/>
                <w:b w:val="1"/>
                <w:bCs w:val="1"/>
                <w:color w:val="auto"/>
                <w:w w:val="93"/>
              </w:rPr>
              <w:t>Depreciation</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5"/>
              </w:rPr>
              <w:t>Renovation</w:t>
            </w:r>
          </w:p>
        </w:tc>
        <w:tc>
          <w:tcPr>
            <w:tcW w:w="5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9"/>
              </w:rPr>
              <w:t>Acquire</w:t>
            </w:r>
            <w:r>
              <w:rPr>
                <w:rFonts w:ascii="Arial" w:cs="Arial" w:eastAsia="Arial" w:hAnsi="Arial"/>
                <w:sz w:val="12"/>
                <w:szCs w:val="12"/>
                <w:color w:val="auto"/>
                <w:w w:val="89"/>
              </w:rPr>
              <w:t>d</w:t>
            </w:r>
          </w:p>
        </w:tc>
        <w:tc>
          <w:tcPr>
            <w:tcW w:w="10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Rental Properties:</w:t>
            </w: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Hollywood Casino</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Lawrenceburg,</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Lawrenceburg</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IN</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15,251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342,393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15,222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342,392</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$ 357,614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124,203</w:t>
            </w:r>
          </w:p>
        </w:tc>
        <w:tc>
          <w:tcPr>
            <w:tcW w:w="90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8"/>
              </w:rPr>
              <w:t>1997/2009</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1993/2002/</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Aurora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Aurora, IL</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4,937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98,378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4,936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97,996</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102,932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60,978</w:t>
            </w: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2012</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Hollywood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6"/>
              </w:rPr>
              <w:t>1992/2003/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Joliet</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Joliet, IL</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19,214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101,104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19,214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101,104</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120,318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55,119</w:t>
            </w:r>
          </w:p>
        </w:tc>
        <w:tc>
          <w:tcPr>
            <w:tcW w:w="90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2010</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Argosy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Alton</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Alton, IL</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6,462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6,462</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6,462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4,302</w:t>
            </w:r>
          </w:p>
        </w:tc>
        <w:tc>
          <w:tcPr>
            <w:tcW w:w="900" w:type="dxa"/>
            <w:vAlign w:val="bottom"/>
            <w:gridSpan w:val="2"/>
          </w:tcPr>
          <w:p>
            <w:pPr>
              <w:jc w:val="center"/>
              <w:ind w:left="62"/>
              <w:spacing w:after="0"/>
              <w:rPr>
                <w:sz w:val="20"/>
                <w:szCs w:val="20"/>
                <w:color w:val="auto"/>
              </w:rPr>
            </w:pPr>
            <w:r>
              <w:rPr>
                <w:rFonts w:ascii="Arial" w:cs="Arial" w:eastAsia="Arial" w:hAnsi="Arial"/>
                <w:sz w:val="12"/>
                <w:szCs w:val="12"/>
                <w:color w:val="auto"/>
                <w:w w:val="88"/>
              </w:rPr>
              <w:t>1991/1999</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Hollywood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Toledo</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Toledo, OH</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12,003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144,093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12,003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144,093</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156,096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29,566</w:t>
            </w:r>
          </w:p>
        </w:tc>
        <w:tc>
          <w:tcPr>
            <w:tcW w:w="90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2012</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Columbus</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Columbus, OH</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38,240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188,543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38,266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188,622</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226,888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38,132</w:t>
            </w: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2012</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Hollywood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at Charles Town</w:t>
            </w:r>
          </w:p>
        </w:tc>
        <w:tc>
          <w:tcPr>
            <w:tcW w:w="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Charles Town,</w:t>
            </w: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Races</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WV</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35,102</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233,069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35,102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233,069</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268,171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120,949</w:t>
            </w:r>
          </w:p>
        </w:tc>
        <w:tc>
          <w:tcPr>
            <w:tcW w:w="90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8"/>
              </w:rPr>
              <w:t>1997/2010</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at Penn National</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color w:val="auto"/>
              </w:rPr>
              <w:t>Race Course</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Grantville, PA</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25,500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161,810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25,500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161,810</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187,310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68,266</w:t>
            </w:r>
          </w:p>
        </w:tc>
        <w:tc>
          <w:tcPr>
            <w:tcW w:w="900" w:type="dxa"/>
            <w:vAlign w:val="bottom"/>
            <w:gridSpan w:val="2"/>
          </w:tcPr>
          <w:p>
            <w:pPr>
              <w:jc w:val="center"/>
              <w:ind w:left="62"/>
              <w:spacing w:after="0"/>
              <w:rPr>
                <w:sz w:val="20"/>
                <w:szCs w:val="20"/>
                <w:color w:val="auto"/>
              </w:rPr>
            </w:pPr>
            <w:r>
              <w:rPr>
                <w:rFonts w:ascii="Arial" w:cs="Arial" w:eastAsia="Arial" w:hAnsi="Arial"/>
                <w:sz w:val="12"/>
                <w:szCs w:val="12"/>
                <w:color w:val="auto"/>
                <w:w w:val="88"/>
              </w:rPr>
              <w:t>2008/2010</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Henderson,</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M Resort</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NV</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66,104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126,689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(436)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65,668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126,689</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192,357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30,973</w:t>
            </w:r>
          </w:p>
        </w:tc>
        <w:tc>
          <w:tcPr>
            <w:tcW w:w="90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8"/>
              </w:rPr>
              <w:t>2009/2012</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Bangor</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Bangor, ME</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12,883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84,257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12,883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84,257</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97,140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28,896</w:t>
            </w:r>
          </w:p>
        </w:tc>
        <w:tc>
          <w:tcPr>
            <w:tcW w:w="900" w:type="dxa"/>
            <w:vAlign w:val="bottom"/>
            <w:gridSpan w:val="2"/>
          </w:tcPr>
          <w:p>
            <w:pPr>
              <w:jc w:val="center"/>
              <w:ind w:left="62"/>
              <w:spacing w:after="0"/>
              <w:rPr>
                <w:sz w:val="20"/>
                <w:szCs w:val="20"/>
                <w:color w:val="auto"/>
              </w:rPr>
            </w:pPr>
            <w:r>
              <w:rPr>
                <w:rFonts w:ascii="Arial" w:cs="Arial" w:eastAsia="Arial" w:hAnsi="Arial"/>
                <w:sz w:val="12"/>
                <w:szCs w:val="12"/>
                <w:color w:val="auto"/>
                <w:w w:val="88"/>
              </w:rPr>
              <w:t>2008/2012</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Zia Park Casino</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Hobbs, NM</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38,947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38,947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48,260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18,020</w:t>
            </w:r>
          </w:p>
        </w:tc>
        <w:tc>
          <w:tcPr>
            <w:tcW w:w="90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Bay St. Louis,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1992/2006/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Gulf Coast</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MS</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59,388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87,352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59,176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87,335</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146,511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47,006</w:t>
            </w: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2011</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Argosy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Riverside</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Riverside, MO</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23,468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143,301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23,391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143,301</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166,692</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58,364</w:t>
            </w:r>
          </w:p>
        </w:tc>
        <w:tc>
          <w:tcPr>
            <w:tcW w:w="90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8"/>
              </w:rPr>
              <w:t>1994/2007</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Tunica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Tunica, MS</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4,634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42,031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4,634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42,031</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46,665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25,293</w:t>
            </w:r>
          </w:p>
        </w:tc>
        <w:tc>
          <w:tcPr>
            <w:tcW w:w="900" w:type="dxa"/>
            <w:vAlign w:val="bottom"/>
            <w:gridSpan w:val="2"/>
          </w:tcPr>
          <w:p>
            <w:pPr>
              <w:jc w:val="center"/>
              <w:ind w:left="62"/>
              <w:spacing w:after="0"/>
              <w:rPr>
                <w:sz w:val="20"/>
                <w:szCs w:val="20"/>
                <w:color w:val="auto"/>
              </w:rPr>
            </w:pPr>
            <w:r>
              <w:rPr>
                <w:rFonts w:ascii="Arial" w:cs="Arial" w:eastAsia="Arial" w:hAnsi="Arial"/>
                <w:sz w:val="12"/>
                <w:szCs w:val="12"/>
                <w:color w:val="auto"/>
                <w:w w:val="88"/>
              </w:rPr>
              <w:t>1994/2012</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Boomtown Biloxi</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Biloxi, MS</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63,083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63,083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66,369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43,434</w:t>
            </w:r>
          </w:p>
        </w:tc>
        <w:tc>
          <w:tcPr>
            <w:tcW w:w="90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8"/>
              </w:rPr>
              <w:t>1994/2006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Maryland</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St. Louis</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Heights, MO</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44,198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177,063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44,198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177,063</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221,261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63,611</w:t>
            </w:r>
          </w:p>
        </w:tc>
        <w:tc>
          <w:tcPr>
            <w:tcW w:w="900" w:type="dxa"/>
            <w:vAlign w:val="bottom"/>
            <w:gridSpan w:val="2"/>
          </w:tcPr>
          <w:p>
            <w:pPr>
              <w:jc w:val="center"/>
              <w:ind w:left="62"/>
              <w:spacing w:after="0"/>
              <w:rPr>
                <w:sz w:val="20"/>
                <w:szCs w:val="20"/>
                <w:color w:val="auto"/>
              </w:rPr>
            </w:pPr>
            <w:r>
              <w:rPr>
                <w:rFonts w:ascii="Arial" w:cs="Arial" w:eastAsia="Arial" w:hAnsi="Arial"/>
                <w:sz w:val="12"/>
                <w:szCs w:val="12"/>
                <w:color w:val="auto"/>
                <w:w w:val="88"/>
              </w:rPr>
              <w:t>1997/2013</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Hollywood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at Dayton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2"/>
                <w:szCs w:val="12"/>
                <w:color w:val="auto"/>
              </w:rPr>
              <w:t xml:space="preserve">Raceway </w:t>
            </w:r>
            <w:r>
              <w:rPr>
                <w:rFonts w:ascii="Arial" w:cs="Arial" w:eastAsia="Arial" w:hAnsi="Arial"/>
                <w:sz w:val="19"/>
                <w:szCs w:val="19"/>
                <w:color w:val="auto"/>
                <w:vertAlign w:val="superscript"/>
              </w:rPr>
              <w:t>(2)</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Dayton, OH</w:t>
            </w:r>
          </w:p>
        </w:tc>
        <w:tc>
          <w:tcPr>
            <w:tcW w:w="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3,211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86,288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86,288</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89,499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9,382</w:t>
            </w: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2014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Hollywood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at Mahoning</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2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Valley Race</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color w:val="auto"/>
              </w:rPr>
              <w:t>Youngstown,</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gridSpan w:val="2"/>
          </w:tcPr>
          <w:p>
            <w:pPr>
              <w:ind w:left="180"/>
              <w:spacing w:after="0" w:line="176" w:lineRule="exact"/>
              <w:rPr>
                <w:sz w:val="20"/>
                <w:szCs w:val="20"/>
                <w:color w:val="auto"/>
              </w:rPr>
            </w:pPr>
            <w:r>
              <w:rPr>
                <w:rFonts w:ascii="Arial" w:cs="Arial" w:eastAsia="Arial" w:hAnsi="Arial"/>
                <w:sz w:val="12"/>
                <w:szCs w:val="12"/>
                <w:color w:val="auto"/>
              </w:rPr>
              <w:t xml:space="preserve">Track </w:t>
            </w:r>
            <w:r>
              <w:rPr>
                <w:rFonts w:ascii="Arial" w:cs="Arial" w:eastAsia="Arial" w:hAnsi="Arial"/>
                <w:sz w:val="19"/>
                <w:szCs w:val="19"/>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OH</w:t>
            </w:r>
          </w:p>
        </w:tc>
        <w:tc>
          <w:tcPr>
            <w:tcW w:w="340" w:type="dxa"/>
            <w:vAlign w:val="bottom"/>
          </w:tcPr>
          <w:p>
            <w:pPr>
              <w:spacing w:after="0"/>
              <w:rPr>
                <w:sz w:val="15"/>
                <w:szCs w:val="15"/>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5,683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94,314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5,833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94,164</w:t>
            </w:r>
          </w:p>
        </w:tc>
        <w:tc>
          <w:tcPr>
            <w:tcW w:w="120" w:type="dxa"/>
            <w:vAlign w:val="bottom"/>
          </w:tcPr>
          <w:p>
            <w:pPr>
              <w:spacing w:after="0"/>
              <w:rPr>
                <w:sz w:val="15"/>
                <w:szCs w:val="15"/>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99,997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9,970</w:t>
            </w: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2014</w:t>
            </w: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11/1/2013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Resorts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6"/>
              </w:rPr>
              <w:t>1994/1996/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Tunica</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Tunica, MS</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12,860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12,860</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12,860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791</w:t>
            </w:r>
          </w:p>
        </w:tc>
        <w:tc>
          <w:tcPr>
            <w:tcW w:w="90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8"/>
              </w:rPr>
              <w:t>2005/2014</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5/1/2017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line="156" w:lineRule="exact"/>
              <w:rPr>
                <w:sz w:val="20"/>
                <w:szCs w:val="20"/>
                <w:color w:val="auto"/>
              </w:rPr>
            </w:pPr>
            <w:r>
              <w:rPr>
                <w:rFonts w:ascii="Arial" w:cs="Arial" w:eastAsia="Arial" w:hAnsi="Arial"/>
                <w:sz w:val="11"/>
                <w:szCs w:val="11"/>
                <w:color w:val="auto"/>
              </w:rPr>
              <w:t>1</w:t>
            </w:r>
            <w:r>
              <w:rPr>
                <w:rFonts w:ascii="Arial" w:cs="Arial" w:eastAsia="Arial" w:hAnsi="Arial"/>
                <w:sz w:val="18"/>
                <w:szCs w:val="18"/>
                <w:color w:val="auto"/>
                <w:vertAlign w:val="superscript"/>
              </w:rPr>
              <w:t>st</w:t>
            </w:r>
            <w:r>
              <w:rPr>
                <w:rFonts w:ascii="Arial" w:cs="Arial" w:eastAsia="Arial" w:hAnsi="Arial"/>
                <w:sz w:val="11"/>
                <w:szCs w:val="11"/>
                <w:color w:val="auto"/>
              </w:rPr>
              <w:t xml:space="preserve"> Jackpot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(formerly known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as Bally's Casino</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color w:val="auto"/>
              </w:rPr>
              <w:t>Tunica)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Tunica, MS</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10,100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10,100</w:t>
            </w:r>
          </w:p>
        </w:tc>
        <w:tc>
          <w:tcPr>
            <w:tcW w:w="12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10,261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234</w:t>
            </w:r>
          </w:p>
        </w:tc>
        <w:tc>
          <w:tcPr>
            <w:tcW w:w="90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1995</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5/1/2017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East St. Louis,</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Casino Queen</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IL</w:t>
            </w: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70,716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70,014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70,716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70,014</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140,730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12,049</w:t>
            </w:r>
          </w:p>
        </w:tc>
        <w:tc>
          <w:tcPr>
            <w:tcW w:w="90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1999</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6"/>
              </w:rPr>
              <w:t>1/23/2014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Ameristar Black</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Black Hawk,</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Hawk</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CO</w:t>
            </w:r>
          </w:p>
        </w:tc>
        <w:tc>
          <w:tcPr>
            <w:tcW w:w="34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238,864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238,864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238,864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N/A</w:t>
            </w:r>
          </w:p>
        </w:tc>
        <w:tc>
          <w:tcPr>
            <w:tcW w:w="580" w:type="dxa"/>
            <w:vAlign w:val="bottom"/>
          </w:tcPr>
          <w:p>
            <w:pPr>
              <w:jc w:val="center"/>
              <w:spacing w:after="0"/>
              <w:rPr>
                <w:sz w:val="20"/>
                <w:szCs w:val="20"/>
                <w:color w:val="auto"/>
              </w:rPr>
            </w:pPr>
            <w:r>
              <w:rPr>
                <w:rFonts w:ascii="Arial" w:cs="Arial" w:eastAsia="Arial" w:hAnsi="Arial"/>
                <w:sz w:val="12"/>
                <w:szCs w:val="12"/>
                <w:color w:val="auto"/>
                <w:w w:val="86"/>
              </w:rPr>
              <w:t>4/28/2016</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Belterra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Resort</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Florence, IN</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56,368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56,368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56,368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N/A</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4/28/2016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30" w:right="25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Ameristar Council</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Council Bluffs,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Bluffs</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IA</w:t>
            </w:r>
          </w:p>
        </w:tc>
        <w:tc>
          <w:tcPr>
            <w:tcW w:w="340" w:type="dxa"/>
            <w:vAlign w:val="bottom"/>
          </w:tcPr>
          <w:p>
            <w:pPr>
              <w:spacing w:after="0"/>
              <w:rPr>
                <w:sz w:val="12"/>
                <w:szCs w:val="12"/>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78,707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78,707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78,707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Pr>
          <w:p>
            <w:pPr>
              <w:ind w:left="400"/>
              <w:spacing w:after="0"/>
              <w:rPr>
                <w:sz w:val="20"/>
                <w:szCs w:val="20"/>
                <w:color w:val="auto"/>
              </w:rPr>
            </w:pPr>
            <w:r>
              <w:rPr>
                <w:rFonts w:ascii="Arial" w:cs="Arial" w:eastAsia="Arial" w:hAnsi="Arial"/>
                <w:sz w:val="12"/>
                <w:szCs w:val="12"/>
                <w:color w:val="auto"/>
              </w:rPr>
              <w:t>N/A</w:t>
            </w:r>
          </w:p>
        </w:tc>
        <w:tc>
          <w:tcPr>
            <w:tcW w:w="92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L'Auberge Baton</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Baton Rouge,</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Rouge</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LA</w:t>
            </w:r>
          </w:p>
        </w:tc>
        <w:tc>
          <w:tcPr>
            <w:tcW w:w="3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199,316</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199,316</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199,316</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N/A</w:t>
            </w:r>
          </w:p>
        </w:tc>
        <w:tc>
          <w:tcPr>
            <w:tcW w:w="920" w:type="dxa"/>
            <w:vAlign w:val="bottom"/>
            <w:tcBorders>
              <w:bottom w:val="single" w:sz="8" w:color="CCEEFF"/>
            </w:tcBorders>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56"/>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Boomtown Bossier</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Bossier City,</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LA</w:t>
            </w:r>
          </w:p>
        </w:tc>
        <w:tc>
          <w:tcPr>
            <w:tcW w:w="340" w:type="dxa"/>
            <w:vAlign w:val="bottom"/>
          </w:tcPr>
          <w:p>
            <w:pPr>
              <w:spacing w:after="0"/>
              <w:rPr>
                <w:sz w:val="12"/>
                <w:szCs w:val="12"/>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77,152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77,152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77,152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Pr>
          <w:p>
            <w:pPr>
              <w:ind w:left="400"/>
              <w:spacing w:after="0"/>
              <w:rPr>
                <w:sz w:val="20"/>
                <w:szCs w:val="20"/>
                <w:color w:val="auto"/>
              </w:rPr>
            </w:pPr>
            <w:r>
              <w:rPr>
                <w:rFonts w:ascii="Arial" w:cs="Arial" w:eastAsia="Arial" w:hAnsi="Arial"/>
                <w:sz w:val="12"/>
                <w:szCs w:val="12"/>
                <w:color w:val="auto"/>
              </w:rPr>
              <w:t>N/A</w:t>
            </w:r>
          </w:p>
        </w:tc>
        <w:tc>
          <w:tcPr>
            <w:tcW w:w="92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Boomtown New</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Orleans</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Boomtown, LA</w:t>
            </w:r>
          </w:p>
        </w:tc>
        <w:tc>
          <w:tcPr>
            <w:tcW w:w="3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43,761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43,761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43,761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N/A</w:t>
            </w:r>
          </w:p>
        </w:tc>
        <w:tc>
          <w:tcPr>
            <w:tcW w:w="920" w:type="dxa"/>
            <w:vAlign w:val="bottom"/>
            <w:tcBorders>
              <w:bottom w:val="single" w:sz="8" w:color="CCEEFF"/>
            </w:tcBorders>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56"/>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Ameristar</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Vicksburg</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Vicksburg, MS</w:t>
            </w:r>
          </w:p>
        </w:tc>
        <w:tc>
          <w:tcPr>
            <w:tcW w:w="340" w:type="dxa"/>
            <w:vAlign w:val="bottom"/>
          </w:tcPr>
          <w:p>
            <w:pPr>
              <w:spacing w:after="0"/>
              <w:rPr>
                <w:sz w:val="12"/>
                <w:szCs w:val="12"/>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97,900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97,900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97,900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Pr>
          <w:p>
            <w:pPr>
              <w:ind w:left="400"/>
              <w:spacing w:after="0"/>
              <w:rPr>
                <w:sz w:val="20"/>
                <w:szCs w:val="20"/>
                <w:color w:val="auto"/>
              </w:rPr>
            </w:pPr>
            <w:r>
              <w:rPr>
                <w:rFonts w:ascii="Arial" w:cs="Arial" w:eastAsia="Arial" w:hAnsi="Arial"/>
                <w:sz w:val="12"/>
                <w:szCs w:val="12"/>
                <w:color w:val="auto"/>
              </w:rPr>
              <w:t>N/A</w:t>
            </w:r>
          </w:p>
        </w:tc>
        <w:tc>
          <w:tcPr>
            <w:tcW w:w="92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Ameristar Kansas</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Kansas City,</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City</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MO</w:t>
            </w:r>
          </w:p>
        </w:tc>
        <w:tc>
          <w:tcPr>
            <w:tcW w:w="3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222,231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222,231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222,231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N/A</w:t>
            </w:r>
          </w:p>
        </w:tc>
        <w:tc>
          <w:tcPr>
            <w:tcW w:w="920" w:type="dxa"/>
            <w:vAlign w:val="bottom"/>
            <w:tcBorders>
              <w:bottom w:val="single" w:sz="8" w:color="CCEEFF"/>
            </w:tcBorders>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56"/>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Ameristar St.</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St. Charles,</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Charles</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MO</w:t>
            </w:r>
          </w:p>
        </w:tc>
        <w:tc>
          <w:tcPr>
            <w:tcW w:w="340" w:type="dxa"/>
            <w:vAlign w:val="bottom"/>
          </w:tcPr>
          <w:p>
            <w:pPr>
              <w:spacing w:after="0"/>
              <w:rPr>
                <w:sz w:val="12"/>
                <w:szCs w:val="12"/>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363,203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363,203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363,203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Pr>
          <w:p>
            <w:pPr>
              <w:ind w:left="400"/>
              <w:spacing w:after="0"/>
              <w:rPr>
                <w:sz w:val="20"/>
                <w:szCs w:val="20"/>
                <w:color w:val="auto"/>
              </w:rPr>
            </w:pPr>
            <w:r>
              <w:rPr>
                <w:rFonts w:ascii="Arial" w:cs="Arial" w:eastAsia="Arial" w:hAnsi="Arial"/>
                <w:sz w:val="12"/>
                <w:szCs w:val="12"/>
                <w:color w:val="auto"/>
              </w:rPr>
              <w:t>N/A</w:t>
            </w:r>
          </w:p>
        </w:tc>
        <w:tc>
          <w:tcPr>
            <w:tcW w:w="92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Jackpot Properties</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Jackpot, NV</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N/A</w:t>
            </w:r>
          </w:p>
        </w:tc>
        <w:tc>
          <w:tcPr>
            <w:tcW w:w="920" w:type="dxa"/>
            <w:vAlign w:val="bottom"/>
            <w:tcBorders>
              <w:bottom w:val="single" w:sz="8" w:color="CCEEFF"/>
            </w:tcBorders>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56"/>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The Meadows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060" w:type="dxa"/>
            <w:vAlign w:val="bottom"/>
          </w:tcPr>
          <w:p>
            <w:pPr>
              <w:ind w:left="200"/>
              <w:spacing w:after="0" w:line="135" w:lineRule="exact"/>
              <w:rPr>
                <w:sz w:val="20"/>
                <w:szCs w:val="20"/>
                <w:color w:val="auto"/>
              </w:rPr>
            </w:pPr>
            <w:r>
              <w:rPr>
                <w:rFonts w:ascii="Arial" w:cs="Arial" w:eastAsia="Arial" w:hAnsi="Arial"/>
                <w:sz w:val="12"/>
                <w:szCs w:val="12"/>
                <w:color w:val="auto"/>
              </w:rPr>
              <w:t>Racetrack and</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060" w:type="dxa"/>
            <w:vAlign w:val="bottom"/>
          </w:tcPr>
          <w:p>
            <w:pPr>
              <w:ind w:left="200"/>
              <w:spacing w:after="0"/>
              <w:rPr>
                <w:sz w:val="20"/>
                <w:szCs w:val="20"/>
                <w:color w:val="auto"/>
              </w:rPr>
            </w:pPr>
            <w:r>
              <w:rPr>
                <w:rFonts w:ascii="Arial" w:cs="Arial" w:eastAsia="Arial" w:hAnsi="Arial"/>
                <w:sz w:val="12"/>
                <w:szCs w:val="12"/>
                <w:color w:val="auto"/>
              </w:rPr>
              <w:t>Casino</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Washington, PA</w:t>
            </w:r>
          </w:p>
        </w:tc>
        <w:tc>
          <w:tcPr>
            <w:tcW w:w="340" w:type="dxa"/>
            <w:vAlign w:val="bottom"/>
          </w:tcPr>
          <w:p>
            <w:pPr>
              <w:spacing w:after="0"/>
              <w:rPr>
                <w:sz w:val="12"/>
                <w:szCs w:val="12"/>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181,532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141,370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181,918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141,370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323,288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7,311</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2006</w:t>
            </w:r>
          </w:p>
        </w:tc>
        <w:tc>
          <w:tcPr>
            <w:tcW w:w="920" w:type="dxa"/>
            <w:vAlign w:val="bottom"/>
          </w:tcPr>
          <w:p>
            <w:pPr>
              <w:jc w:val="center"/>
              <w:ind w:right="102"/>
              <w:spacing w:after="0"/>
              <w:rPr>
                <w:sz w:val="20"/>
                <w:szCs w:val="20"/>
                <w:color w:val="auto"/>
              </w:rPr>
            </w:pPr>
            <w:r>
              <w:rPr>
                <w:rFonts w:ascii="Arial" w:cs="Arial" w:eastAsia="Arial" w:hAnsi="Arial"/>
                <w:sz w:val="12"/>
                <w:szCs w:val="12"/>
                <w:color w:val="auto"/>
                <w:w w:val="85"/>
              </w:rPr>
              <w:t>9/9/2016</w:t>
            </w:r>
          </w:p>
        </w:tc>
        <w:tc>
          <w:tcPr>
            <w:tcW w:w="52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3"/>
              </w:rPr>
              <w:t>2,057,508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7"/>
              </w:rPr>
              <w:t>2,272,919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179,801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7"/>
              </w:rPr>
              <w:t>2,057,178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3"/>
              </w:rPr>
              <w:t>2,453,050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4,510,228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856,849</w:t>
            </w:r>
          </w:p>
        </w:tc>
        <w:tc>
          <w:tcPr>
            <w:tcW w:w="9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156"/>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Headquarters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Property:</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GLPI Corporate</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Wyomissing,</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2"/>
                <w:szCs w:val="12"/>
                <w:color w:val="auto"/>
              </w:rPr>
              <w:t xml:space="preserve">Office </w:t>
            </w:r>
            <w:r>
              <w:rPr>
                <w:rFonts w:ascii="Arial" w:cs="Arial" w:eastAsia="Arial" w:hAnsi="Arial"/>
                <w:sz w:val="19"/>
                <w:szCs w:val="19"/>
                <w:color w:val="auto"/>
                <w:vertAlign w:val="superscript"/>
              </w:rPr>
              <w:t>(3)</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PA</w:t>
            </w: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8,465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8,523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9,273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607</w:t>
            </w: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2014/2015</w:t>
            </w:r>
          </w:p>
        </w:tc>
        <w:tc>
          <w:tcPr>
            <w:tcW w:w="92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9/19/2014</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w w:val="93"/>
              </w:rPr>
              <w:t>2,058,258</w:t>
            </w:r>
          </w:p>
        </w:tc>
        <w:tc>
          <w:tcPr>
            <w:tcW w:w="120" w:type="dxa"/>
            <w:vAlign w:val="bottom"/>
          </w:tcPr>
          <w:p>
            <w:pPr>
              <w:spacing w:after="0"/>
              <w:rPr>
                <w:sz w:val="18"/>
                <w:szCs w:val="18"/>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w w:val="97"/>
              </w:rPr>
              <w:t>2,281,384</w:t>
            </w:r>
          </w:p>
        </w:tc>
        <w:tc>
          <w:tcPr>
            <w:tcW w:w="10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179,859</w:t>
            </w:r>
          </w:p>
        </w:tc>
        <w:tc>
          <w:tcPr>
            <w:tcW w:w="100" w:type="dxa"/>
            <w:vAlign w:val="bottom"/>
          </w:tcPr>
          <w:p>
            <w:pPr>
              <w:spacing w:after="0"/>
              <w:rPr>
                <w:sz w:val="18"/>
                <w:szCs w:val="18"/>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w w:val="97"/>
              </w:rPr>
              <w:t>2,057,928</w:t>
            </w:r>
          </w:p>
        </w:tc>
        <w:tc>
          <w:tcPr>
            <w:tcW w:w="120" w:type="dxa"/>
            <w:vAlign w:val="bottom"/>
          </w:tcPr>
          <w:p>
            <w:pPr>
              <w:spacing w:after="0"/>
              <w:rPr>
                <w:sz w:val="18"/>
                <w:szCs w:val="18"/>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w w:val="93"/>
              </w:rPr>
              <w:t>2,461,573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w w:val="86"/>
              </w:rPr>
              <w:t>4,519,501</w:t>
            </w:r>
          </w:p>
        </w:tc>
        <w:tc>
          <w:tcPr>
            <w:tcW w:w="100" w:type="dxa"/>
            <w:vAlign w:val="bottom"/>
          </w:tcPr>
          <w:p>
            <w:pPr>
              <w:spacing w:after="0"/>
              <w:rPr>
                <w:sz w:val="18"/>
                <w:szCs w:val="18"/>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857,456</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29" w:lineRule="exact"/>
        <w:rPr>
          <w:sz w:val="20"/>
          <w:szCs w:val="20"/>
          <w:color w:val="auto"/>
        </w:rPr>
      </w:pPr>
    </w:p>
    <w:p>
      <w:pPr>
        <w:ind w:firstLine="8"/>
        <w:spacing w:after="0" w:line="341" w:lineRule="auto"/>
        <w:tabs>
          <w:tab w:leader="none" w:pos="8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acquired substantially all of the real estate assets of Pinnacle Entertainment, Inc. and subsequently leased the assets back to Pinnacle in April 2016. As discussed further in the footnotes to the Consolidated Financial Statements, however, the Pinnacle Master Lease was bifurcated between an operating lease and a direct financing lease, resulting in the land that is subject to operating lease treatment being recorded as a real estate asset on the Company's consolidated balance sheet, while the building assets that triggered direct financing lease treatment are recorded as an investment in direct financing lease on the Company's consolidated balance sheet. Additionally, at several of the properties acquired from Pinnacle, the Company acquired land lease rights only (rights to land subject to long-term ground leases). Land lease rights are recorded as land rights on the Company's consolidated balance sheet and amortized through land rights and ground lease expense on the Company's consolidated statement of income. Therefore, although the schedule above discloses the Company's real estate investments as required, the Company directs readers to the Consolidated Financial Statements for a complete understanding of the assets acquired from Pinnacle. The aggregate cost for federal income tax purposes of the properties listed above was $6.92 billion at December 31, 2017. This amount includes the tax basis of all real property assets acquired from Pinnacle, including building assets.</w:t>
      </w:r>
    </w:p>
    <w:p>
      <w:pPr>
        <w:spacing w:after="0" w:line="140" w:lineRule="exact"/>
        <w:rPr>
          <w:rFonts w:ascii="Arial" w:cs="Arial" w:eastAsia="Arial" w:hAnsi="Arial"/>
          <w:sz w:val="16"/>
          <w:szCs w:val="16"/>
          <w:color w:val="auto"/>
        </w:rPr>
      </w:pPr>
    </w:p>
    <w:p>
      <w:pPr>
        <w:ind w:right="20" w:firstLine="8"/>
        <w:spacing w:after="0" w:line="238" w:lineRule="auto"/>
        <w:tabs>
          <w:tab w:leader="none" w:pos="304"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Hollywood Casino at Dayton Raceway and Hollywood Casino at Mahoning Valley Race Course were jointly developed with Penn National Gaming, Inc. The costs capitalized subsequent to acquisition represent the capital expenditures incurred by the Company subsequent to the transfer of the development properties at Spin-Off. Both properties commenced operations and began paying rent during the year ended December 31, 2014.</w:t>
      </w:r>
    </w:p>
    <w:p>
      <w:pPr>
        <w:spacing w:after="0" w:line="202" w:lineRule="exact"/>
        <w:rPr>
          <w:rFonts w:ascii="Arial" w:cs="Arial" w:eastAsia="Arial" w:hAnsi="Arial"/>
          <w:sz w:val="24"/>
          <w:szCs w:val="24"/>
          <w:color w:val="auto"/>
          <w:vertAlign w:val="superscript"/>
        </w:rPr>
      </w:pPr>
    </w:p>
    <w:p>
      <w:pPr>
        <w:ind w:right="60" w:firstLine="8"/>
        <w:spacing w:after="0" w:line="216" w:lineRule="auto"/>
        <w:tabs>
          <w:tab w:leader="none" w:pos="273"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The Company's corporate headquarters building was completed in October 2015. The land was purchased on September 19, 2014 and construction on the building occurred through 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30" w:right="25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for real estate and accumulated depreciation for the years ended December 31, 2017, 2016 and 2015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spacing w:after="0"/>
              <w:rPr>
                <w:sz w:val="22"/>
                <w:szCs w:val="22"/>
                <w:color w:val="auto"/>
              </w:rPr>
            </w:pPr>
          </w:p>
        </w:tc>
        <w:tc>
          <w:tcPr>
            <w:tcW w:w="3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w:t>
            </w:r>
          </w:p>
        </w:tc>
        <w:tc>
          <w:tcPr>
            <w:tcW w:w="3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4,495,972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2,750,867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w w:val="87"/>
              </w:rPr>
              <w:t>2,742,845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1,745,449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Capital expenditures and assets placed in service</w:t>
            </w:r>
          </w:p>
        </w:tc>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Dispositions</w:t>
            </w:r>
          </w:p>
        </w:tc>
        <w:tc>
          <w:tcPr>
            <w:tcW w:w="3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97"/>
        </w:trPr>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Balance at the end of the year</w:t>
            </w:r>
          </w:p>
        </w:tc>
        <w:tc>
          <w:tcPr>
            <w:tcW w:w="34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4,519,501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4,495,972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2,750,867</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3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(756,881)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(660,808)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(565,297)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(95,511)</w:t>
            </w: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the end of the year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(660,808)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0" w:right="27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2017,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2017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ind w:right="480" w:firstLine="648"/>
        <w:spacing w:after="0" w:line="302" w:lineRule="auto"/>
        <w:rPr>
          <w:sz w:val="20"/>
          <w:szCs w:val="20"/>
          <w:color w:val="auto"/>
        </w:rPr>
      </w:pPr>
      <w:r>
        <w:rPr>
          <w:rFonts w:ascii="Arial" w:cs="Arial" w:eastAsia="Arial" w:hAnsi="Arial"/>
          <w:sz w:val="16"/>
          <w:szCs w:val="16"/>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2017. In making this assessment, management used the criteria established by the Committee of Sponsoring Organizations of the Treadway Commission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w:t>
      </w:r>
    </w:p>
    <w:p>
      <w:pPr>
        <w:spacing w:after="0" w:line="20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Deloitte &amp; Touche LLP, the Company's independent registered accounting firm, issued an audit report on the effectiveness of the Company's internal control over financial reporting as of December 31, 2017, which is included on the following page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Exchange Act Rules 13a-15(f) and 15d-15(f)) that occurred during the fiscal quarter ended December 31, 2017, that have materially affected, or are reasonably likely to materially affect, the Company's internal control over financial reporting. During the year ended December 31, 2017, we implemented controls to ensure we had adequately evaluated our contracts with customers and properly assessed the impact of ASU 2014-09 on our financial statements to facilitate the adoption of this new guidance on January 1, 2018. We do not expect significant changes to our internal control over financial reporting due to the adoption of the new standard.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Gaming and Leisure Properties, Inc.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February 16,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219"/>
          </w:cols>
          <w:pgMar w:left="240" w:top="130" w:right="1440"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information required by this item concerning directors is hereby incorporated by reference to the Company's definitive proxy statement for its 2018 Annual Meeting of Shareholders (the "2018 Proxy Statement"), to be filed with the U.S. Securities and Exchange Commission within 120 days after December 31, 2017, pursuant to Regulation 14A under the Securities Exchange Act of 1934, as amended. Information required by this item concerning executive officers is included in Part I of this Annual Report on Form 10-K.</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2018 Proxy Statement.</w:t>
      </w:r>
    </w:p>
    <w:p>
      <w:pPr>
        <w:spacing w:after="0" w:line="200" w:lineRule="exact"/>
        <w:rPr>
          <w:sz w:val="20"/>
          <w:szCs w:val="20"/>
          <w:color w:val="auto"/>
        </w:rPr>
      </w:pPr>
    </w:p>
    <w:p>
      <w:pPr>
        <w:spacing w:after="0" w:line="237" w:lineRule="exact"/>
        <w:rPr>
          <w:sz w:val="20"/>
          <w:szCs w:val="20"/>
          <w:color w:val="auto"/>
        </w:rPr>
      </w:pPr>
    </w:p>
    <w:p>
      <w:pPr>
        <w:ind w:left="900" w:right="26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STOCKHOLDERS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2018 Proxy Statement.</w:t>
      </w:r>
    </w:p>
    <w:p>
      <w:pPr>
        <w:spacing w:after="0" w:line="200" w:lineRule="exact"/>
        <w:rPr>
          <w:sz w:val="20"/>
          <w:szCs w:val="20"/>
          <w:color w:val="auto"/>
        </w:rPr>
      </w:pPr>
    </w:p>
    <w:p>
      <w:pPr>
        <w:spacing w:after="0" w:line="23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2018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2018 Proxy Statement.</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130" w:right="47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48" w:lineRule="exact"/>
        <w:rPr>
          <w:sz w:val="20"/>
          <w:szCs w:val="20"/>
          <w:color w:val="auto"/>
        </w:rPr>
      </w:pPr>
    </w:p>
    <w:p>
      <w:pPr>
        <w:ind w:firstLine="8"/>
        <w:spacing w:after="0" w:line="277"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 Financial Statements. The following is a list of the Consolidated Financial Statements of the Company and its subsidiaries and supplementary data filed as part of Item 8 hereof:</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2017 and 2016</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years ended December 31, 2017, 2016 and 2015</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Changes in Shareholders' Equity (Deficit) for the years ended December 31, 2017, 2016 and 2015</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III. Real Estate and Accumulated Depreciation as of December 31, 2017 for GLPI.</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 Including Those Incorporated by Reference.</w:t>
      </w:r>
    </w:p>
    <w:p>
      <w:pPr>
        <w:spacing w:after="0" w:line="1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exhibits to this Report are listed on the accompanying index to exhibits and are incorporated herein by reference or are filed as part of this annual report on Form 10-K.</w:t>
      </w:r>
    </w:p>
    <w:p>
      <w:pPr>
        <w:spacing w:after="0" w:line="3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240" w:top="130" w:right="5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130" w:right="299" w:bottom="1440" w:gutter="0" w:footer="0" w:header="0"/>
        </w:sect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1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43" w:lineRule="exact"/>
        <w:rPr>
          <w:sz w:val="20"/>
          <w:szCs w:val="20"/>
          <w:color w:val="auto"/>
        </w:rPr>
      </w:pPr>
    </w:p>
    <w:p>
      <w:pPr>
        <w:ind w:right="480"/>
        <w:spacing w:after="0" w:line="342" w:lineRule="auto"/>
        <w:rPr>
          <w:rFonts w:ascii="Arial" w:cs="Arial" w:eastAsia="Arial" w:hAnsi="Arial"/>
          <w:sz w:val="16"/>
          <w:szCs w:val="16"/>
          <w:u w:val="single" w:color="auto"/>
          <w:color w:val="0000FF"/>
        </w:rPr>
      </w:pPr>
      <w:hyperlink r:id="rId23">
        <w:r>
          <w:rPr>
            <w:rFonts w:ascii="Arial" w:cs="Arial" w:eastAsia="Arial" w:hAnsi="Arial"/>
            <w:sz w:val="16"/>
            <w:szCs w:val="16"/>
            <w:u w:val="single" w:color="auto"/>
            <w:color w:val="0000FF"/>
          </w:rPr>
          <w:t>Separation and Distribution Agreement, dated November 1, 2013, by and between Penn National Gaming, Inc. and Gaming and Leisure</w:t>
        </w:r>
      </w:hyperlink>
      <w:r>
        <w:rPr>
          <w:rFonts w:ascii="Arial" w:cs="Arial" w:eastAsia="Arial" w:hAnsi="Arial"/>
          <w:sz w:val="16"/>
          <w:szCs w:val="16"/>
          <w:u w:val="single" w:color="auto"/>
          <w:color w:val="0000FF"/>
        </w:rPr>
        <w:t xml:space="preserve"> </w:t>
      </w:r>
      <w:hyperlink r:id="rId23">
        <w:r>
          <w:rPr>
            <w:rFonts w:ascii="Arial" w:cs="Arial" w:eastAsia="Arial" w:hAnsi="Arial"/>
            <w:sz w:val="16"/>
            <w:szCs w:val="16"/>
            <w:u w:val="single" w:color="auto"/>
            <w:color w:val="0000FF"/>
          </w:rPr>
          <w:t>Properties, Inc. (Incorporated by reference to Exhibit 2.1 to the Company's current report on Form 8-K filed on November 7, 2013).</w:t>
        </w:r>
      </w:hyperlink>
    </w:p>
    <w:p>
      <w:pPr>
        <w:spacing w:after="0" w:line="272" w:lineRule="exact"/>
        <w:rPr>
          <w:sz w:val="20"/>
          <w:szCs w:val="20"/>
          <w:color w:val="auto"/>
        </w:rPr>
      </w:pPr>
    </w:p>
    <w:p>
      <w:pPr>
        <w:spacing w:after="0"/>
        <w:rPr>
          <w:rFonts w:ascii="Arial" w:cs="Arial" w:eastAsia="Arial" w:hAnsi="Arial"/>
          <w:sz w:val="16"/>
          <w:szCs w:val="16"/>
          <w:u w:val="single" w:color="auto"/>
          <w:color w:val="0000FF"/>
        </w:rPr>
      </w:pPr>
      <w:hyperlink r:id="rId24">
        <w:r>
          <w:rPr>
            <w:rFonts w:ascii="Arial" w:cs="Arial" w:eastAsia="Arial" w:hAnsi="Arial"/>
            <w:sz w:val="16"/>
            <w:szCs w:val="16"/>
            <w:u w:val="single" w:color="auto"/>
            <w:color w:val="0000FF"/>
          </w:rPr>
          <w:t>Agreement and Plan of Merger, dated as of July 20, 2015, by and among Pinnacle Entertainment, Inc., Gaming and Leisure Properties, Inc.</w:t>
        </w:r>
      </w:hyperlink>
    </w:p>
    <w:p>
      <w:pPr>
        <w:spacing w:after="0" w:line="46" w:lineRule="exact"/>
        <w:rPr>
          <w:sz w:val="20"/>
          <w:szCs w:val="20"/>
          <w:color w:val="auto"/>
        </w:rPr>
      </w:pPr>
    </w:p>
    <w:p>
      <w:pPr>
        <w:spacing w:after="0"/>
        <w:rPr>
          <w:rFonts w:ascii="Arial" w:cs="Arial" w:eastAsia="Arial" w:hAnsi="Arial"/>
          <w:sz w:val="16"/>
          <w:szCs w:val="16"/>
          <w:u w:val="single" w:color="auto"/>
          <w:color w:val="0000FF"/>
        </w:rPr>
      </w:pPr>
      <w:hyperlink r:id="rId24">
        <w:r>
          <w:rPr>
            <w:rFonts w:ascii="Arial" w:cs="Arial" w:eastAsia="Arial" w:hAnsi="Arial"/>
            <w:sz w:val="16"/>
            <w:szCs w:val="16"/>
            <w:u w:val="single" w:color="auto"/>
            <w:color w:val="0000FF"/>
          </w:rPr>
          <w:t>and Gold Merger Sub, LLC. (Incorporated by reference to Exhibit 2.1 to the Company's current report on Form 8-K filed on July 22, 2015).</w:t>
        </w:r>
      </w:hyperlink>
    </w:p>
    <w:p>
      <w:pPr>
        <w:spacing w:after="0" w:line="382" w:lineRule="exact"/>
        <w:rPr>
          <w:sz w:val="20"/>
          <w:szCs w:val="20"/>
          <w:color w:val="auto"/>
        </w:rPr>
      </w:pPr>
    </w:p>
    <w:p>
      <w:pPr>
        <w:ind w:right="540"/>
        <w:spacing w:after="0" w:line="264"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Amendment No. 1, dated as of March 25, 2016, to Agreement and Plan of Merger, dated as of July 20, 2015, by and among Pinnacle</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Entertainment, Inc., Gaming and Leisure Properties, Inc. and Golder Merger Sub, LLC. (Incorporated by reference to Exhibit 2.1 to the</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Company's current report on Form 8-K filed on March 28, 2016).</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20" w:space="260"/>
            <w:col w:w="10280"/>
          </w:cols>
          <w:pgMar w:left="240" w:top="130" w:right="299" w:bottom="1440" w:gutter="0" w:footer="0" w:header="0"/>
          <w:type w:val="continuous"/>
        </w:sectPr>
      </w:pPr>
    </w:p>
    <w:p>
      <w:pPr>
        <w:spacing w:after="0" w:line="49" w:lineRule="exact"/>
        <w:rPr>
          <w:rFonts w:ascii="Arial" w:cs="Arial" w:eastAsia="Arial" w:hAnsi="Arial"/>
          <w:sz w:val="18"/>
          <w:szCs w:val="18"/>
          <w:u w:val="single" w:color="auto"/>
          <w:color w:val="0000FF"/>
        </w:rPr>
      </w:pPr>
    </w:p>
    <w:p>
      <w:pPr>
        <w:ind w:left="1080" w:right="6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26">
        <w:r>
          <w:rPr>
            <w:rFonts w:ascii="Arial" w:cs="Arial" w:eastAsia="Arial" w:hAnsi="Arial"/>
            <w:sz w:val="18"/>
            <w:szCs w:val="18"/>
            <w:u w:val="single" w:color="auto"/>
            <w:color w:val="0000FF"/>
          </w:rPr>
          <w:t>Separation and Distribution Agreement, dated April 28, 2016, by and between PNK Entertainment, Inc., Gold Merger Sub, LLC (as successor</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to Pinnacle Entertainment, Inc.) and solely with respect to Article VIII, Gaming and Leisure Properties, Inc. (Incorporated by reference to</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Exhibit 2.4 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ind w:left="1080" w:right="48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7">
        <w:r>
          <w:rPr>
            <w:rFonts w:ascii="Arial" w:cs="Arial" w:eastAsia="Arial" w:hAnsi="Arial"/>
            <w:sz w:val="18"/>
            <w:szCs w:val="18"/>
            <w:u w:val="single" w:color="auto"/>
            <w:color w:val="0000FF"/>
          </w:rPr>
          <w:t>Amended and Restated Articles of Incorporation of Gaming and Leisure Properties, Inc. (Incorporated by reference to Exhibit 3.1 to the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Company's current report on Form 8-K filed on June 2, 2016).</w:t>
        </w:r>
      </w:hyperlink>
    </w:p>
    <w:p>
      <w:pPr>
        <w:spacing w:after="0" w:line="238" w:lineRule="exact"/>
        <w:rPr>
          <w:sz w:val="20"/>
          <w:szCs w:val="20"/>
          <w:color w:val="auto"/>
        </w:rPr>
      </w:pPr>
    </w:p>
    <w:p>
      <w:pPr>
        <w:ind w:left="1080" w:right="34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8">
        <w:r>
          <w:rPr>
            <w:rFonts w:ascii="Arial" w:cs="Arial" w:eastAsia="Arial" w:hAnsi="Arial"/>
            <w:sz w:val="18"/>
            <w:szCs w:val="18"/>
            <w:u w:val="single" w:color="auto"/>
            <w:color w:val="0000FF"/>
          </w:rPr>
          <w:t>Amended and Restated Bylaws of Gaming and Leisure Properties, Inc. (Incorporated by reference to Exhibit 3.2 to the Company's current</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report on Form 8-K filed on June 2, 2016).</w:t>
        </w:r>
      </w:hyperlink>
    </w:p>
    <w:p>
      <w:pPr>
        <w:spacing w:after="0" w:line="238" w:lineRule="exact"/>
        <w:rPr>
          <w:sz w:val="20"/>
          <w:szCs w:val="20"/>
          <w:color w:val="auto"/>
        </w:rPr>
      </w:pPr>
    </w:p>
    <w:p>
      <w:pPr>
        <w:ind w:left="1080" w:right="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9">
        <w:r>
          <w:rPr>
            <w:rFonts w:ascii="Arial" w:cs="Arial" w:eastAsia="Arial" w:hAnsi="Arial"/>
            <w:sz w:val="18"/>
            <w:szCs w:val="18"/>
            <w:u w:val="single" w:color="auto"/>
            <w:color w:val="0000FF"/>
          </w:rPr>
          <w:t>Indenture, dated as of October 30, 2013, among GLP Capital, L.P. and GLP Financing II, Inc., as Issuers, Gaming and Leisure Properties, Inc.,</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as Parent Guarantor, and Wells Fargo Bank, National Association, as Trustee. (Incorporated by reference to Exhibit 4.1 to the Company's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current report on Form 8-K filed on November 1, 2013).</w:t>
        </w:r>
      </w:hyperlink>
    </w:p>
    <w:p>
      <w:pPr>
        <w:spacing w:after="0" w:line="249" w:lineRule="exact"/>
        <w:rPr>
          <w:rFonts w:ascii="Arial" w:cs="Arial" w:eastAsia="Arial" w:hAnsi="Arial"/>
          <w:sz w:val="18"/>
          <w:szCs w:val="18"/>
          <w:u w:val="single" w:color="auto"/>
          <w:color w:val="0000FF"/>
        </w:rPr>
      </w:pPr>
    </w:p>
    <w:p>
      <w:pPr>
        <w:ind w:left="1080" w:right="140" w:hanging="48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30">
        <w:r>
          <w:rPr>
            <w:rFonts w:ascii="Arial" w:cs="Arial" w:eastAsia="Arial" w:hAnsi="Arial"/>
            <w:sz w:val="16"/>
            <w:szCs w:val="16"/>
            <w:u w:val="single" w:color="auto"/>
            <w:color w:val="0000FF"/>
          </w:rPr>
          <w:t>First Supplemental Indenture, dated as of March 28, 2016, among GLP Capital, L.P., GLP Financing II, Inc. and Wells Fargo Bank, National</w:t>
        </w:r>
      </w:hyperlink>
      <w:r>
        <w:rPr>
          <w:rFonts w:ascii="Arial" w:cs="Arial" w:eastAsia="Arial" w:hAnsi="Arial"/>
          <w:sz w:val="16"/>
          <w:szCs w:val="16"/>
          <w:u w:val="single" w:color="auto"/>
          <w:color w:val="0000FF"/>
        </w:rPr>
        <w:t xml:space="preserve"> </w:t>
      </w:r>
      <w:hyperlink r:id="rId30">
        <w:r>
          <w:rPr>
            <w:rFonts w:ascii="Arial" w:cs="Arial" w:eastAsia="Arial" w:hAnsi="Arial"/>
            <w:sz w:val="16"/>
            <w:szCs w:val="16"/>
            <w:u w:val="single" w:color="auto"/>
            <w:color w:val="0000FF"/>
          </w:rPr>
          <w:t>Association, as Trustee. (Incorporated by reference to Exhibit 4.1 to the Company's current report on Form 8-K filed on March 28, 2016).</w:t>
        </w:r>
      </w:hyperlink>
    </w:p>
    <w:p>
      <w:pPr>
        <w:spacing w:after="0" w:line="191" w:lineRule="exact"/>
        <w:rPr>
          <w:sz w:val="20"/>
          <w:szCs w:val="20"/>
          <w:color w:val="auto"/>
        </w:rPr>
      </w:pPr>
    </w:p>
    <w:p>
      <w:pPr>
        <w:ind w:left="108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31">
        <w:r>
          <w:rPr>
            <w:rFonts w:ascii="Arial" w:cs="Arial" w:eastAsia="Arial" w:hAnsi="Arial"/>
            <w:sz w:val="18"/>
            <w:szCs w:val="18"/>
            <w:u w:val="single" w:color="auto"/>
            <w:color w:val="0000FF"/>
          </w:rPr>
          <w:t>Second Supplemental Indenture, dated as of April 28, 2016, by and among GLP Capital, L.P., GLP Financing II, Inc. as Issuers and Gaming</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and Leisure Properties, Inc, as Parent Guarantor and Wells Fargo Bank, National Association, as Trustee. (Incorporated by reference to Exhibit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4.3 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jc w:val="both"/>
        <w:ind w:left="1080" w:right="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32">
        <w:r>
          <w:rPr>
            <w:rFonts w:ascii="Arial" w:cs="Arial" w:eastAsia="Arial" w:hAnsi="Arial"/>
            <w:sz w:val="18"/>
            <w:szCs w:val="18"/>
            <w:u w:val="single" w:color="auto"/>
            <w:color w:val="0000FF"/>
          </w:rPr>
          <w:t>Third Supplemental Indenture, dated as of April 28, 2016, by and among GLP Capital, L.P., GLP Financing II, Inc. as Issuers and Gaming and</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Leisure Properties, Inc. as Parent Guarantor and Wells Fargo Bank, National Association, as Trustee. (Incorporated by reference to Exhibit 4.4</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ind w:left="1080" w:right="140" w:hanging="481"/>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r:id="rId33">
        <w:r>
          <w:rPr>
            <w:rFonts w:ascii="Arial" w:cs="Arial" w:eastAsia="Arial" w:hAnsi="Arial"/>
            <w:sz w:val="17"/>
            <w:szCs w:val="17"/>
            <w:u w:val="single" w:color="auto"/>
            <w:color w:val="0000FF"/>
          </w:rPr>
          <w:t>Officer's Certificate of GLP Capital, L.P. and GLP Financing II, Inc., dated as of October 30, 2013, establishing the 2018 Notes and the 2023</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Notes. (Incorporated by reference to Exhibit 4.2 to the Company's current report on Form 8-K filed on November 1, 2013).</w:t>
        </w:r>
      </w:hyperlink>
    </w:p>
    <w:p>
      <w:pPr>
        <w:spacing w:after="0" w:line="214" w:lineRule="exact"/>
        <w:rPr>
          <w:sz w:val="20"/>
          <w:szCs w:val="20"/>
          <w:color w:val="auto"/>
        </w:rPr>
      </w:pPr>
    </w:p>
    <w:p>
      <w:pPr>
        <w:ind w:left="1080" w:right="4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34">
        <w:r>
          <w:rPr>
            <w:rFonts w:ascii="Arial" w:cs="Arial" w:eastAsia="Arial" w:hAnsi="Arial"/>
            <w:sz w:val="18"/>
            <w:szCs w:val="18"/>
            <w:u w:val="single" w:color="auto"/>
            <w:color w:val="0000FF"/>
          </w:rPr>
          <w:t>Officer's Certificate of GLP Capital, L.P. and GLP Financing II, Inc., dated as of October 31, 2013, establishing the 2020 Notes. (Incorporated</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by reference to Exhibit 4.3 to the Company's current report on Form 8-K filed on November 1, 2013).</w:t>
        </w:r>
      </w:hyperlink>
    </w:p>
    <w:p>
      <w:pPr>
        <w:spacing w:after="0" w:line="238" w:lineRule="exact"/>
        <w:rPr>
          <w:sz w:val="20"/>
          <w:szCs w:val="20"/>
          <w:color w:val="auto"/>
        </w:rPr>
      </w:pPr>
    </w:p>
    <w:p>
      <w:pPr>
        <w:ind w:left="108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31">
        <w:r>
          <w:rPr>
            <w:rFonts w:ascii="Arial" w:cs="Arial" w:eastAsia="Arial" w:hAnsi="Arial"/>
            <w:sz w:val="18"/>
            <w:szCs w:val="18"/>
            <w:u w:val="single" w:color="auto"/>
            <w:color w:val="0000FF"/>
          </w:rPr>
          <w:t>Form of 2021 Note (Incorporated by reference to Exhibit 4.5 and included in Exhibit 4.3 to the Company's current report on Form 8-K filed 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April 28, 2016).</w:t>
        </w:r>
      </w:hyperlink>
    </w:p>
    <w:p>
      <w:pPr>
        <w:spacing w:after="0" w:line="238" w:lineRule="exact"/>
        <w:rPr>
          <w:sz w:val="20"/>
          <w:szCs w:val="20"/>
          <w:color w:val="auto"/>
        </w:rPr>
      </w:pPr>
    </w:p>
    <w:p>
      <w:pPr>
        <w:ind w:left="108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32">
        <w:r>
          <w:rPr>
            <w:rFonts w:ascii="Arial" w:cs="Arial" w:eastAsia="Arial" w:hAnsi="Arial"/>
            <w:sz w:val="18"/>
            <w:szCs w:val="18"/>
            <w:u w:val="single" w:color="auto"/>
            <w:color w:val="0000FF"/>
          </w:rPr>
          <w:t>Form of 2026 Note (Incorporated by reference to Exhibit 4.6 and included in Exhibit 4.4 to the Company's current report on Form 8-K filed on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April 28, 2016).</w:t>
        </w:r>
      </w:hyperlink>
    </w:p>
    <w:p>
      <w:pPr>
        <w:spacing w:after="0" w:line="238" w:lineRule="exact"/>
        <w:rPr>
          <w:sz w:val="20"/>
          <w:szCs w:val="20"/>
          <w:color w:val="auto"/>
        </w:rPr>
      </w:pPr>
    </w:p>
    <w:p>
      <w:pPr>
        <w:ind w:left="1080" w:right="16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35">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2018 Notes. (Incorporated by reference to Exhibit 10.1 to the Company's current report on Form 8-K filed on November 1, 2013).</w:t>
        </w:r>
      </w:hyperlink>
    </w:p>
    <w:p>
      <w:pPr>
        <w:sectPr>
          <w:pgSz w:w="11900" w:h="16838" w:orient="portrait"/>
          <w:cols w:equalWidth="0" w:num="1">
            <w:col w:w="11360"/>
          </w:cols>
          <w:pgMar w:left="240" w:top="130" w:right="29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25"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60"/>
          </w:cols>
          <w:pgMar w:left="240" w:top="130" w:right="299" w:bottom="1440" w:gutter="0" w:footer="0" w:header="0"/>
          <w:type w:val="continuous"/>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37">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2023 Notes. (Incorporated by reference to Exhibit 10.2 to the Company's current report on Form 8-K filed on November 1, 2013).</w:t>
        </w:r>
      </w:hyperlink>
    </w:p>
    <w:p>
      <w:pPr>
        <w:spacing w:after="0" w:line="214" w:lineRule="exact"/>
        <w:rPr>
          <w:rFonts w:ascii="Arial" w:cs="Arial" w:eastAsia="Arial" w:hAnsi="Arial"/>
          <w:sz w:val="16"/>
          <w:szCs w:val="16"/>
          <w:u w:val="single" w:color="auto"/>
          <w:color w:val="0000FF"/>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38">
        <w:r>
          <w:rPr>
            <w:rFonts w:ascii="Arial" w:cs="Arial" w:eastAsia="Arial" w:hAnsi="Arial"/>
            <w:sz w:val="16"/>
            <w:szCs w:val="16"/>
            <w:u w:val="single" w:color="auto"/>
            <w:color w:val="0000FF"/>
          </w:rPr>
          <w:t>Registration Rights Agreement, dated as of October 31, 2013, by and among GLP Capital, L.P., GLP Financing II, Inc., Gaming and Leisure</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2020 Notes. (Incorporated by reference to Exhibit 10.3 to the Company's current report on Form 8-K filed on November 1, 2013).</w:t>
        </w:r>
      </w:hyperlink>
    </w:p>
    <w:p>
      <w:pPr>
        <w:spacing w:after="0" w:line="214" w:lineRule="exact"/>
        <w:rPr>
          <w:rFonts w:ascii="Arial" w:cs="Arial" w:eastAsia="Arial" w:hAnsi="Arial"/>
          <w:sz w:val="16"/>
          <w:szCs w:val="16"/>
          <w:u w:val="single" w:color="auto"/>
          <w:color w:val="0000FF"/>
        </w:rPr>
      </w:pPr>
    </w:p>
    <w:p>
      <w:pPr>
        <w:ind w:left="1080" w:right="80" w:hanging="570"/>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39">
        <w:r>
          <w:rPr>
            <w:rFonts w:ascii="Arial" w:cs="Arial" w:eastAsia="Arial" w:hAnsi="Arial"/>
            <w:sz w:val="18"/>
            <w:szCs w:val="18"/>
            <w:u w:val="single" w:color="auto"/>
            <w:color w:val="0000FF"/>
          </w:rPr>
          <w:t>Credit Agreement, dated as of October 28, 2013, among GLP Capital, L.P., as successor-by-merger to GLP Financing, LLC, each lender from</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time to time party thereto and JPMorgan Chase Bank, N.A., as administrative agent. (Incorporated by reference to Exhibit 10.4 to the</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Company's current report on Form 8-K filed on November 1, 2013).</w:t>
        </w:r>
      </w:hyperlink>
    </w:p>
    <w:p>
      <w:pPr>
        <w:spacing w:after="0" w:line="249" w:lineRule="exact"/>
        <w:rPr>
          <w:rFonts w:ascii="Arial" w:cs="Arial" w:eastAsia="Arial" w:hAnsi="Arial"/>
          <w:sz w:val="18"/>
          <w:szCs w:val="18"/>
          <w:u w:val="single" w:color="auto"/>
          <w:color w:val="0000FF"/>
        </w:rPr>
      </w:pPr>
    </w:p>
    <w:p>
      <w:pPr>
        <w:ind w:left="1080" w:right="40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40">
        <w:r>
          <w:rPr>
            <w:rFonts w:ascii="Arial" w:cs="Arial" w:eastAsia="Arial" w:hAnsi="Arial"/>
            <w:sz w:val="16"/>
            <w:szCs w:val="16"/>
            <w:u w:val="single" w:color="auto"/>
            <w:color w:val="0000FF"/>
          </w:rPr>
          <w:t>Amendment No. 1, dated as of July 31, 2015,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thereto. (Incorporated by reference to Exhibit 10.2 to the Company's Registration Statement on S-4 filed on August 28, 2015).</w:t>
        </w:r>
      </w:hyperlink>
    </w:p>
    <w:p>
      <w:pPr>
        <w:spacing w:after="0" w:line="214" w:lineRule="exact"/>
        <w:rPr>
          <w:rFonts w:ascii="Arial" w:cs="Arial" w:eastAsia="Arial" w:hAnsi="Arial"/>
          <w:sz w:val="16"/>
          <w:szCs w:val="16"/>
          <w:u w:val="single" w:color="auto"/>
          <w:color w:val="0000FF"/>
        </w:rPr>
      </w:pPr>
    </w:p>
    <w:p>
      <w:pPr>
        <w:ind w:left="1080" w:hanging="570"/>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1">
        <w:r>
          <w:rPr>
            <w:rFonts w:ascii="Arial" w:cs="Arial" w:eastAsia="Arial" w:hAnsi="Arial"/>
            <w:sz w:val="18"/>
            <w:szCs w:val="18"/>
            <w:u w:val="single" w:color="auto"/>
            <w:color w:val="0000FF"/>
          </w:rPr>
          <w:t>First Amendment, dated as of March 25, 2016, to Amendment No. 1, dated as of July 31, 2015, to the Credit Agreement dated as of October</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28, 2013 among GLP Capital, L.P., the several banks and other financial institutions party thereto, JPMorgan Chase Bank, N.A., as</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Administrative Agent and the various other parties thereto. (Incorporated by reference to Exhibit 10.1 to the Company's current report on Form</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8-K filed on March 28, 2016).</w:t>
        </w:r>
      </w:hyperlink>
    </w:p>
    <w:p>
      <w:pPr>
        <w:spacing w:after="0" w:line="254" w:lineRule="exact"/>
        <w:rPr>
          <w:rFonts w:ascii="Arial" w:cs="Arial" w:eastAsia="Arial" w:hAnsi="Arial"/>
          <w:sz w:val="18"/>
          <w:szCs w:val="18"/>
          <w:u w:val="single" w:color="auto"/>
          <w:color w:val="0000FF"/>
        </w:rPr>
      </w:pPr>
    </w:p>
    <w:p>
      <w:pPr>
        <w:ind w:left="1080" w:right="14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42">
        <w:r>
          <w:rPr>
            <w:rFonts w:ascii="Arial" w:cs="Arial" w:eastAsia="Arial" w:hAnsi="Arial"/>
            <w:sz w:val="18"/>
            <w:szCs w:val="18"/>
            <w:u w:val="single" w:color="auto"/>
            <w:color w:val="0000FF"/>
          </w:rPr>
          <w:t>Master Lease, dated November 1, 2013, by and among GLP Capital L.P. and Penn Tenant LLC. (Incorporated by reference to Exhibit 10.1 to</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the Company's current report on Form 8-K filed on November 7, 2013).</w:t>
        </w:r>
      </w:hyperlink>
    </w:p>
    <w:p>
      <w:pPr>
        <w:spacing w:after="0" w:line="238"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43">
        <w:r>
          <w:rPr>
            <w:rFonts w:ascii="Arial" w:cs="Arial" w:eastAsia="Arial" w:hAnsi="Arial"/>
            <w:sz w:val="16"/>
            <w:szCs w:val="16"/>
            <w:u w:val="single" w:color="auto"/>
            <w:color w:val="0000FF"/>
          </w:rPr>
          <w:t>First Amendment to the Master Lease Agreement, dated as of March 5, 2014,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(Incorporated by reference to Exhibit 10.1 to the Company's quarterly report on Form 10-Q filed on May 12, 2014).</w:t>
        </w:r>
      </w:hyperlink>
    </w:p>
    <w:p>
      <w:pPr>
        <w:spacing w:after="0" w:line="278"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44">
        <w:r>
          <w:rPr>
            <w:rFonts w:ascii="Arial" w:cs="Arial" w:eastAsia="Arial" w:hAnsi="Arial"/>
            <w:sz w:val="16"/>
            <w:szCs w:val="16"/>
            <w:u w:val="single" w:color="auto"/>
            <w:color w:val="0000FF"/>
          </w:rPr>
          <w:t>Second Amendment to the Master Lease Agreement, dated as of April 18, 2014,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(Incorporated by reference to Exhibit 10.1 to the Company's quarterly report on Form 10-Q filed on August 1, 2014).</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45">
        <w:r>
          <w:rPr>
            <w:rFonts w:ascii="Arial" w:cs="Arial" w:eastAsia="Arial" w:hAnsi="Arial"/>
            <w:sz w:val="16"/>
            <w:szCs w:val="16"/>
            <w:u w:val="single" w:color="auto"/>
            <w:color w:val="0000FF"/>
          </w:rPr>
          <w:t>Third Amendment to the Master Lease Agreement, dated as of September 20, 2016,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(Incorporated by reference to Exhibit 10.2 to the Company's quarterly report on Form 10-Q filed on November 9, 2016).</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46">
        <w:r>
          <w:rPr>
            <w:rFonts w:ascii="Arial" w:cs="Arial" w:eastAsia="Arial" w:hAnsi="Arial"/>
            <w:sz w:val="16"/>
            <w:szCs w:val="16"/>
            <w:u w:val="single" w:color="auto"/>
            <w:color w:val="0000FF"/>
          </w:rPr>
          <w:t>Fourth Amendment to the Master Lease Agreement, dated as of May 1, 2017,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(Incorporated by reference to Exhibit 10.2 to the Company's quarterly report on Form 10-Q filed on May 3, 2017).</w:t>
        </w:r>
      </w:hyperlink>
    </w:p>
    <w:p>
      <w:pPr>
        <w:spacing w:after="0" w:line="200" w:lineRule="exact"/>
        <w:rPr>
          <w:sz w:val="20"/>
          <w:szCs w:val="20"/>
          <w:color w:val="auto"/>
        </w:rPr>
      </w:pPr>
    </w:p>
    <w:p>
      <w:pPr>
        <w:spacing w:after="0" w:line="294" w:lineRule="exact"/>
        <w:rPr>
          <w:sz w:val="20"/>
          <w:szCs w:val="20"/>
          <w:color w:val="auto"/>
        </w:rPr>
      </w:pPr>
    </w:p>
    <w:p>
      <w:pPr>
        <w:ind w:left="1080" w:right="160" w:hanging="661"/>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47">
        <w:r>
          <w:rPr>
            <w:rFonts w:ascii="Arial" w:cs="Arial" w:eastAsia="Arial" w:hAnsi="Arial"/>
            <w:sz w:val="17"/>
            <w:szCs w:val="17"/>
            <w:u w:val="single" w:color="auto"/>
            <w:color w:val="0000FF"/>
          </w:rPr>
          <w:t>Master Lease, dated April 28, 2016, by and among Gold Merger Sub, LLC (as successor to Pinnacle Entertainment, Inc.) and Pinnacle MLS,</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LLC. (Incorporated by reference to Exhibit 2.3 to the Company's current report on Form 8-K filed on April 28, 2016).</w:t>
        </w:r>
      </w:hyperlink>
    </w:p>
    <w:p>
      <w:pPr>
        <w:spacing w:after="0" w:line="214" w:lineRule="exact"/>
        <w:rPr>
          <w:sz w:val="20"/>
          <w:szCs w:val="20"/>
          <w:color w:val="auto"/>
        </w:rPr>
      </w:pPr>
    </w:p>
    <w:p>
      <w:pPr>
        <w:jc w:val="both"/>
        <w:ind w:left="1080" w:right="8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8">
        <w:r>
          <w:rPr>
            <w:rFonts w:ascii="Arial" w:cs="Arial" w:eastAsia="Arial" w:hAnsi="Arial"/>
            <w:sz w:val="18"/>
            <w:szCs w:val="18"/>
            <w:u w:val="single" w:color="auto"/>
            <w:color w:val="0000FF"/>
          </w:rPr>
          <w:t>First Amendment to the Master Lease, dated August 29, 2016, by and among Gold Merger Sub, LLC (as successor to Pinnacle Entertainment,</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Inc.) and Pinnacle MLS, LLC. (Incorporated by reference to Exhibit 10.1 to the Company's quarterly report on Form 10-Q filed on November</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9, 2016).</w:t>
        </w:r>
      </w:hyperlink>
    </w:p>
    <w:p>
      <w:pPr>
        <w:spacing w:after="0" w:line="249" w:lineRule="exact"/>
        <w:rPr>
          <w:rFonts w:ascii="Arial" w:cs="Arial" w:eastAsia="Arial" w:hAnsi="Arial"/>
          <w:sz w:val="18"/>
          <w:szCs w:val="18"/>
          <w:u w:val="single" w:color="auto"/>
          <w:color w:val="0000FF"/>
        </w:rPr>
      </w:pPr>
    </w:p>
    <w:p>
      <w:pPr>
        <w:ind w:left="1080" w:right="8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9">
        <w:r>
          <w:rPr>
            <w:rFonts w:ascii="Arial" w:cs="Arial" w:eastAsia="Arial" w:hAnsi="Arial"/>
            <w:sz w:val="18"/>
            <w:szCs w:val="18"/>
            <w:u w:val="single" w:color="auto"/>
            <w:color w:val="0000FF"/>
          </w:rPr>
          <w:t>Second Amendment to the Master Lease, dated October 25, 2016, by and among Gold Merger Sub, LLC (as successor to Pinnacle</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Entertainment, Inc.) and Pinnacle MLS, LLC. (Incorporated by reference to Exhibit 10.13 to the Company's annual report on Form 10-K filed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on February 22, 2017).</w:t>
        </w:r>
      </w:hyperlink>
    </w:p>
    <w:p>
      <w:pPr>
        <w:spacing w:after="0" w:line="249" w:lineRule="exact"/>
        <w:rPr>
          <w:rFonts w:ascii="Arial" w:cs="Arial" w:eastAsia="Arial" w:hAnsi="Arial"/>
          <w:sz w:val="18"/>
          <w:szCs w:val="18"/>
          <w:u w:val="single" w:color="auto"/>
          <w:color w:val="0000FF"/>
        </w:rPr>
      </w:pPr>
    </w:p>
    <w:p>
      <w:pPr>
        <w:ind w:left="1080" w:right="6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50">
        <w:r>
          <w:rPr>
            <w:rFonts w:ascii="Arial" w:cs="Arial" w:eastAsia="Arial" w:hAnsi="Arial"/>
            <w:sz w:val="18"/>
            <w:szCs w:val="18"/>
            <w:u w:val="single" w:color="auto"/>
            <w:color w:val="0000FF"/>
          </w:rPr>
          <w:t>Third Amendment to the Master Lease, dated March 24, 2017, by and among Gold Merger Sub, LLC (as successor to Pinnacle Entertainment,</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Inc.) and Pinnacle MLS, LLC. (Incorporated by reference to Exhibit 10.1 to the Company's quarterly report on Form 10-Q filed on May 3,</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2017).</w:t>
        </w:r>
      </w:hyperlink>
    </w:p>
    <w:p>
      <w:pPr>
        <w:spacing w:after="0" w:line="249" w:lineRule="exact"/>
        <w:rPr>
          <w:rFonts w:ascii="Arial" w:cs="Arial" w:eastAsia="Arial" w:hAnsi="Arial"/>
          <w:sz w:val="18"/>
          <w:szCs w:val="18"/>
          <w:u w:val="single" w:color="auto"/>
          <w:color w:val="0000FF"/>
        </w:rPr>
      </w:pPr>
    </w:p>
    <w:p>
      <w:pPr>
        <w:ind w:left="1080" w:right="240" w:hanging="661"/>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1">
        <w:r>
          <w:rPr>
            <w:rFonts w:ascii="Arial" w:cs="Arial" w:eastAsia="Arial" w:hAnsi="Arial"/>
            <w:sz w:val="18"/>
            <w:szCs w:val="18"/>
            <w:u w:val="single" w:color="auto"/>
            <w:color w:val="0000FF"/>
          </w:rPr>
          <w:t>Consent Agreement by and among Gaming and Leisure Properties, Inc., Gold Merger Sub, LLC, PA Meadows, LLC, WTA II, Inc., CCR</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Pennsylvania Racing, Inc., Penn National Gaming, Inc., Pinnacle Entertainment, Inc., PNK Development 33, LLC and Pinnacle MLS, LLC</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dated December 17, 2017. (Incorporated by reference to Exhibit 10.1 to the Company's current report on Form 8-K filed on December 19,</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2017).</w:t>
        </w:r>
      </w:hyperlink>
    </w:p>
    <w:p>
      <w:pPr>
        <w:sectPr>
          <w:pgSz w:w="11900" w:h="16838" w:orient="portrait"/>
          <w:cols w:equalWidth="0" w:num="1">
            <w:col w:w="11380"/>
          </w:cols>
          <w:pgMar w:left="240" w:top="130" w:right="279" w:bottom="1440" w:gutter="0" w:footer="0" w:header="0"/>
        </w:sectPr>
      </w:pPr>
    </w:p>
    <w:p>
      <w:pPr>
        <w:spacing w:after="0" w:line="376"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380"/>
          </w:cols>
          <w:pgMar w:left="240" w:top="130" w:right="279" w:bottom="1440" w:gutter="0" w:footer="0" w:header="0"/>
          <w:type w:val="continuous"/>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53">
        <w:r>
          <w:rPr>
            <w:rFonts w:ascii="Arial" w:cs="Arial" w:eastAsia="Arial" w:hAnsi="Arial"/>
            <w:sz w:val="16"/>
            <w:szCs w:val="16"/>
            <w:u w:val="single" w:color="auto"/>
            <w:color w:val="0000FF"/>
          </w:rPr>
          <w:t>Tax Matters Agreement, dated as of November 1, 2013, by and among Penn National Gaming, Inc. and Gaming and Leisure Properties, Inc.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(Incorporated by reference to Exhibit 10.2 to the Company's current report on Form 8-K filed on November 7, 2013).</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54">
        <w:r>
          <w:rPr>
            <w:rFonts w:ascii="Arial" w:cs="Arial" w:eastAsia="Arial" w:hAnsi="Arial"/>
            <w:sz w:val="16"/>
            <w:szCs w:val="16"/>
            <w:u w:val="single" w:color="auto"/>
            <w:color w:val="0000FF"/>
          </w:rPr>
          <w:t>Tax Matters Agreement, dated as of July 20, 2015, by and among Pinnacle Entertainment, Inc. and Gaming and Leisure Properties, Inc.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(Incorporated by reference to Exhibit 10.1 to the Company's current report on Form 8-K filed on July 22, 2015).</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55">
        <w:r>
          <w:rPr>
            <w:rFonts w:ascii="Arial" w:cs="Arial" w:eastAsia="Arial" w:hAnsi="Arial"/>
            <w:sz w:val="16"/>
            <w:szCs w:val="16"/>
            <w:u w:val="single" w:color="auto"/>
            <w:color w:val="0000FF"/>
          </w:rPr>
          <w:t>Transition Services Agreement, dated November 1, 2013, by and among Penn National Gaming, Inc. and Gaming and Leisure Properties, Inc.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(Incorporated by reference to Exhibit 10.3 to the Company's current report on Form 8-K filed on November 7, 2013).</w:t>
        </w:r>
      </w:hyperlink>
    </w:p>
    <w:p>
      <w:pPr>
        <w:spacing w:after="0" w:line="278" w:lineRule="exact"/>
        <w:rPr>
          <w:sz w:val="20"/>
          <w:szCs w:val="20"/>
          <w:color w:val="auto"/>
        </w:rPr>
      </w:pPr>
    </w:p>
    <w:p>
      <w:pPr>
        <w:jc w:val="right"/>
        <w:ind w:left="420" w:right="720"/>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10.20   </w:t>
      </w:r>
      <w:hyperlink r:id="rId56">
        <w:r>
          <w:rPr>
            <w:rFonts w:ascii="Arial" w:cs="Arial" w:eastAsia="Arial" w:hAnsi="Arial"/>
            <w:sz w:val="16"/>
            <w:szCs w:val="16"/>
            <w:u w:val="single" w:color="auto"/>
            <w:color w:val="0000FF"/>
          </w:rPr>
          <w:t>Employee Matters Agreement, dated as of November 1, 2013, by and between Penn National Gaming, Inc. and Gaming and Leisure</w:t>
        </w:r>
      </w:hyperlink>
      <w:r>
        <w:rPr>
          <w:rFonts w:ascii="Arial" w:cs="Arial" w:eastAsia="Arial" w:hAnsi="Arial"/>
          <w:sz w:val="16"/>
          <w:szCs w:val="16"/>
          <w:color w:val="auto"/>
        </w:rPr>
        <w:t xml:space="preserve"> </w:t>
      </w:r>
      <w:hyperlink r:id="rId56">
        <w:r>
          <w:rPr>
            <w:rFonts w:ascii="Arial" w:cs="Arial" w:eastAsia="Arial" w:hAnsi="Arial"/>
            <w:sz w:val="16"/>
            <w:szCs w:val="16"/>
            <w:u w:val="single" w:color="auto"/>
            <w:color w:val="0000FF"/>
          </w:rPr>
          <w:t>Properties, Inc. (Incorporated by reference to Exhibit 10.4 to the Company's current report on Form 8-K filed on November 7, 2013).</w:t>
        </w:r>
      </w:hyperlink>
    </w:p>
    <w:p>
      <w:pPr>
        <w:spacing w:after="0" w:line="191" w:lineRule="exact"/>
        <w:rPr>
          <w:sz w:val="20"/>
          <w:szCs w:val="20"/>
          <w:color w:val="auto"/>
        </w:rPr>
      </w:pPr>
    </w:p>
    <w:p>
      <w:pPr>
        <w:ind w:left="1080" w:right="80" w:hanging="66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57">
        <w:r>
          <w:rPr>
            <w:rFonts w:ascii="Arial" w:cs="Arial" w:eastAsia="Arial" w:hAnsi="Arial"/>
            <w:sz w:val="16"/>
            <w:szCs w:val="16"/>
            <w:u w:val="single" w:color="auto"/>
            <w:color w:val="0000FF"/>
          </w:rPr>
          <w:t>Employee Matters Agreement, dated April 28, 2016, by and between PNK Entertainment, Inc. and Gold Merger Sub, LLC (as successor to</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Pinnacle Entertainment, Inc.) (Incorporated by reference to Exhibit 2.5 to the Company's current report on Form 8-K filed on April 28, 2016).</w:t>
        </w:r>
      </w:hyperlink>
    </w:p>
    <w:p>
      <w:pPr>
        <w:spacing w:after="0" w:line="191" w:lineRule="exact"/>
        <w:rPr>
          <w:sz w:val="20"/>
          <w:szCs w:val="20"/>
          <w:color w:val="auto"/>
        </w:rPr>
      </w:pPr>
    </w:p>
    <w:p>
      <w:pPr>
        <w:ind w:left="1080" w:right="760" w:hanging="75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8">
        <w:r>
          <w:rPr>
            <w:rFonts w:ascii="Arial" w:cs="Arial" w:eastAsia="Arial" w:hAnsi="Arial"/>
            <w:sz w:val="18"/>
            <w:szCs w:val="18"/>
            <w:u w:val="single" w:color="auto"/>
            <w:color w:val="0000FF"/>
          </w:rPr>
          <w:t>Gaming and Leisure Properties, Inc. 2013 Long Term Incentive Compensation Plan (incorporated by reference to Exhibit 10.1 to the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Company's Registration Statement on Form S-8 filed on October 31, 2013).</w:t>
        </w:r>
      </w:hyperlink>
    </w:p>
    <w:p>
      <w:pPr>
        <w:spacing w:after="0" w:line="238"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59">
        <w:r>
          <w:rPr>
            <w:rFonts w:ascii="Arial" w:cs="Arial" w:eastAsia="Arial" w:hAnsi="Arial"/>
            <w:sz w:val="16"/>
            <w:szCs w:val="16"/>
            <w:u w:val="single" w:color="auto"/>
            <w:color w:val="0000FF"/>
          </w:rPr>
          <w:t>Form of Restricted Stock Performance Award I under the Gaming and Leisure Properties, Inc. 2013 Long-Term Incentive Compensation Plan.</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(Incorporated by reference to Exhibit 4.8 to the Company's annual report on Form 10-K filed on February 22, 2017).</w:t>
        </w:r>
      </w:hyperlink>
    </w:p>
    <w:p>
      <w:pPr>
        <w:spacing w:after="0" w:line="278"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60">
        <w:r>
          <w:rPr>
            <w:rFonts w:ascii="Arial" w:cs="Arial" w:eastAsia="Arial" w:hAnsi="Arial"/>
            <w:sz w:val="16"/>
            <w:szCs w:val="16"/>
            <w:u w:val="single" w:color="auto"/>
            <w:color w:val="0000FF"/>
          </w:rPr>
          <w:t>Form of Restricted Stock Performance Award II under the Gaming and Leisure Properties, Inc. 2013 Long-Term Incentive Compensation Plan.</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(Incorporated by reference to Exhibit 4.9 to the Company's annual report on Form 10-K filed on February 22, 2017).</w:t>
        </w:r>
      </w:hyperlink>
    </w:p>
    <w:p>
      <w:pPr>
        <w:spacing w:after="0" w:line="278" w:lineRule="exact"/>
        <w:rPr>
          <w:sz w:val="20"/>
          <w:szCs w:val="20"/>
          <w:color w:val="auto"/>
        </w:rPr>
      </w:pPr>
    </w:p>
    <w:p>
      <w:pPr>
        <w:ind w:left="1080" w:right="100" w:hanging="75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1">
        <w:r>
          <w:rPr>
            <w:rFonts w:ascii="Arial" w:cs="Arial" w:eastAsia="Arial" w:hAnsi="Arial"/>
            <w:sz w:val="18"/>
            <w:szCs w:val="18"/>
            <w:u w:val="single" w:color="auto"/>
            <w:color w:val="0000FF"/>
          </w:rPr>
          <w:t>Form of Restricted Stock Award under the Gaming and Leisure Properties, Inc. 2013 Long-Term Incentive Compensation Plan. (Incorporated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by reference to Exhibit 4.2 to the Company's quarterly report on Form 10-Q filed on May 4, 2015).</w:t>
        </w:r>
      </w:hyperlink>
    </w:p>
    <w:p>
      <w:pPr>
        <w:spacing w:after="0" w:line="238" w:lineRule="exact"/>
        <w:rPr>
          <w:sz w:val="20"/>
          <w:szCs w:val="20"/>
          <w:color w:val="auto"/>
        </w:rPr>
      </w:pPr>
    </w:p>
    <w:p>
      <w:pPr>
        <w:ind w:left="1080" w:right="100" w:hanging="84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w:anchor="page119">
        <w:r>
          <w:rPr>
            <w:rFonts w:ascii="Arial" w:cs="Arial" w:eastAsia="Arial" w:hAnsi="Arial"/>
            <w:sz w:val="18"/>
            <w:szCs w:val="18"/>
            <w:u w:val="single" w:color="auto"/>
            <w:color w:val="0000FF"/>
          </w:rPr>
          <w:t>Form of Restricted Stock Performance Award I under the Gaming and Leisure Properties, Inc. 2013 Long-Term Incentive Compensation Plan</w:t>
        </w:r>
      </w:hyperlink>
      <w:r>
        <w:rPr>
          <w:rFonts w:ascii="Arial" w:cs="Arial" w:eastAsia="Arial" w:hAnsi="Arial"/>
          <w:sz w:val="18"/>
          <w:szCs w:val="18"/>
          <w:u w:val="single" w:color="auto"/>
          <w:color w:val="0000FF"/>
        </w:rPr>
        <w:t xml:space="preserve"> </w:t>
      </w:r>
      <w:hyperlink w:anchor="page119">
        <w:r>
          <w:rPr>
            <w:rFonts w:ascii="Arial" w:cs="Arial" w:eastAsia="Arial" w:hAnsi="Arial"/>
            <w:sz w:val="18"/>
            <w:szCs w:val="18"/>
            <w:u w:val="single" w:color="auto"/>
            <w:color w:val="0000FF"/>
          </w:rPr>
          <w:t>for Awards Issued after January 1, 2018.</w:t>
        </w:r>
      </w:hyperlink>
    </w:p>
    <w:p>
      <w:pPr>
        <w:spacing w:after="0" w:line="238" w:lineRule="exact"/>
        <w:rPr>
          <w:sz w:val="20"/>
          <w:szCs w:val="20"/>
          <w:color w:val="auto"/>
        </w:rPr>
      </w:pPr>
    </w:p>
    <w:p>
      <w:pPr>
        <w:ind w:left="1080" w:right="40" w:hanging="84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w:anchor="page123">
        <w:r>
          <w:rPr>
            <w:rFonts w:ascii="Arial" w:cs="Arial" w:eastAsia="Arial" w:hAnsi="Arial"/>
            <w:sz w:val="18"/>
            <w:szCs w:val="18"/>
            <w:u w:val="single" w:color="auto"/>
            <w:color w:val="0000FF"/>
          </w:rPr>
          <w:t>Form of Restricted Stock Performance Award II under the Gaming and Leisure Properties, Inc. 2013 Long-Term Incentive Compensation Plan</w:t>
        </w:r>
      </w:hyperlink>
      <w:r>
        <w:rPr>
          <w:rFonts w:ascii="Arial" w:cs="Arial" w:eastAsia="Arial" w:hAnsi="Arial"/>
          <w:sz w:val="18"/>
          <w:szCs w:val="18"/>
          <w:u w:val="single" w:color="auto"/>
          <w:color w:val="0000FF"/>
        </w:rPr>
        <w:t xml:space="preserve"> </w:t>
      </w:r>
      <w:hyperlink w:anchor="page123">
        <w:r>
          <w:rPr>
            <w:rFonts w:ascii="Arial" w:cs="Arial" w:eastAsia="Arial" w:hAnsi="Arial"/>
            <w:sz w:val="18"/>
            <w:szCs w:val="18"/>
            <w:u w:val="single" w:color="auto"/>
            <w:color w:val="0000FF"/>
          </w:rPr>
          <w:t>for Awards Issued after January 1, 2018.</w:t>
        </w:r>
      </w:hyperlink>
    </w:p>
    <w:p>
      <w:pPr>
        <w:spacing w:after="0" w:line="238" w:lineRule="exact"/>
        <w:rPr>
          <w:sz w:val="20"/>
          <w:szCs w:val="20"/>
          <w:color w:val="auto"/>
        </w:rPr>
      </w:pPr>
    </w:p>
    <w:p>
      <w:pPr>
        <w:ind w:left="1080" w:right="40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62">
        <w:r>
          <w:rPr>
            <w:rFonts w:ascii="Arial" w:cs="Arial" w:eastAsia="Arial" w:hAnsi="Arial"/>
            <w:sz w:val="18"/>
            <w:szCs w:val="18"/>
            <w:u w:val="single" w:color="auto"/>
            <w:color w:val="0000FF"/>
          </w:rPr>
          <w:t>Amended and Restated Membership Interest Purchase Agreement, dated as of December 15, 2015, by and among Gaming and Leisure</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Properties, Inc., GLP Capital, L.P., PA Meadows LLC, PA Mezzco LLC and Cannery Casino Resorts, LLC. (Incorporated by reference to</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Exhibit 10.14 to the Company's annual report on Form 10-K filed on February 22, 2016).</w:t>
        </w:r>
      </w:hyperlink>
    </w:p>
    <w:p>
      <w:pPr>
        <w:spacing w:after="0" w:line="249" w:lineRule="exact"/>
        <w:rPr>
          <w:rFonts w:ascii="Arial" w:cs="Arial" w:eastAsia="Arial" w:hAnsi="Arial"/>
          <w:sz w:val="18"/>
          <w:szCs w:val="18"/>
          <w:u w:val="single" w:color="auto"/>
          <w:color w:val="0000FF"/>
        </w:rPr>
      </w:pPr>
    </w:p>
    <w:p>
      <w:pPr>
        <w:ind w:left="1080" w:right="300" w:hanging="66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63">
        <w:r>
          <w:rPr>
            <w:rFonts w:ascii="Arial" w:cs="Arial" w:eastAsia="Arial" w:hAnsi="Arial"/>
            <w:sz w:val="18"/>
            <w:szCs w:val="18"/>
            <w:u w:val="single" w:color="auto"/>
            <w:color w:val="0000FF"/>
          </w:rPr>
          <w:t>Agreement of Sale, dated as of September 19, 2014, between Wyomissing Professional Center Inc. and GLP Capital, L.P. (Incorporated by</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reference to Exhibit 10.1 to the Company's quarterly report on Form 10-Q filed on November 7, 2014).</w:t>
        </w:r>
      </w:hyperlink>
    </w:p>
    <w:p>
      <w:pPr>
        <w:spacing w:after="0" w:line="238" w:lineRule="exact"/>
        <w:rPr>
          <w:sz w:val="20"/>
          <w:szCs w:val="20"/>
          <w:color w:val="auto"/>
        </w:rPr>
      </w:pPr>
    </w:p>
    <w:p>
      <w:pPr>
        <w:ind w:left="1080" w:right="820" w:hanging="66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64">
        <w:r>
          <w:rPr>
            <w:rFonts w:ascii="Arial" w:cs="Arial" w:eastAsia="Arial" w:hAnsi="Arial"/>
            <w:sz w:val="16"/>
            <w:szCs w:val="16"/>
            <w:u w:val="single" w:color="auto"/>
            <w:color w:val="0000FF"/>
          </w:rPr>
          <w:t>Construction Management Agreement, dated as of September 24, 2014, between GLP Capital, L.P. and CB Consulting Group, LLC</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(Incorporated by reference to Exhibit 10.1 to the Company's quarterly report on Form 10-Q filed on November 7, 2014).</w:t>
        </w:r>
      </w:hyperlink>
    </w:p>
    <w:p>
      <w:pPr>
        <w:spacing w:after="0" w:line="191" w:lineRule="exact"/>
        <w:rPr>
          <w:sz w:val="20"/>
          <w:szCs w:val="20"/>
          <w:color w:val="auto"/>
        </w:rPr>
      </w:pPr>
    </w:p>
    <w:p>
      <w:pPr>
        <w:ind w:left="54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127">
        <w:r>
          <w:rPr>
            <w:rFonts w:ascii="Arial" w:cs="Arial" w:eastAsia="Arial" w:hAnsi="Arial"/>
            <w:sz w:val="18"/>
            <w:szCs w:val="18"/>
            <w:u w:val="single" w:color="auto"/>
            <w:color w:val="0000FF"/>
          </w:rPr>
          <w:t>Subsidiaries of the Registrant.</w:t>
        </w:r>
      </w:hyperlink>
    </w:p>
    <w:p>
      <w:pPr>
        <w:spacing w:after="0" w:line="29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28">
        <w:r>
          <w:rPr>
            <w:rFonts w:ascii="Arial" w:cs="Arial" w:eastAsia="Arial" w:hAnsi="Arial"/>
            <w:sz w:val="16"/>
            <w:szCs w:val="16"/>
            <w:u w:val="single" w:color="auto"/>
            <w:color w:val="0000FF"/>
          </w:rPr>
          <w:t>Consent of Deloitte &amp; Touche LLP, Independent Registered Public Accounting Firm.</w:t>
        </w:r>
      </w:hyperlink>
    </w:p>
    <w:p>
      <w:pPr>
        <w:spacing w:after="0" w:line="29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129">
        <w:r>
          <w:rPr>
            <w:rFonts w:ascii="Arial" w:cs="Arial" w:eastAsia="Arial" w:hAnsi="Arial"/>
            <w:sz w:val="16"/>
            <w:szCs w:val="16"/>
            <w:u w:val="single" w:color="auto"/>
            <w:color w:val="0000FF"/>
          </w:rPr>
          <w:t>Consent of Ernst &amp; Young LLP, Independent Registered Public Accounting Firm.</w:t>
        </w:r>
      </w:hyperlink>
    </w:p>
    <w:p>
      <w:pPr>
        <w:spacing w:after="0" w:line="347"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30">
        <w:r>
          <w:rPr>
            <w:rFonts w:ascii="Arial" w:cs="Arial" w:eastAsia="Arial" w:hAnsi="Arial"/>
            <w:sz w:val="16"/>
            <w:szCs w:val="16"/>
            <w:u w:val="single" w:color="auto"/>
            <w:color w:val="0000FF"/>
          </w:rPr>
          <w:t>CEO Certification pursuant to rule 13a-14(a) or 15d-14(a) of the Securities Exchange Act of 1934.</w:t>
        </w:r>
      </w:hyperlink>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380"/>
          </w:cols>
          <w:pgMar w:left="240" w:top="130" w:right="279" w:bottom="1440" w:gutter="0" w:footer="0" w:header="0"/>
          <w:type w:val="continuous"/>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31">
        <w:r>
          <w:rPr>
            <w:rFonts w:ascii="Arial" w:cs="Arial" w:eastAsia="Arial" w:hAnsi="Arial"/>
            <w:sz w:val="16"/>
            <w:szCs w:val="16"/>
            <w:u w:val="single" w:color="auto"/>
            <w:color w:val="0000FF"/>
          </w:rPr>
          <w:t>CFO Certification pursuant to rule 13a-14(a) or 15d-14(a) of the Securities Exchange Act of 1934.</w:t>
        </w:r>
      </w:hyperlink>
    </w:p>
    <w:p>
      <w:pPr>
        <w:spacing w:after="0" w:line="29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32">
        <w:r>
          <w:rPr>
            <w:rFonts w:ascii="Arial" w:cs="Arial" w:eastAsia="Arial" w:hAnsi="Arial"/>
            <w:sz w:val="16"/>
            <w:szCs w:val="16"/>
            <w:u w:val="single" w:color="auto"/>
            <w:color w:val="0000FF"/>
          </w:rPr>
          <w:t>CEO Certification pursuant to 18 U.S.C. Section 1350, As Adopted Pursuant to Section 906 of The Sarbanes - Oxley Act of 2002.</w:t>
        </w:r>
      </w:hyperlink>
    </w:p>
    <w:p>
      <w:pPr>
        <w:spacing w:after="0" w:line="33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33">
        <w:r>
          <w:rPr>
            <w:rFonts w:ascii="Arial" w:cs="Arial" w:eastAsia="Arial" w:hAnsi="Arial"/>
            <w:sz w:val="16"/>
            <w:szCs w:val="16"/>
            <w:u w:val="single" w:color="auto"/>
            <w:color w:val="0000FF"/>
          </w:rPr>
          <w:t>CFO Certification pursuant to 18 U.S.C. Section 1350, As Adopted Pursuant to Section 906 of The Sarbanes - Oxley Act of 2002.</w:t>
        </w:r>
      </w:hyperlink>
    </w:p>
    <w:p>
      <w:pPr>
        <w:spacing w:after="0" w:line="293" w:lineRule="exact"/>
        <w:rPr>
          <w:sz w:val="20"/>
          <w:szCs w:val="20"/>
          <w:color w:val="auto"/>
        </w:rPr>
      </w:pPr>
    </w:p>
    <w:p>
      <w:pPr>
        <w:ind w:left="1080" w:hanging="619"/>
        <w:spacing w:after="0" w:line="279" w:lineRule="auto"/>
        <w:tabs>
          <w:tab w:leader="none" w:pos="1060" w:val="left"/>
        </w:tabs>
        <w:rPr>
          <w:sz w:val="20"/>
          <w:szCs w:val="20"/>
          <w:color w:val="auto"/>
        </w:rPr>
      </w:pPr>
      <w:r>
        <w:rPr>
          <w:rFonts w:ascii="Arial" w:cs="Arial" w:eastAsia="Arial" w:hAnsi="Arial"/>
          <w:sz w:val="17"/>
          <w:szCs w:val="17"/>
          <w:color w:val="auto"/>
        </w:rPr>
        <w:t>101*</w:t>
        <w:tab/>
        <w:t>Interactive data files pursuant to Rule 405 of Regulation S-T: (i) the Consolidated Balance Sheets at December 31, 2017 and 2016, (ii) the Consolidated Statements of Income for the years ended December 31, 2017, 2016 and 2015, (iii) the Consolidated Statements of Changes in Shareholders' Equity (Deficit) for the years ended December 31, 2017, 2016 and 2015, (iv) the Consolidated Statements of Cash Flows for the years ended December 31, 2017, 2016 and 2015,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406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6360" w:firstLine="8"/>
        <w:spacing w:after="0" w:line="434"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Compensation plans and arrangements for executives and others. * Filed herewith.</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130" w:right="3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63" w:lineRule="exact"/>
        <w:rPr>
          <w:sz w:val="20"/>
          <w:szCs w:val="20"/>
          <w:color w:val="auto"/>
        </w:rPr>
      </w:pPr>
    </w:p>
    <w:p>
      <w:pPr>
        <w:ind w:left="56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Peter M. Carlino</w:t>
      </w:r>
    </w:p>
    <w:p>
      <w:pPr>
        <w:spacing w:after="0" w:line="23" w:lineRule="exact"/>
        <w:rPr>
          <w:sz w:val="20"/>
          <w:szCs w:val="20"/>
          <w:color w:val="auto"/>
        </w:rPr>
      </w:pPr>
    </w:p>
    <w:p>
      <w:pPr>
        <w:ind w:left="806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i w:val="1"/>
          <w:i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2018</w:t>
      </w:r>
    </w:p>
    <w:p>
      <w:pPr>
        <w:spacing w:after="0" w:line="144"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0"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320" w:type="dxa"/>
            <w:vAlign w:val="bottom"/>
            <w:gridSpan w:val="10"/>
          </w:tcPr>
          <w:p>
            <w:pPr>
              <w:spacing w:after="0"/>
              <w:rPr>
                <w:sz w:val="14"/>
                <w:szCs w:val="14"/>
                <w:color w:val="auto"/>
              </w:rPr>
            </w:pPr>
          </w:p>
        </w:tc>
        <w:tc>
          <w:tcPr>
            <w:tcW w:w="480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96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 Chief Executive Officer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gridSpan w:val="15"/>
          </w:tcPr>
          <w:p>
            <w:pPr>
              <w:jc w:val="center"/>
              <w:ind w:right="540"/>
              <w:spacing w:after="0" w:line="190" w:lineRule="exact"/>
              <w:rPr>
                <w:sz w:val="20"/>
                <w:szCs w:val="20"/>
                <w:color w:val="auto"/>
              </w:rPr>
            </w:pPr>
            <w:r>
              <w:rPr>
                <w:rFonts w:ascii="Arial" w:cs="Arial" w:eastAsia="Arial" w:hAnsi="Arial"/>
                <w:sz w:val="18"/>
                <w:szCs w:val="18"/>
                <w:color w:val="auto"/>
                <w:w w:val="95"/>
              </w:rPr>
              <w:t>/s/ PETER M. CARLINO</w:t>
            </w: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(Principal Executive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8"/>
                <w:szCs w:val="18"/>
                <w:color w:val="auto"/>
                <w:w w:val="92"/>
              </w:rPr>
              <w:t>Peter M. Carlino</w:t>
            </w:r>
          </w:p>
        </w:tc>
        <w:tc>
          <w:tcPr>
            <w:tcW w:w="540" w:type="dxa"/>
            <w:vAlign w:val="bottom"/>
            <w:gridSpan w:val="5"/>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Chief Financial Officer and Treasurer (Principal</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2520" w:type="dxa"/>
            <w:vAlign w:val="bottom"/>
            <w:gridSpan w:val="18"/>
          </w:tcPr>
          <w:p>
            <w:pPr>
              <w:jc w:val="center"/>
              <w:ind w:right="400"/>
              <w:spacing w:after="0" w:line="190" w:lineRule="exact"/>
              <w:rPr>
                <w:sz w:val="20"/>
                <w:szCs w:val="20"/>
                <w:color w:val="auto"/>
              </w:rPr>
            </w:pPr>
            <w:r>
              <w:rPr>
                <w:rFonts w:ascii="Arial" w:cs="Arial" w:eastAsia="Arial" w:hAnsi="Arial"/>
                <w:sz w:val="18"/>
                <w:szCs w:val="18"/>
                <w:color w:val="auto"/>
                <w:w w:val="98"/>
              </w:rPr>
              <w:t>/s/ WILLIAM J. CLIFFORD</w:t>
            </w: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Financial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12"/>
          </w:tcPr>
          <w:p>
            <w:pPr>
              <w:jc w:val="center"/>
              <w:ind w:right="460"/>
              <w:spacing w:after="0"/>
              <w:rPr>
                <w:sz w:val="20"/>
                <w:szCs w:val="20"/>
                <w:color w:val="auto"/>
              </w:rPr>
            </w:pPr>
            <w:r>
              <w:rPr>
                <w:rFonts w:ascii="Arial" w:cs="Arial" w:eastAsia="Arial" w:hAnsi="Arial"/>
                <w:sz w:val="18"/>
                <w:szCs w:val="18"/>
                <w:color w:val="auto"/>
                <w:w w:val="97"/>
              </w:rPr>
              <w:t>William J. Clifford</w:t>
            </w:r>
          </w:p>
        </w:tc>
        <w:tc>
          <w:tcPr>
            <w:tcW w:w="420" w:type="dxa"/>
            <w:vAlign w:val="bottom"/>
            <w:gridSpan w:val="2"/>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Senior Vice President and Chief Accounting Officer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1840" w:type="dxa"/>
            <w:vAlign w:val="bottom"/>
            <w:tcBorders>
              <w:bottom w:val="single" w:sz="8" w:color="auto"/>
            </w:tcBorders>
            <w:gridSpan w:val="10"/>
          </w:tcPr>
          <w:p>
            <w:pPr>
              <w:jc w:val="center"/>
              <w:spacing w:after="0" w:line="190" w:lineRule="exact"/>
              <w:rPr>
                <w:sz w:val="20"/>
                <w:szCs w:val="20"/>
                <w:color w:val="auto"/>
              </w:rPr>
            </w:pPr>
            <w:r>
              <w:rPr>
                <w:rFonts w:ascii="Arial" w:cs="Arial" w:eastAsia="Arial" w:hAnsi="Arial"/>
                <w:sz w:val="18"/>
                <w:szCs w:val="18"/>
                <w:color w:val="auto"/>
                <w:w w:val="95"/>
              </w:rPr>
              <w:t>/s/ DESIREE A. BURKE</w:t>
            </w:r>
          </w:p>
        </w:tc>
        <w:tc>
          <w:tcPr>
            <w:tcW w:w="700" w:type="dxa"/>
            <w:vAlign w:val="bottom"/>
            <w:gridSpan w:val="9"/>
          </w:tcPr>
          <w:p>
            <w:pPr>
              <w:spacing w:after="0"/>
              <w:rPr>
                <w:sz w:val="16"/>
                <w:szCs w:val="16"/>
                <w:color w:val="auto"/>
              </w:rPr>
            </w:pP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(Principal Accounting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1000"/>
              <w:spacing w:after="0"/>
              <w:rPr>
                <w:sz w:val="20"/>
                <w:szCs w:val="20"/>
                <w:color w:val="auto"/>
              </w:rPr>
            </w:pPr>
            <w:r>
              <w:rPr>
                <w:rFonts w:ascii="Arial" w:cs="Arial" w:eastAsia="Arial" w:hAnsi="Arial"/>
                <w:sz w:val="18"/>
                <w:szCs w:val="18"/>
                <w:color w:val="auto"/>
                <w:w w:val="92"/>
              </w:rPr>
              <w:t>Desiree A. Burke</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gridSpan w:val="16"/>
          </w:tcPr>
          <w:p>
            <w:pPr>
              <w:jc w:val="center"/>
              <w:ind w:right="460"/>
              <w:spacing w:after="0"/>
              <w:rPr>
                <w:sz w:val="20"/>
                <w:szCs w:val="20"/>
                <w:color w:val="auto"/>
              </w:rPr>
            </w:pPr>
            <w:r>
              <w:rPr>
                <w:rFonts w:ascii="Arial" w:cs="Arial" w:eastAsia="Arial" w:hAnsi="Arial"/>
                <w:sz w:val="18"/>
                <w:szCs w:val="18"/>
                <w:color w:val="auto"/>
                <w:w w:val="97"/>
              </w:rPr>
              <w:t>/s/ DAVID A. HANDLER</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8"/>
          </w:tcPr>
          <w:p>
            <w:pPr>
              <w:jc w:val="center"/>
              <w:ind w:right="460"/>
              <w:spacing w:after="0"/>
              <w:rPr>
                <w:sz w:val="20"/>
                <w:szCs w:val="20"/>
                <w:color w:val="auto"/>
              </w:rPr>
            </w:pPr>
            <w:r>
              <w:rPr>
                <w:rFonts w:ascii="Arial" w:cs="Arial" w:eastAsia="Arial" w:hAnsi="Arial"/>
                <w:sz w:val="18"/>
                <w:szCs w:val="18"/>
                <w:color w:val="auto"/>
                <w:w w:val="94"/>
              </w:rPr>
              <w:t>David A. Handler</w:t>
            </w:r>
          </w:p>
        </w:tc>
        <w:tc>
          <w:tcPr>
            <w:tcW w:w="520" w:type="dxa"/>
            <w:vAlign w:val="bottom"/>
            <w:gridSpan w:val="4"/>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540" w:type="dxa"/>
            <w:vAlign w:val="bottom"/>
            <w:gridSpan w:val="19"/>
          </w:tcPr>
          <w:p>
            <w:pPr>
              <w:jc w:val="center"/>
              <w:ind w:right="380"/>
              <w:spacing w:after="0"/>
              <w:rPr>
                <w:sz w:val="20"/>
                <w:szCs w:val="20"/>
                <w:color w:val="auto"/>
              </w:rPr>
            </w:pPr>
            <w:r>
              <w:rPr>
                <w:rFonts w:ascii="Arial" w:cs="Arial" w:eastAsia="Arial" w:hAnsi="Arial"/>
                <w:sz w:val="18"/>
                <w:szCs w:val="18"/>
                <w:color w:val="auto"/>
                <w:w w:val="94"/>
              </w:rPr>
              <w:t>/s/ JOSEPH W. MARSHALL</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11"/>
          </w:tcPr>
          <w:p>
            <w:pPr>
              <w:jc w:val="center"/>
              <w:ind w:right="260"/>
              <w:spacing w:after="0"/>
              <w:rPr>
                <w:sz w:val="20"/>
                <w:szCs w:val="20"/>
                <w:color w:val="auto"/>
              </w:rPr>
            </w:pPr>
            <w:r>
              <w:rPr>
                <w:rFonts w:ascii="Arial" w:cs="Arial" w:eastAsia="Arial" w:hAnsi="Arial"/>
                <w:sz w:val="18"/>
                <w:szCs w:val="18"/>
                <w:color w:val="auto"/>
                <w:w w:val="88"/>
              </w:rPr>
              <w:t>Joseph W. Marshall</w:t>
            </w: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660"/>
              <w:spacing w:after="0"/>
              <w:rPr>
                <w:sz w:val="20"/>
                <w:szCs w:val="20"/>
                <w:color w:val="auto"/>
              </w:rPr>
            </w:pPr>
            <w:r>
              <w:rPr>
                <w:rFonts w:ascii="Arial" w:cs="Arial" w:eastAsia="Arial" w:hAnsi="Arial"/>
                <w:sz w:val="18"/>
                <w:szCs w:val="18"/>
                <w:color w:val="auto"/>
                <w:w w:val="92"/>
              </w:rPr>
              <w:t>/s/ JAMES B. PERRY</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7"/>
              </w:rPr>
              <w:t>James B. Perry</w:t>
            </w:r>
          </w:p>
        </w:tc>
        <w:tc>
          <w:tcPr>
            <w:tcW w:w="660" w:type="dxa"/>
            <w:vAlign w:val="bottom"/>
            <w:gridSpan w:val="8"/>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7"/>
          </w:tcPr>
          <w:p>
            <w:pPr>
              <w:jc w:val="center"/>
              <w:ind w:right="420"/>
              <w:spacing w:after="0"/>
              <w:rPr>
                <w:sz w:val="20"/>
                <w:szCs w:val="20"/>
                <w:color w:val="auto"/>
              </w:rPr>
            </w:pPr>
            <w:r>
              <w:rPr>
                <w:rFonts w:ascii="Arial" w:cs="Arial" w:eastAsia="Arial" w:hAnsi="Arial"/>
                <w:sz w:val="18"/>
                <w:szCs w:val="18"/>
                <w:color w:val="auto"/>
                <w:w w:val="93"/>
              </w:rPr>
              <w:t>/s/ BARRY F. SCHWARTZ</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9"/>
          </w:tcPr>
          <w:p>
            <w:pPr>
              <w:jc w:val="center"/>
              <w:ind w:right="220"/>
              <w:spacing w:after="0"/>
              <w:rPr>
                <w:sz w:val="20"/>
                <w:szCs w:val="20"/>
                <w:color w:val="auto"/>
              </w:rPr>
            </w:pPr>
            <w:r>
              <w:rPr>
                <w:rFonts w:ascii="Arial" w:cs="Arial" w:eastAsia="Arial" w:hAnsi="Arial"/>
                <w:sz w:val="18"/>
                <w:szCs w:val="18"/>
                <w:color w:val="auto"/>
                <w:w w:val="90"/>
              </w:rPr>
              <w:t>Barry F. Schwartz</w:t>
            </w:r>
          </w:p>
        </w:tc>
        <w:tc>
          <w:tcPr>
            <w:tcW w:w="460" w:type="dxa"/>
            <w:vAlign w:val="bottom"/>
            <w:gridSpan w:val="3"/>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13"/>
          </w:tcPr>
          <w:p>
            <w:pPr>
              <w:jc w:val="center"/>
              <w:ind w:right="640"/>
              <w:spacing w:after="0"/>
              <w:rPr>
                <w:sz w:val="20"/>
                <w:szCs w:val="20"/>
                <w:color w:val="auto"/>
              </w:rPr>
            </w:pPr>
            <w:r>
              <w:rPr>
                <w:rFonts w:ascii="Arial" w:cs="Arial" w:eastAsia="Arial" w:hAnsi="Arial"/>
                <w:sz w:val="18"/>
                <w:szCs w:val="18"/>
                <w:color w:val="auto"/>
                <w:w w:val="95"/>
              </w:rPr>
              <w:t>/s/ EARL C. SHANKS</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Earl C. Shanks</w:t>
            </w:r>
          </w:p>
        </w:tc>
        <w:tc>
          <w:tcPr>
            <w:tcW w:w="640" w:type="dxa"/>
            <w:vAlign w:val="bottom"/>
            <w:gridSpan w:val="7"/>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4"/>
              </w:rPr>
              <w:t>/s/ E. SCOTT URDANG</w:t>
            </w:r>
          </w:p>
        </w:tc>
        <w:tc>
          <w:tcPr>
            <w:tcW w:w="560" w:type="dxa"/>
            <w:vAlign w:val="bottom"/>
            <w:gridSpan w:val="6"/>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16, 2018</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980"/>
              <w:spacing w:after="0"/>
              <w:rPr>
                <w:sz w:val="20"/>
                <w:szCs w:val="20"/>
                <w:color w:val="auto"/>
              </w:rPr>
            </w:pPr>
            <w:r>
              <w:rPr>
                <w:rFonts w:ascii="Arial" w:cs="Arial" w:eastAsia="Arial" w:hAnsi="Arial"/>
                <w:sz w:val="18"/>
                <w:szCs w:val="18"/>
                <w:color w:val="auto"/>
                <w:w w:val="91"/>
              </w:rPr>
              <w:t>E. Scott Urdang</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360"/>
          </w:cols>
          <w:pgMar w:left="240" w:top="130" w:right="29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GAMING AND LEISURE PROPERTIES,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AWARD TERMS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AWARDS ISSUED AFTER JANUARY 1, 2018</w:t>
      </w:r>
    </w:p>
    <w:p>
      <w:pPr>
        <w:spacing w:after="0" w:line="236" w:lineRule="exact"/>
        <w:rPr>
          <w:sz w:val="20"/>
          <w:szCs w:val="20"/>
          <w:color w:val="auto"/>
        </w:rPr>
      </w:pPr>
    </w:p>
    <w:p>
      <w:pPr>
        <w:ind w:right="200"/>
        <w:spacing w:after="0" w:line="304" w:lineRule="auto"/>
        <w:rPr>
          <w:sz w:val="20"/>
          <w:szCs w:val="20"/>
          <w:color w:val="auto"/>
        </w:rPr>
      </w:pPr>
      <w:r>
        <w:rPr>
          <w:rFonts w:ascii="Arial" w:cs="Arial" w:eastAsia="Arial" w:hAnsi="Arial"/>
          <w:sz w:val="19"/>
          <w:szCs w:val="19"/>
          <w:b w:val="1"/>
          <w:bCs w:val="1"/>
          <w:color w:val="auto"/>
        </w:rPr>
        <w:t>All Restricted Stock is subject to the provisions of the 2013 Long 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35" w:lineRule="exact"/>
        <w:rPr>
          <w:sz w:val="20"/>
          <w:szCs w:val="20"/>
          <w:color w:val="auto"/>
        </w:rPr>
      </w:pPr>
    </w:p>
    <w:p>
      <w:pPr>
        <w:ind w:right="200"/>
        <w:spacing w:after="0" w:line="269" w:lineRule="auto"/>
        <w:rPr>
          <w:sz w:val="20"/>
          <w:szCs w:val="20"/>
          <w:color w:val="auto"/>
        </w:rPr>
      </w:pPr>
      <w:r>
        <w:rPr>
          <w:rFonts w:ascii="Arial" w:cs="Arial" w:eastAsia="Arial" w:hAnsi="Arial"/>
          <w:sz w:val="22"/>
          <w:szCs w:val="22"/>
          <w:b w:val="1"/>
          <w:bCs w:val="1"/>
          <w:color w:val="auto"/>
        </w:rPr>
        <w:t>The terms provided herein are applicable to Performance Restricted Stock Awards issued after January 1, 2018. Different terms may apply to any prior or future awards under the Plan.</w:t>
      </w:r>
    </w:p>
    <w:p>
      <w:pPr>
        <w:spacing w:after="0" w:line="162"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220" w:lineRule="exact"/>
        <w:rPr>
          <w:sz w:val="20"/>
          <w:szCs w:val="20"/>
          <w:color w:val="auto"/>
        </w:rPr>
      </w:pPr>
    </w:p>
    <w:p>
      <w:pPr>
        <w:ind w:right="340" w:firstLine="656"/>
        <w:spacing w:after="0" w:line="263" w:lineRule="auto"/>
        <w:tabs>
          <w:tab w:leader="none" w:pos="1507" w:val="left"/>
        </w:tabs>
        <w:numPr>
          <w:ilvl w:val="0"/>
          <w:numId w:val="50"/>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the closing stock price for the last trading day preceding the start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w:t>
      </w:r>
    </w:p>
    <w:p>
      <w:pPr>
        <w:spacing w:after="0" w:line="215" w:lineRule="exact"/>
        <w:rPr>
          <w:rFonts w:ascii="Arial" w:cs="Arial" w:eastAsia="Arial" w:hAnsi="Arial"/>
          <w:sz w:val="22"/>
          <w:szCs w:val="22"/>
          <w:b w:val="1"/>
          <w:bCs w:val="1"/>
          <w:color w:val="auto"/>
        </w:rPr>
      </w:pPr>
    </w:p>
    <w:p>
      <w:pPr>
        <w:ind w:right="160" w:firstLine="656"/>
        <w:spacing w:after="0" w:line="263" w:lineRule="auto"/>
        <w:tabs>
          <w:tab w:leader="none" w:pos="1495" w:val="left"/>
        </w:tabs>
        <w:numPr>
          <w:ilvl w:val="0"/>
          <w:numId w:val="50"/>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based on the closing stock price</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last trading day preceding the end of the applicable performance period.</w:t>
      </w:r>
    </w:p>
    <w:p>
      <w:pPr>
        <w:spacing w:after="0" w:line="215" w:lineRule="exact"/>
        <w:rPr>
          <w:rFonts w:ascii="Arial" w:cs="Arial" w:eastAsia="Arial" w:hAnsi="Arial"/>
          <w:sz w:val="22"/>
          <w:szCs w:val="22"/>
          <w:b w:val="1"/>
          <w:bCs w:val="1"/>
          <w:color w:val="auto"/>
        </w:rPr>
      </w:pPr>
    </w:p>
    <w:p>
      <w:pPr>
        <w:ind w:right="40" w:firstLine="656"/>
        <w:spacing w:after="0" w:line="250" w:lineRule="auto"/>
        <w:tabs>
          <w:tab w:leader="none" w:pos="1507"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Peer Group</w:t>
      </w:r>
      <w:r>
        <w:rPr>
          <w:rFonts w:ascii="Arial" w:cs="Arial" w:eastAsia="Arial" w:hAnsi="Arial"/>
          <w:sz w:val="22"/>
          <w:szCs w:val="22"/>
          <w:color w:val="auto"/>
        </w:rPr>
        <w:t>” means the companies included in the MSCI US REIT Index as of the beginning of the Performance Period; provided that if a constituent company(s) in the Peer Group ceases to be actively traded, due, for example, to merger or bankruptcy, or the Compensation Committee otherwise reasonably determines that is no longer suitable for the purposes of this Agreement, then company(s) shall not be included in the Peer Group.</w:t>
      </w:r>
    </w:p>
    <w:p>
      <w:pPr>
        <w:spacing w:after="0" w:line="228" w:lineRule="exact"/>
        <w:rPr>
          <w:rFonts w:ascii="Arial" w:cs="Arial" w:eastAsia="Arial" w:hAnsi="Arial"/>
          <w:sz w:val="22"/>
          <w:szCs w:val="22"/>
          <w:b w:val="1"/>
          <w:bCs w:val="1"/>
          <w:color w:val="auto"/>
        </w:rPr>
      </w:pPr>
    </w:p>
    <w:p>
      <w:pPr>
        <w:jc w:val="both"/>
        <w:ind w:right="320" w:firstLine="656"/>
        <w:spacing w:after="0" w:line="343" w:lineRule="auto"/>
        <w:tabs>
          <w:tab w:leader="none" w:pos="1507"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Period</w:t>
      </w:r>
      <w:r>
        <w:rPr>
          <w:rFonts w:ascii="Arial" w:cs="Arial" w:eastAsia="Arial" w:hAnsi="Arial"/>
          <w:sz w:val="19"/>
          <w:szCs w:val="19"/>
          <w:color w:val="auto"/>
        </w:rPr>
        <w:t>” means the three-year period beginning on January 1 of the calendar year with respect to which Restricted Stock Award is granted, or if applicable, earlier upon the date on which a Change in Control shall be effective.</w:t>
      </w:r>
    </w:p>
    <w:p>
      <w:pPr>
        <w:spacing w:after="0" w:line="145" w:lineRule="exact"/>
        <w:rPr>
          <w:rFonts w:ascii="Arial" w:cs="Arial" w:eastAsia="Arial" w:hAnsi="Arial"/>
          <w:sz w:val="19"/>
          <w:szCs w:val="19"/>
          <w:b w:val="1"/>
          <w:bCs w:val="1"/>
          <w:color w:val="auto"/>
        </w:rPr>
      </w:pPr>
    </w:p>
    <w:p>
      <w:pPr>
        <w:ind w:right="180" w:firstLine="656"/>
        <w:spacing w:after="0" w:line="253" w:lineRule="auto"/>
        <w:tabs>
          <w:tab w:leader="none" w:pos="1495"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the Final Share Price minus the Initial Share Price, plus any dividends (ordinary and special) paid during the applicable Performance Period. All dividends are assumed to be reinvested in the stock.</w:t>
      </w:r>
    </w:p>
    <w:p>
      <w:pPr>
        <w:sectPr>
          <w:pgSz w:w="11900" w:h="16838" w:orient="portrait"/>
          <w:cols w:equalWidth="0" w:num="1">
            <w:col w:w="11420"/>
          </w:cols>
          <w:pgMar w:left="240" w:top="580" w:right="239" w:bottom="1440" w:gutter="0" w:footer="0" w:header="0"/>
        </w:sectPr>
      </w:pPr>
    </w:p>
    <w:bookmarkStart w:id="119" w:name="page120"/>
    <w:bookmarkEnd w:id="119"/>
    <w:p>
      <w:pPr>
        <w:ind w:left="880" w:hanging="872"/>
        <w:spacing w:after="0"/>
        <w:tabs>
          <w:tab w:leader="none" w:pos="8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214" w:lineRule="exact"/>
        <w:rPr>
          <w:sz w:val="20"/>
          <w:szCs w:val="20"/>
          <w:color w:val="auto"/>
        </w:rPr>
      </w:pPr>
    </w:p>
    <w:p>
      <w:pPr>
        <w:ind w:left="960" w:hanging="952"/>
        <w:spacing w:after="0"/>
        <w:tabs>
          <w:tab w:leader="none" w:pos="9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266"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325" w:lineRule="exact"/>
        <w:rPr>
          <w:sz w:val="20"/>
          <w:szCs w:val="20"/>
          <w:color w:val="auto"/>
        </w:rPr>
      </w:pPr>
    </w:p>
    <w:tbl>
      <w:tblPr>
        <w:tblLayout w:type="fixed"/>
        <w:tblInd w:w="2180" w:type="dxa"/>
        <w:tblCellMar>
          <w:top w:w="0" w:type="dxa"/>
          <w:left w:w="0" w:type="dxa"/>
          <w:bottom w:w="0" w:type="dxa"/>
          <w:right w:w="0" w:type="dxa"/>
        </w:tblCellMar>
      </w:tblPr>
      <w:tr>
        <w:trPr>
          <w:trHeight w:val="253"/>
        </w:trPr>
        <w:tc>
          <w:tcPr>
            <w:tcW w:w="348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Percentage of</w:t>
            </w:r>
          </w:p>
        </w:tc>
      </w:tr>
      <w:tr>
        <w:trPr>
          <w:trHeight w:val="224"/>
        </w:trPr>
        <w:tc>
          <w:tcPr>
            <w:tcW w:w="19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7"/>
              </w:rPr>
              <w:t>Peer Group Percentile</w:t>
            </w: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Maximum Earned</w:t>
            </w:r>
          </w:p>
        </w:tc>
      </w:tr>
      <w:tr>
        <w:trPr>
          <w:trHeight w:val="328"/>
        </w:trPr>
        <w:tc>
          <w:tcPr>
            <w:tcW w:w="3480" w:type="dxa"/>
            <w:vAlign w:val="bottom"/>
            <w:gridSpan w:val="2"/>
          </w:tcPr>
          <w:p>
            <w:pPr>
              <w:spacing w:after="0"/>
              <w:rPr>
                <w:sz w:val="20"/>
                <w:szCs w:val="20"/>
                <w:color w:val="auto"/>
              </w:rPr>
            </w:pPr>
            <w:r>
              <w:rPr>
                <w:rFonts w:ascii="Arial" w:cs="Arial" w:eastAsia="Arial" w:hAnsi="Arial"/>
                <w:sz w:val="22"/>
                <w:szCs w:val="22"/>
                <w:color w:val="auto"/>
              </w:rPr>
              <w:t>Below 25th</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0%</w:t>
            </w:r>
          </w:p>
        </w:tc>
      </w:tr>
      <w:tr>
        <w:trPr>
          <w:trHeight w:val="297"/>
        </w:trPr>
        <w:tc>
          <w:tcPr>
            <w:tcW w:w="3480" w:type="dxa"/>
            <w:vAlign w:val="bottom"/>
            <w:gridSpan w:val="2"/>
          </w:tcPr>
          <w:p>
            <w:pPr>
              <w:spacing w:after="0"/>
              <w:rPr>
                <w:sz w:val="20"/>
                <w:szCs w:val="20"/>
                <w:color w:val="auto"/>
              </w:rPr>
            </w:pPr>
            <w:r>
              <w:rPr>
                <w:rFonts w:ascii="Arial" w:cs="Arial" w:eastAsia="Arial" w:hAnsi="Arial"/>
                <w:sz w:val="22"/>
                <w:szCs w:val="22"/>
                <w:color w:val="auto"/>
              </w:rPr>
              <w:t>50th</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50%</w:t>
            </w:r>
          </w:p>
        </w:tc>
      </w:tr>
      <w:tr>
        <w:trPr>
          <w:trHeight w:val="297"/>
        </w:trPr>
        <w:tc>
          <w:tcPr>
            <w:tcW w:w="3480" w:type="dxa"/>
            <w:vAlign w:val="bottom"/>
            <w:gridSpan w:val="2"/>
          </w:tcPr>
          <w:p>
            <w:pPr>
              <w:spacing w:after="0"/>
              <w:rPr>
                <w:sz w:val="20"/>
                <w:szCs w:val="20"/>
                <w:color w:val="auto"/>
              </w:rPr>
            </w:pPr>
            <w:r>
              <w:rPr>
                <w:rFonts w:ascii="Arial" w:cs="Arial" w:eastAsia="Arial" w:hAnsi="Arial"/>
                <w:sz w:val="22"/>
                <w:szCs w:val="22"/>
                <w:color w:val="auto"/>
              </w:rPr>
              <w:t>75th or Above</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86" w:lineRule="exact"/>
        <w:rPr>
          <w:sz w:val="20"/>
          <w:szCs w:val="20"/>
          <w:color w:val="auto"/>
        </w:rPr>
      </w:pPr>
    </w:p>
    <w:p>
      <w:pPr>
        <w:ind w:right="640"/>
        <w:spacing w:after="0" w:line="248"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an Award Holder’s death, disability, retirement or other termination of employment, the forfeiture restrictions on a Performance Restricted Stock Award shall lapse and/or shares of Restricted Stock forfeited as follows:</w:t>
      </w:r>
    </w:p>
    <w:p>
      <w:pPr>
        <w:spacing w:after="0" w:line="192" w:lineRule="exact"/>
        <w:rPr>
          <w:sz w:val="20"/>
          <w:szCs w:val="20"/>
          <w:color w:val="auto"/>
        </w:rPr>
      </w:pPr>
    </w:p>
    <w:p>
      <w:pPr>
        <w:ind w:right="80" w:firstLine="656"/>
        <w:spacing w:after="0" w:line="253" w:lineRule="auto"/>
        <w:tabs>
          <w:tab w:leader="none" w:pos="1507" w:val="left"/>
        </w:tabs>
        <w:numPr>
          <w:ilvl w:val="0"/>
          <w:numId w:val="53"/>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The Award Holder or such Holder’s estate, as applicable, will be entitled to receive the</w:t>
      </w:r>
      <w:r>
        <w:rPr>
          <w:rFonts w:ascii="Arial" w:cs="Arial" w:eastAsia="Arial" w:hAnsi="Arial"/>
          <w:sz w:val="22"/>
          <w:szCs w:val="22"/>
          <w:i w:val="1"/>
          <w:iCs w:val="1"/>
          <w:color w:val="auto"/>
        </w:rPr>
        <w:t xml:space="preserve"> </w:t>
      </w:r>
      <w:r>
        <w:rPr>
          <w:rFonts w:ascii="Arial" w:cs="Arial" w:eastAsia="Arial" w:hAnsi="Arial"/>
          <w:sz w:val="22"/>
          <w:szCs w:val="22"/>
          <w:color w:val="auto"/>
        </w:rPr>
        <w:t>percentage of a Performance Restricted Stock Award determined at the end of the applicable Performance Period as if such Award Holder were still employed at the end of the applicable Performance Period.</w:t>
      </w:r>
    </w:p>
    <w:p>
      <w:pPr>
        <w:spacing w:after="0" w:line="226" w:lineRule="exact"/>
        <w:rPr>
          <w:rFonts w:ascii="Arial" w:cs="Arial" w:eastAsia="Arial" w:hAnsi="Arial"/>
          <w:sz w:val="22"/>
          <w:szCs w:val="22"/>
          <w:b w:val="1"/>
          <w:bCs w:val="1"/>
          <w:color w:val="auto"/>
        </w:rPr>
      </w:pPr>
    </w:p>
    <w:p>
      <w:pPr>
        <w:ind w:right="120" w:firstLine="656"/>
        <w:spacing w:after="0" w:line="302" w:lineRule="auto"/>
        <w:tabs>
          <w:tab w:leader="none" w:pos="1495" w:val="left"/>
        </w:tabs>
        <w:numPr>
          <w:ilvl w:val="0"/>
          <w:numId w:val="53"/>
        </w:numPr>
        <w:rPr>
          <w:rFonts w:ascii="Arial" w:cs="Arial" w:eastAsia="Arial" w:hAnsi="Arial"/>
          <w:sz w:val="19"/>
          <w:szCs w:val="19"/>
          <w:b w:val="1"/>
          <w:bCs w:val="1"/>
          <w:color w:val="auto"/>
        </w:rPr>
      </w:pPr>
      <w:r>
        <w:rPr>
          <w:rFonts w:ascii="Arial" w:cs="Arial" w:eastAsia="Arial" w:hAnsi="Arial"/>
          <w:sz w:val="19"/>
          <w:szCs w:val="19"/>
          <w:i w:val="1"/>
          <w:iCs w:val="1"/>
          <w:color w:val="auto"/>
        </w:rPr>
        <w:t>Termination without Cause or by Award Holder for Retirement</w:t>
      </w:r>
      <w:r>
        <w:rPr>
          <w:rFonts w:ascii="Arial" w:cs="Arial" w:eastAsia="Arial" w:hAnsi="Arial"/>
          <w:sz w:val="19"/>
          <w:szCs w:val="19"/>
          <w:color w:val="auto"/>
        </w:rPr>
        <w:t>: The Award Holder will be entitled to receive the</w:t>
      </w:r>
      <w:r>
        <w:rPr>
          <w:rFonts w:ascii="Arial" w:cs="Arial" w:eastAsia="Arial" w:hAnsi="Arial"/>
          <w:sz w:val="19"/>
          <w:szCs w:val="19"/>
          <w:i w:val="1"/>
          <w:iCs w:val="1"/>
          <w:color w:val="auto"/>
        </w:rPr>
        <w:t xml:space="preserve"> </w:t>
      </w:r>
      <w:r>
        <w:rPr>
          <w:rFonts w:ascii="Arial" w:cs="Arial" w:eastAsia="Arial" w:hAnsi="Arial"/>
          <w:sz w:val="19"/>
          <w:szCs w:val="19"/>
          <w:color w:val="auto"/>
        </w:rPr>
        <w:t>percentage of a Performance Restricted Stock Award determined at the end of the applicable Performance Period multiplied by a fraction, the numerator of which equals the number of days during such Performance Period that such Award Holder was actively employed by the Company, and the denominator of which equals the total days in the applicable Performance Period.</w:t>
      </w:r>
    </w:p>
    <w:p>
      <w:pPr>
        <w:spacing w:after="0" w:line="183" w:lineRule="exact"/>
        <w:rPr>
          <w:rFonts w:ascii="Arial" w:cs="Arial" w:eastAsia="Arial" w:hAnsi="Arial"/>
          <w:sz w:val="19"/>
          <w:szCs w:val="19"/>
          <w:b w:val="1"/>
          <w:bCs w:val="1"/>
          <w:color w:val="auto"/>
        </w:rPr>
      </w:pPr>
    </w:p>
    <w:p>
      <w:pPr>
        <w:ind w:right="200" w:firstLine="656"/>
        <w:spacing w:after="0" w:line="253" w:lineRule="auto"/>
        <w:tabs>
          <w:tab w:leader="none" w:pos="1507" w:val="left"/>
        </w:tabs>
        <w:numPr>
          <w:ilvl w:val="0"/>
          <w:numId w:val="53"/>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Award Holder other than Retirement</w:t>
      </w:r>
      <w:r>
        <w:rPr>
          <w:rFonts w:ascii="Arial" w:cs="Arial" w:eastAsia="Arial" w:hAnsi="Arial"/>
          <w:sz w:val="22"/>
          <w:szCs w:val="22"/>
          <w:color w:val="auto"/>
        </w:rPr>
        <w:t>: All shares subject to the Performance</w:t>
      </w:r>
      <w:r>
        <w:rPr>
          <w:rFonts w:ascii="Arial" w:cs="Arial" w:eastAsia="Arial" w:hAnsi="Arial"/>
          <w:sz w:val="22"/>
          <w:szCs w:val="22"/>
          <w:i w:val="1"/>
          <w:iCs w:val="1"/>
          <w:color w:val="auto"/>
        </w:rPr>
        <w:t xml:space="preserve"> </w:t>
      </w:r>
      <w:r>
        <w:rPr>
          <w:rFonts w:ascii="Arial" w:cs="Arial" w:eastAsia="Arial" w:hAnsi="Arial"/>
          <w:sz w:val="22"/>
          <w:szCs w:val="22"/>
          <w:color w:val="auto"/>
        </w:rPr>
        <w:t>Restricted Stock Award will be forfeited and the underlying Restricted Stock will immediately revert to the Company. An Award Holder will receive no payment for shares of Restricted Stock that are forfeited.</w:t>
      </w:r>
    </w:p>
    <w:p>
      <w:pPr>
        <w:sectPr>
          <w:pgSz w:w="11900" w:h="16838" w:orient="portrait"/>
          <w:cols w:equalWidth="0" w:num="1">
            <w:col w:w="11340"/>
          </w:cols>
          <w:pgMar w:left="240" w:top="1017" w:right="319" w:bottom="1440" w:gutter="0" w:footer="0" w:header="0"/>
        </w:sectPr>
      </w:pPr>
    </w:p>
    <w:bookmarkStart w:id="120" w:name="page121"/>
    <w:bookmarkEnd w:id="120"/>
    <w:p>
      <w:pPr>
        <w:jc w:val="both"/>
        <w:ind w:right="720" w:firstLine="656"/>
        <w:spacing w:after="0" w:line="343" w:lineRule="auto"/>
        <w:tabs>
          <w:tab w:leader="none" w:pos="1507" w:val="left"/>
        </w:tabs>
        <w:numPr>
          <w:ilvl w:val="0"/>
          <w:numId w:val="54"/>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(as defined in the Plan): The ending date of the applicable Performance Period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established as the effective date of the Change of Control and the lapsing of restrictions will be determined as of such date.</w:t>
      </w:r>
    </w:p>
    <w:p>
      <w:pPr>
        <w:spacing w:after="0" w:line="145"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The “lapse” of forfeiture restrictions means that the Common Stock subject to the Award shall, thereafter, be fully transferable by the Award Holder, subject to compliance with Section VII of these Award terms. Until the lapse of such forfeiture restrictions an Award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92" w:lineRule="exact"/>
        <w:rPr>
          <w:sz w:val="20"/>
          <w:szCs w:val="20"/>
          <w:color w:val="auto"/>
        </w:rPr>
      </w:pPr>
    </w:p>
    <w:p>
      <w:pPr>
        <w:ind w:right="140"/>
        <w:spacing w:after="0" w:line="289"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Cause</w:t>
      </w:r>
      <w:r>
        <w:rPr>
          <w:rFonts w:ascii="Arial" w:cs="Arial" w:eastAsia="Arial" w:hAnsi="Arial"/>
          <w:sz w:val="19"/>
          <w:szCs w:val="19"/>
          <w:color w:val="auto"/>
        </w:rPr>
        <w:t>” shall be as defined in the Award Holder’s employment agreement or, if such Award Holder does not have an employment agreement with the Company or such term is otherwise not defined, such term shall mean (i) an Award Holder shall have been convicted of, or pled guilty or nolo contendere to, a felony or any misdemeanor involving allegations of fraud, embezzlement, theft or dishonesty against the Company; (ii) Award Holder is found to be an Unsuitable Person as defined in the Plan; (iii) Award Holder engages in wrongful disclosure of confidential information or otherwise engages in competition with the Company; or (iv) the Company’s reasonable determination of Award Holder’s willful misconduct in the performance of such Holder’s duties with the Company (other than any such failure resulting from incapacity due to physical disability or mental illness); or (v) the Company’s reasonable determination of Award Holder’s willful engagement in illegal conduct or gross misconduct which is materially injurious to the Company or one of its affiliates.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LEAVES OF ABSENCE</w:t>
      </w:r>
    </w:p>
    <w:p>
      <w:pPr>
        <w:spacing w:after="0" w:line="266"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spacing w:after="0" w:line="209" w:lineRule="exact"/>
        <w:rPr>
          <w:sz w:val="20"/>
          <w:szCs w:val="20"/>
          <w:color w:val="auto"/>
        </w:rPr>
      </w:pPr>
    </w:p>
    <w:p>
      <w:pPr>
        <w:ind w:left="840" w:hanging="832"/>
        <w:spacing w:after="0"/>
        <w:tabs>
          <w:tab w:leader="none" w:pos="8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266" w:lineRule="exact"/>
        <w:rPr>
          <w:sz w:val="20"/>
          <w:szCs w:val="20"/>
          <w:color w:val="auto"/>
        </w:rPr>
      </w:pPr>
    </w:p>
    <w:p>
      <w:pPr>
        <w:ind w:right="300"/>
        <w:spacing w:after="0" w:line="343"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An Award Holder of Performance Restricted Stock Awards may NOT vote the underlying Restricted Stock and will NOT receive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any dividends paid with respect to such shares Restricted Stock until the lapse of forfeiture restrictions, at which time such Holder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will receive dividends accruing during the applicable Performance Period on the shares with respect to which the restrictions lapse.</w:t>
      </w:r>
    </w:p>
    <w:p>
      <w:pPr>
        <w:spacing w:after="0" w:line="23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WITHHOLDING TAXES</w:t>
      </w:r>
    </w:p>
    <w:p>
      <w:pPr>
        <w:spacing w:after="0" w:line="266"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No evidence of shares of Common Stock will be released or issued to an Award Holder at the end of a Performance Period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an Award Holder elects to authorize the Company to withhold shares of Common Stock from an</w:t>
      </w:r>
    </w:p>
    <w:p>
      <w:pPr>
        <w:sectPr>
          <w:pgSz w:w="11900" w:h="16838" w:orient="portrait"/>
          <w:cols w:equalWidth="0" w:num="1">
            <w:col w:w="11340"/>
          </w:cols>
          <w:pgMar w:left="240" w:top="591" w:right="319" w:bottom="1440" w:gutter="0" w:footer="0" w:header="0"/>
        </w:sectPr>
      </w:pPr>
    </w:p>
    <w:bookmarkStart w:id="121" w:name="page122"/>
    <w:bookmarkEnd w:id="121"/>
    <w:p>
      <w:pPr>
        <w:spacing w:after="0" w:line="271" w:lineRule="auto"/>
        <w:rPr>
          <w:sz w:val="20"/>
          <w:szCs w:val="20"/>
          <w:color w:val="auto"/>
        </w:rPr>
      </w:pPr>
      <w:r>
        <w:rPr>
          <w:rFonts w:ascii="Arial" w:cs="Arial" w:eastAsia="Arial" w:hAnsi="Arial"/>
          <w:sz w:val="21"/>
          <w:szCs w:val="21"/>
          <w:color w:val="auto"/>
        </w:rPr>
        <w:t>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2"/>
          <w:szCs w:val="22"/>
          <w:b w:val="1"/>
          <w:bCs w:val="1"/>
          <w:color w:val="auto"/>
        </w:rPr>
        <w:t>NO RIGHT TO CONTINUED SERVICE</w:t>
      </w:r>
    </w:p>
    <w:p>
      <w:pPr>
        <w:spacing w:after="0" w:line="266"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266" w:lineRule="exact"/>
        <w:rPr>
          <w:sz w:val="20"/>
          <w:szCs w:val="20"/>
          <w:color w:val="auto"/>
        </w:rPr>
      </w:pPr>
    </w:p>
    <w:p>
      <w:pPr>
        <w:ind w:right="200"/>
        <w:spacing w:after="0" w:line="343" w:lineRule="auto"/>
        <w:rPr>
          <w:sz w:val="20"/>
          <w:szCs w:val="20"/>
          <w:color w:val="auto"/>
        </w:rPr>
      </w:pPr>
      <w:r>
        <w:rPr>
          <w:rFonts w:ascii="Arial" w:cs="Arial" w:eastAsia="Arial" w:hAnsi="Arial"/>
          <w:sz w:val="19"/>
          <w:szCs w:val="19"/>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05"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These Performance Restricted Stock Award terms and the Plan constitute the entire understanding between an Award Holder and the Company regarding a Performance Restricted Stock Award.</w:t>
      </w:r>
    </w:p>
    <w:p>
      <w:pPr>
        <w:sectPr>
          <w:pgSz w:w="11900" w:h="16838" w:orient="portrait"/>
          <w:cols w:equalWidth="0" w:num="1">
            <w:col w:w="11340"/>
          </w:cols>
          <w:pgMar w:left="240" w:top="591"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GAMING AND LEISURE PROPERTIES,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AWARD TERMS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AWARDS ISSUED AFTER JANUARY 1, 2018</w:t>
      </w:r>
    </w:p>
    <w:p>
      <w:pPr>
        <w:spacing w:after="0" w:line="236" w:lineRule="exact"/>
        <w:rPr>
          <w:sz w:val="20"/>
          <w:szCs w:val="20"/>
          <w:color w:val="auto"/>
        </w:rPr>
      </w:pPr>
    </w:p>
    <w:p>
      <w:pPr>
        <w:ind w:right="200"/>
        <w:spacing w:after="0" w:line="304" w:lineRule="auto"/>
        <w:rPr>
          <w:sz w:val="20"/>
          <w:szCs w:val="20"/>
          <w:color w:val="auto"/>
        </w:rPr>
      </w:pPr>
      <w:r>
        <w:rPr>
          <w:rFonts w:ascii="Arial" w:cs="Arial" w:eastAsia="Arial" w:hAnsi="Arial"/>
          <w:sz w:val="19"/>
          <w:szCs w:val="19"/>
          <w:b w:val="1"/>
          <w:bCs w:val="1"/>
          <w:color w:val="auto"/>
        </w:rPr>
        <w:t>All Restricted Stock is subject to the provisions of the 2013 Long 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35" w:lineRule="exact"/>
        <w:rPr>
          <w:sz w:val="20"/>
          <w:szCs w:val="20"/>
          <w:color w:val="auto"/>
        </w:rPr>
      </w:pPr>
    </w:p>
    <w:p>
      <w:pPr>
        <w:ind w:right="200"/>
        <w:spacing w:after="0" w:line="269" w:lineRule="auto"/>
        <w:rPr>
          <w:sz w:val="20"/>
          <w:szCs w:val="20"/>
          <w:color w:val="auto"/>
        </w:rPr>
      </w:pPr>
      <w:r>
        <w:rPr>
          <w:rFonts w:ascii="Arial" w:cs="Arial" w:eastAsia="Arial" w:hAnsi="Arial"/>
          <w:sz w:val="22"/>
          <w:szCs w:val="22"/>
          <w:b w:val="1"/>
          <w:bCs w:val="1"/>
          <w:color w:val="auto"/>
        </w:rPr>
        <w:t>The terms provided herein are applicable to Performance Restricted Stock Awards issued after January 1, 2018. Different terms may apply to any prior or future awards under the Plan.</w:t>
      </w:r>
    </w:p>
    <w:p>
      <w:pPr>
        <w:spacing w:after="0" w:line="162" w:lineRule="exact"/>
        <w:rPr>
          <w:sz w:val="20"/>
          <w:szCs w:val="20"/>
          <w:color w:val="auto"/>
        </w:rPr>
      </w:pPr>
    </w:p>
    <w:p>
      <w:pPr>
        <w:ind w:left="800" w:hanging="792"/>
        <w:spacing w:after="0"/>
        <w:tabs>
          <w:tab w:leader="none" w:pos="80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220" w:lineRule="exact"/>
        <w:rPr>
          <w:sz w:val="20"/>
          <w:szCs w:val="20"/>
          <w:color w:val="auto"/>
        </w:rPr>
      </w:pPr>
    </w:p>
    <w:p>
      <w:pPr>
        <w:ind w:right="220" w:firstLine="656"/>
        <w:spacing w:after="0" w:line="263" w:lineRule="auto"/>
        <w:tabs>
          <w:tab w:leader="none" w:pos="1507" w:val="left"/>
        </w:tabs>
        <w:numPr>
          <w:ilvl w:val="0"/>
          <w:numId w:val="57"/>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start of the applicable Performance Period.</w:t>
      </w:r>
    </w:p>
    <w:p>
      <w:pPr>
        <w:spacing w:after="0" w:line="215" w:lineRule="exact"/>
        <w:rPr>
          <w:rFonts w:ascii="Arial" w:cs="Arial" w:eastAsia="Arial" w:hAnsi="Arial"/>
          <w:sz w:val="22"/>
          <w:szCs w:val="22"/>
          <w:b w:val="1"/>
          <w:bCs w:val="1"/>
          <w:color w:val="auto"/>
        </w:rPr>
      </w:pPr>
    </w:p>
    <w:p>
      <w:pPr>
        <w:ind w:right="300" w:firstLine="656"/>
        <w:spacing w:after="0" w:line="263" w:lineRule="auto"/>
        <w:tabs>
          <w:tab w:leader="none" w:pos="1495" w:val="left"/>
        </w:tabs>
        <w:numPr>
          <w:ilvl w:val="0"/>
          <w:numId w:val="57"/>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end of the applicable Performance Period.</w:t>
      </w:r>
    </w:p>
    <w:p>
      <w:pPr>
        <w:spacing w:after="0" w:line="215" w:lineRule="exact"/>
        <w:rPr>
          <w:rFonts w:ascii="Arial" w:cs="Arial" w:eastAsia="Arial" w:hAnsi="Arial"/>
          <w:sz w:val="22"/>
          <w:szCs w:val="22"/>
          <w:b w:val="1"/>
          <w:bCs w:val="1"/>
          <w:color w:val="auto"/>
        </w:rPr>
      </w:pPr>
    </w:p>
    <w:p>
      <w:pPr>
        <w:ind w:left="1520" w:hanging="864"/>
        <w:spacing w:after="0"/>
        <w:tabs>
          <w:tab w:leader="none" w:pos="152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i w:val="1"/>
          <w:iCs w:val="1"/>
          <w:color w:val="auto"/>
        </w:rPr>
        <w:t>Peer Group</w:t>
      </w:r>
      <w:r>
        <w:rPr>
          <w:rFonts w:ascii="Arial" w:cs="Arial" w:eastAsia="Arial" w:hAnsi="Arial"/>
          <w:sz w:val="19"/>
          <w:szCs w:val="19"/>
          <w:color w:val="auto"/>
        </w:rPr>
        <w:t>” means the following companies which have been identified to be triple net real estate investment</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trusts:</w:t>
      </w:r>
    </w:p>
    <w:p>
      <w:pPr>
        <w:sectPr>
          <w:pgSz w:w="11900" w:h="16838" w:orient="portrait"/>
          <w:cols w:equalWidth="0" w:num="1">
            <w:col w:w="11420"/>
          </w:cols>
          <w:pgMar w:left="240" w:top="580" w:right="239" w:bottom="1440" w:gutter="0" w:footer="0" w:header="0"/>
        </w:sect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Agree Realty Corporation</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EPR Properties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Four Corners Property Trust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Gaming and Leisure Properties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Getty Realty</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Global Net Lease</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Gramercy Property Trust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Lexington Realty Trust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MGM Growth Properties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National Retail Properties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Realty Income Corporation</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Select Income REIT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STORE Capital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VEREIT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 P. Carey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Omega Healthcare Investors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Sales &amp; Leasing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Alexandria Real Estate Equities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Gladstone Commercial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LTC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One Liberty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Seritage Growth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STAG Industrial Group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Spirit Realty Capital</w:t>
      </w:r>
    </w:p>
    <w:p>
      <w:pPr>
        <w:sectPr>
          <w:pgSz w:w="11900" w:h="16838" w:orient="portrait"/>
          <w:cols w:equalWidth="0" w:num="2">
            <w:col w:w="5660" w:space="720"/>
            <w:col w:w="5040"/>
          </w:cols>
          <w:pgMar w:left="240" w:top="580" w:right="239" w:bottom="1440" w:gutter="0" w:footer="0" w:header="0"/>
          <w:type w:val="continuous"/>
        </w:sectPr>
      </w:pPr>
    </w:p>
    <w:bookmarkStart w:id="123" w:name="page124"/>
    <w:bookmarkEnd w:id="123"/>
    <w:p>
      <w:pPr>
        <w:jc w:val="both"/>
        <w:ind w:right="420" w:firstLine="648"/>
        <w:spacing w:after="0" w:line="271" w:lineRule="auto"/>
        <w:rPr>
          <w:sz w:val="20"/>
          <w:szCs w:val="20"/>
          <w:color w:val="auto"/>
        </w:rPr>
      </w:pPr>
      <w:r>
        <w:rPr>
          <w:rFonts w:ascii="Arial" w:cs="Arial" w:eastAsia="Arial" w:hAnsi="Arial"/>
          <w:sz w:val="21"/>
          <w:szCs w:val="21"/>
          <w:color w:val="auto"/>
        </w:rPr>
        <w:t>Provided that if a constituent company(s) in the Peer Group ceases to be actively traded, due, for example, to merger or bankruptcy, or the Compensation Committee otherwise reasonably determines that is no longer suitable for the purposes of this Award Agreement, then such company(s) shall not be included in the Peer Group.</w:t>
      </w:r>
    </w:p>
    <w:p>
      <w:pPr>
        <w:spacing w:after="0" w:line="168" w:lineRule="exact"/>
        <w:rPr>
          <w:sz w:val="20"/>
          <w:szCs w:val="20"/>
          <w:color w:val="auto"/>
        </w:rPr>
      </w:pPr>
    </w:p>
    <w:p>
      <w:pPr>
        <w:ind w:firstLine="656"/>
        <w:spacing w:after="0" w:line="253" w:lineRule="auto"/>
        <w:tabs>
          <w:tab w:leader="none" w:pos="1507"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means the three-year period beginning on January 1 of the calendar year with respect to which this Performance Restricted Stock Award is granted, provided that a Performance Period shall end immediately upon the date on which a Change in Control shall be effective.</w:t>
      </w:r>
    </w:p>
    <w:p>
      <w:pPr>
        <w:spacing w:after="0" w:line="226" w:lineRule="exact"/>
        <w:rPr>
          <w:rFonts w:ascii="Arial" w:cs="Arial" w:eastAsia="Arial" w:hAnsi="Arial"/>
          <w:sz w:val="22"/>
          <w:szCs w:val="22"/>
          <w:b w:val="1"/>
          <w:bCs w:val="1"/>
          <w:color w:val="auto"/>
        </w:rPr>
      </w:pPr>
    </w:p>
    <w:p>
      <w:pPr>
        <w:ind w:right="40" w:firstLine="656"/>
        <w:spacing w:after="0" w:line="253" w:lineRule="auto"/>
        <w:tabs>
          <w:tab w:leader="none" w:pos="1495"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for the Company and for the Peer Group companies, the Final Share Price minus the Initial Share Price, plus any dividends (ordinary and special) paid during the applicable Performance Period. All dividends are assumed to be reinvested in the stock.</w:t>
      </w:r>
    </w:p>
    <w:p>
      <w:pPr>
        <w:spacing w:after="0" w:line="220" w:lineRule="exact"/>
        <w:rPr>
          <w:rFonts w:ascii="Arial" w:cs="Arial" w:eastAsia="Arial" w:hAnsi="Arial"/>
          <w:sz w:val="22"/>
          <w:szCs w:val="22"/>
          <w:b w:val="1"/>
          <w:bCs w:val="1"/>
          <w:color w:val="auto"/>
        </w:rPr>
      </w:pPr>
    </w:p>
    <w:p>
      <w:pPr>
        <w:ind w:left="880" w:hanging="872"/>
        <w:spacing w:after="0"/>
        <w:tabs>
          <w:tab w:leader="none" w:pos="8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214" w:lineRule="exact"/>
        <w:rPr>
          <w:sz w:val="20"/>
          <w:szCs w:val="20"/>
          <w:color w:val="auto"/>
        </w:rPr>
      </w:pPr>
    </w:p>
    <w:p>
      <w:pPr>
        <w:ind w:left="960" w:hanging="952"/>
        <w:spacing w:after="0"/>
        <w:tabs>
          <w:tab w:leader="none" w:pos="9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266"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325" w:lineRule="exact"/>
        <w:rPr>
          <w:sz w:val="20"/>
          <w:szCs w:val="20"/>
          <w:color w:val="auto"/>
        </w:rPr>
      </w:pPr>
    </w:p>
    <w:tbl>
      <w:tblPr>
        <w:tblLayout w:type="fixed"/>
        <w:tblInd w:w="2180" w:type="dxa"/>
        <w:tblCellMar>
          <w:top w:w="0" w:type="dxa"/>
          <w:left w:w="0" w:type="dxa"/>
          <w:bottom w:w="0" w:type="dxa"/>
          <w:right w:w="0" w:type="dxa"/>
        </w:tblCellMar>
      </w:tblPr>
      <w:tr>
        <w:trPr>
          <w:trHeight w:val="253"/>
        </w:trPr>
        <w:tc>
          <w:tcPr>
            <w:tcW w:w="348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Percentage of</w:t>
            </w:r>
          </w:p>
        </w:tc>
      </w:tr>
      <w:tr>
        <w:trPr>
          <w:trHeight w:val="224"/>
        </w:trPr>
        <w:tc>
          <w:tcPr>
            <w:tcW w:w="19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7"/>
              </w:rPr>
              <w:t>Peer Group Percentile</w:t>
            </w: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Maximum Earned</w:t>
            </w:r>
          </w:p>
        </w:tc>
      </w:tr>
      <w:tr>
        <w:trPr>
          <w:trHeight w:val="328"/>
        </w:trPr>
        <w:tc>
          <w:tcPr>
            <w:tcW w:w="3480" w:type="dxa"/>
            <w:vAlign w:val="bottom"/>
            <w:gridSpan w:val="2"/>
          </w:tcPr>
          <w:p>
            <w:pPr>
              <w:spacing w:after="0"/>
              <w:rPr>
                <w:sz w:val="20"/>
                <w:szCs w:val="20"/>
                <w:color w:val="auto"/>
              </w:rPr>
            </w:pPr>
            <w:r>
              <w:rPr>
                <w:rFonts w:ascii="Arial" w:cs="Arial" w:eastAsia="Arial" w:hAnsi="Arial"/>
                <w:sz w:val="22"/>
                <w:szCs w:val="22"/>
                <w:color w:val="auto"/>
              </w:rPr>
              <w:t>Below 25th</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0%</w:t>
            </w:r>
          </w:p>
        </w:tc>
      </w:tr>
      <w:tr>
        <w:trPr>
          <w:trHeight w:val="297"/>
        </w:trPr>
        <w:tc>
          <w:tcPr>
            <w:tcW w:w="3480" w:type="dxa"/>
            <w:vAlign w:val="bottom"/>
            <w:gridSpan w:val="2"/>
          </w:tcPr>
          <w:p>
            <w:pPr>
              <w:spacing w:after="0"/>
              <w:rPr>
                <w:sz w:val="20"/>
                <w:szCs w:val="20"/>
                <w:color w:val="auto"/>
              </w:rPr>
            </w:pPr>
            <w:r>
              <w:rPr>
                <w:rFonts w:ascii="Arial" w:cs="Arial" w:eastAsia="Arial" w:hAnsi="Arial"/>
                <w:sz w:val="22"/>
                <w:szCs w:val="22"/>
                <w:color w:val="auto"/>
              </w:rPr>
              <w:t>50th</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50%</w:t>
            </w:r>
          </w:p>
        </w:tc>
      </w:tr>
      <w:tr>
        <w:trPr>
          <w:trHeight w:val="297"/>
        </w:trPr>
        <w:tc>
          <w:tcPr>
            <w:tcW w:w="3480" w:type="dxa"/>
            <w:vAlign w:val="bottom"/>
            <w:gridSpan w:val="2"/>
          </w:tcPr>
          <w:p>
            <w:pPr>
              <w:spacing w:after="0"/>
              <w:rPr>
                <w:sz w:val="20"/>
                <w:szCs w:val="20"/>
                <w:color w:val="auto"/>
              </w:rPr>
            </w:pPr>
            <w:r>
              <w:rPr>
                <w:rFonts w:ascii="Arial" w:cs="Arial" w:eastAsia="Arial" w:hAnsi="Arial"/>
                <w:sz w:val="22"/>
                <w:szCs w:val="22"/>
                <w:color w:val="auto"/>
              </w:rPr>
              <w:t>75th or Above</w:t>
            </w:r>
          </w:p>
        </w:tc>
        <w:tc>
          <w:tcPr>
            <w:tcW w:w="3140" w:type="dxa"/>
            <w:vAlign w:val="bottom"/>
            <w:gridSpan w:val="2"/>
          </w:tcPr>
          <w:p>
            <w:pPr>
              <w:ind w:left="1580"/>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86" w:lineRule="exact"/>
        <w:rPr>
          <w:sz w:val="20"/>
          <w:szCs w:val="20"/>
          <w:color w:val="auto"/>
        </w:rPr>
      </w:pPr>
    </w:p>
    <w:p>
      <w:pPr>
        <w:ind w:right="180"/>
        <w:spacing w:after="0" w:line="248"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an Holder’s death, disability, retirement or other termination of employment or service, the forfeiture restrictions on a Performance Restricted Stock Award shall lapse and/or shares of Restricted Stock forfeited as follows:</w:t>
      </w:r>
    </w:p>
    <w:p>
      <w:pPr>
        <w:sectPr>
          <w:pgSz w:w="11900" w:h="16838" w:orient="portrait"/>
          <w:cols w:equalWidth="0" w:num="1">
            <w:col w:w="11420"/>
          </w:cols>
          <w:pgMar w:left="240" w:top="591" w:right="239" w:bottom="1440" w:gutter="0" w:footer="0" w:header="0"/>
        </w:sectPr>
      </w:pPr>
    </w:p>
    <w:bookmarkStart w:id="124" w:name="page125"/>
    <w:bookmarkEnd w:id="124"/>
    <w:p>
      <w:pPr>
        <w:ind w:right="80" w:firstLine="656"/>
        <w:spacing w:after="0" w:line="253" w:lineRule="auto"/>
        <w:tabs>
          <w:tab w:leader="none" w:pos="1507" w:val="left"/>
        </w:tabs>
        <w:numPr>
          <w:ilvl w:val="0"/>
          <w:numId w:val="61"/>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The Holder or such Holder’s estate, as applicable, will be entitled to receive the percentage</w:t>
      </w:r>
      <w:r>
        <w:rPr>
          <w:rFonts w:ascii="Arial" w:cs="Arial" w:eastAsia="Arial" w:hAnsi="Arial"/>
          <w:sz w:val="22"/>
          <w:szCs w:val="22"/>
          <w:i w:val="1"/>
          <w:iCs w:val="1"/>
          <w:color w:val="auto"/>
        </w:rPr>
        <w:t xml:space="preserve"> </w:t>
      </w:r>
      <w:r>
        <w:rPr>
          <w:rFonts w:ascii="Arial" w:cs="Arial" w:eastAsia="Arial" w:hAnsi="Arial"/>
          <w:sz w:val="22"/>
          <w:szCs w:val="22"/>
          <w:color w:val="auto"/>
        </w:rPr>
        <w:t>of a Performance Restricted Stock Award determined at the end of the applicable Performance Period as if such Holder were still employed at the end of the applicable Performance Period.</w:t>
      </w:r>
    </w:p>
    <w:p>
      <w:pPr>
        <w:spacing w:after="0" w:line="226" w:lineRule="exact"/>
        <w:rPr>
          <w:rFonts w:ascii="Arial" w:cs="Arial" w:eastAsia="Arial" w:hAnsi="Arial"/>
          <w:sz w:val="22"/>
          <w:szCs w:val="22"/>
          <w:b w:val="1"/>
          <w:bCs w:val="1"/>
          <w:color w:val="auto"/>
        </w:rPr>
      </w:pPr>
    </w:p>
    <w:p>
      <w:pPr>
        <w:ind w:right="40" w:firstLine="656"/>
        <w:spacing w:after="0" w:line="302" w:lineRule="auto"/>
        <w:tabs>
          <w:tab w:leader="none" w:pos="1495" w:val="left"/>
        </w:tabs>
        <w:numPr>
          <w:ilvl w:val="0"/>
          <w:numId w:val="61"/>
        </w:numPr>
        <w:rPr>
          <w:rFonts w:ascii="Arial" w:cs="Arial" w:eastAsia="Arial" w:hAnsi="Arial"/>
          <w:sz w:val="19"/>
          <w:szCs w:val="19"/>
          <w:b w:val="1"/>
          <w:bCs w:val="1"/>
          <w:color w:val="auto"/>
        </w:rPr>
      </w:pPr>
      <w:r>
        <w:rPr>
          <w:rFonts w:ascii="Arial" w:cs="Arial" w:eastAsia="Arial" w:hAnsi="Arial"/>
          <w:sz w:val="19"/>
          <w:szCs w:val="19"/>
          <w:i w:val="1"/>
          <w:iCs w:val="1"/>
          <w:color w:val="auto"/>
        </w:rPr>
        <w:t>Termination without Cause or by Holder for Retirement</w:t>
      </w:r>
      <w:r>
        <w:rPr>
          <w:rFonts w:ascii="Arial" w:cs="Arial" w:eastAsia="Arial" w:hAnsi="Arial"/>
          <w:sz w:val="19"/>
          <w:szCs w:val="19"/>
          <w:color w:val="auto"/>
        </w:rPr>
        <w:t>: The Holder will be entitled to receive the percentage of a</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Restricted Stock Award determined at the 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spacing w:after="0" w:line="183" w:lineRule="exact"/>
        <w:rPr>
          <w:rFonts w:ascii="Arial" w:cs="Arial" w:eastAsia="Arial" w:hAnsi="Arial"/>
          <w:sz w:val="19"/>
          <w:szCs w:val="19"/>
          <w:b w:val="1"/>
          <w:bCs w:val="1"/>
          <w:color w:val="auto"/>
        </w:rPr>
      </w:pPr>
    </w:p>
    <w:p>
      <w:pPr>
        <w:ind w:firstLine="656"/>
        <w:spacing w:after="0" w:line="253" w:lineRule="auto"/>
        <w:tabs>
          <w:tab w:leader="none" w:pos="1507" w:val="left"/>
        </w:tabs>
        <w:numPr>
          <w:ilvl w:val="0"/>
          <w:numId w:val="61"/>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Holder other than Retirement</w:t>
      </w:r>
      <w:r>
        <w:rPr>
          <w:rFonts w:ascii="Arial" w:cs="Arial" w:eastAsia="Arial" w:hAnsi="Arial"/>
          <w:sz w:val="22"/>
          <w:szCs w:val="22"/>
          <w:color w:val="auto"/>
        </w:rPr>
        <w:t>: All shares subject to the Performance Restricted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Award will be forfeited and the underlying Restricted Stock will immediately revert to the Company. A Holder will receive no payment for shares of Restricted Stock that are forfeited.</w:t>
      </w:r>
    </w:p>
    <w:p>
      <w:pPr>
        <w:spacing w:after="0" w:line="226" w:lineRule="exact"/>
        <w:rPr>
          <w:rFonts w:ascii="Arial" w:cs="Arial" w:eastAsia="Arial" w:hAnsi="Arial"/>
          <w:sz w:val="22"/>
          <w:szCs w:val="22"/>
          <w:b w:val="1"/>
          <w:bCs w:val="1"/>
          <w:color w:val="auto"/>
        </w:rPr>
      </w:pPr>
    </w:p>
    <w:p>
      <w:pPr>
        <w:jc w:val="both"/>
        <w:ind w:right="780" w:firstLine="656"/>
        <w:spacing w:after="0" w:line="343" w:lineRule="auto"/>
        <w:tabs>
          <w:tab w:leader="none" w:pos="1507" w:val="left"/>
        </w:tabs>
        <w:numPr>
          <w:ilvl w:val="0"/>
          <w:numId w:val="61"/>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(as defined in the Plan): The ending date of the applicable Performance Period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established as the effective date of the Change of Control and the lapsing of restrictions will be determined as of such date.</w:t>
      </w:r>
    </w:p>
    <w:p>
      <w:pPr>
        <w:spacing w:after="0" w:line="145"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Cause</w:t>
      </w:r>
      <w:r>
        <w:rPr>
          <w:rFonts w:ascii="Arial" w:cs="Arial" w:eastAsia="Arial" w:hAnsi="Arial"/>
          <w:sz w:val="22"/>
          <w:szCs w:val="22"/>
          <w:color w:val="auto"/>
        </w:rPr>
        <w:t>” 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LEAVES OF ABSENCE</w:t>
      </w:r>
    </w:p>
    <w:p>
      <w:pPr>
        <w:spacing w:after="0" w:line="266"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sectPr>
          <w:pgSz w:w="11900" w:h="16838" w:orient="portrait"/>
          <w:cols w:equalWidth="0" w:num="1">
            <w:col w:w="11400"/>
          </w:cols>
          <w:pgMar w:left="240" w:top="591" w:right="259" w:bottom="1440" w:gutter="0" w:footer="0" w:header="0"/>
        </w:sectPr>
      </w:pPr>
    </w:p>
    <w:bookmarkStart w:id="125" w:name="page126"/>
    <w:bookmarkEnd w:id="125"/>
    <w:p>
      <w:pPr>
        <w:ind w:left="840" w:hanging="832"/>
        <w:spacing w:after="0"/>
        <w:tabs>
          <w:tab w:leader="none" w:pos="8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266"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266"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A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WITHHOLDING TAXES</w:t>
      </w:r>
    </w:p>
    <w:p>
      <w:pPr>
        <w:spacing w:after="0" w:line="266"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w:t>
      </w:r>
    </w:p>
    <w:p>
      <w:pPr>
        <w:spacing w:after="0" w:line="15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2"/>
          <w:szCs w:val="22"/>
          <w:b w:val="1"/>
          <w:bCs w:val="1"/>
          <w:color w:val="auto"/>
        </w:rPr>
        <w:t>NO RIGHT TO CONTINUED SERVICE</w:t>
      </w:r>
    </w:p>
    <w:p>
      <w:pPr>
        <w:spacing w:after="0" w:line="266"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266" w:lineRule="exact"/>
        <w:rPr>
          <w:sz w:val="20"/>
          <w:szCs w:val="20"/>
          <w:color w:val="auto"/>
        </w:rPr>
      </w:pPr>
    </w:p>
    <w:p>
      <w:pPr>
        <w:ind w:right="280"/>
        <w:spacing w:after="0" w:line="343" w:lineRule="auto"/>
        <w:rPr>
          <w:sz w:val="20"/>
          <w:szCs w:val="20"/>
          <w:color w:val="auto"/>
        </w:rPr>
      </w:pPr>
      <w:r>
        <w:rPr>
          <w:rFonts w:ascii="Arial" w:cs="Arial" w:eastAsia="Arial" w:hAnsi="Arial"/>
          <w:sz w:val="19"/>
          <w:szCs w:val="19"/>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05" w:lineRule="exact"/>
        <w:rPr>
          <w:sz w:val="20"/>
          <w:szCs w:val="20"/>
          <w:color w:val="auto"/>
        </w:rPr>
      </w:pPr>
    </w:p>
    <w:p>
      <w:pPr>
        <w:ind w:right="1040"/>
        <w:spacing w:after="0" w:line="263" w:lineRule="auto"/>
        <w:rPr>
          <w:sz w:val="20"/>
          <w:szCs w:val="20"/>
          <w:color w:val="auto"/>
        </w:rPr>
      </w:pPr>
      <w:r>
        <w:rPr>
          <w:rFonts w:ascii="Arial" w:cs="Arial" w:eastAsia="Arial" w:hAnsi="Arial"/>
          <w:sz w:val="22"/>
          <w:szCs w:val="22"/>
          <w:color w:val="auto"/>
        </w:rPr>
        <w:t>This Award Agreement and the Plan constitute the entire understanding between a Holder and the Company regarding a Performance Restricted Stock Award.</w:t>
      </w:r>
    </w:p>
    <w:p>
      <w:pPr>
        <w:sectPr>
          <w:pgSz w:w="11900" w:h="16838" w:orient="portrait"/>
          <w:cols w:equalWidth="0" w:num="1">
            <w:col w:w="11420"/>
          </w:cols>
          <w:pgMar w:left="240" w:top="58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Subsidiaries of Gaming and Leisure Properties, Inc. (a Pennsylvania corporation)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State or Other</w:t>
            </w:r>
          </w:p>
        </w:tc>
        <w:tc>
          <w:tcPr>
            <w:tcW w:w="0" w:type="dxa"/>
            <w:vAlign w:val="bottom"/>
          </w:tcPr>
          <w:p>
            <w:pPr>
              <w:spacing w:after="0"/>
              <w:rPr>
                <w:sz w:val="1"/>
                <w:szCs w:val="1"/>
                <w:color w:val="auto"/>
              </w:rPr>
            </w:pPr>
          </w:p>
        </w:tc>
      </w:tr>
      <w:tr>
        <w:trPr>
          <w:trHeight w:val="149"/>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00" w:type="dxa"/>
            <w:vAlign w:val="bottom"/>
            <w:vMerge w:val="restart"/>
          </w:tcPr>
          <w:p>
            <w:pPr>
              <w:spacing w:after="0"/>
              <w:rPr>
                <w:sz w:val="12"/>
                <w:szCs w:val="12"/>
                <w:color w:val="auto"/>
              </w:rPr>
            </w:pPr>
          </w:p>
        </w:tc>
        <w:tc>
          <w:tcPr>
            <w:tcW w:w="16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CCR PA Racing,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Capital Partners, LLC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Capital, L.P.</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Holdings, Inc.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Financing I,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Financing II, Inc.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Midwest Properties I,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Gold Merger Sub,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Louisiana Casino Cruises, Inc. (d/b/a Hollywood Casino Baton Rouge)</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PA Meadows, LLC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Penn Cecil Maryland, Inc. (d/b/a Hollywood Casino Perryville)</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WTA II,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600"/>
          </w:cols>
          <w:pgMar w:left="106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reports dated February 16, 2018, relating to the consolidated financial statements and financial statement schedule of Gaming and Leisure Properties, Inc. and Subsidiaries, and the effectiveness of Gaming and Leisure Properties, Inc. and Subsidiaries’ internal control over financial reporting, appearing in this Annual Report on Form 10-K of Gaming and Leisure Properties, Inc. and Subsidiaries for the year ended December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333-210423 on Form S-3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4 to Registration Statement No. 333-206649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1 to Registration Statement No. 333-196662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333-192017 on Form S-8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S-8 No. 333-192017) pertaining to the 2013 Long Term Incentive Compensation Plan,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S-4 No. 333-196662) of Gaming and Leisure Properties, Inc. and Subsidiaries,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S-4 No. 333-206649) of Gaming and Leisure Properties, Inc. and Subsidiaries,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S-3 No. 333-210423) of Gaming and Leisure Properties, Inc. and Subsidiaries;</w:t>
      </w:r>
    </w:p>
    <w:p>
      <w:pPr>
        <w:spacing w:after="0" w:line="22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of our report dated February 22, 2016, with respect to the consolidated financial statements and schedule of Gaming and Leisure Properties, Inc. and Subsidiaries included in this Annual Report (Form 10-K) of Gaming and Leisure Properties, Inc. for the year ended December 31, 2017.</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February 16, 2018</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70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Clifford, certify that:</w:t>
      </w:r>
    </w:p>
    <w:p>
      <w:pPr>
        <w:spacing w:after="0" w:line="225" w:lineRule="exact"/>
        <w:rPr>
          <w:sz w:val="20"/>
          <w:szCs w:val="20"/>
          <w:color w:val="auto"/>
        </w:rPr>
      </w:pPr>
    </w:p>
    <w:p>
      <w:pPr>
        <w:ind w:left="680" w:hanging="672"/>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February 16, 2018</w:t>
            </w:r>
          </w:p>
        </w:tc>
        <w:tc>
          <w:tcPr>
            <w:tcW w:w="1900" w:type="dxa"/>
            <w:vAlign w:val="bottom"/>
            <w:gridSpan w:val="2"/>
          </w:tcPr>
          <w:p>
            <w:pPr>
              <w:spacing w:after="0"/>
              <w:rPr>
                <w:sz w:val="20"/>
                <w:szCs w:val="20"/>
                <w:color w:val="auto"/>
              </w:rPr>
            </w:pPr>
            <w:r>
              <w:rPr>
                <w:rFonts w:ascii="Arial" w:cs="Arial" w:eastAsia="Arial" w:hAnsi="Arial"/>
                <w:sz w:val="18"/>
                <w:szCs w:val="18"/>
                <w:color w:val="auto"/>
              </w:rPr>
              <w:t>/s/ William J. Clifford</w:t>
            </w:r>
          </w:p>
        </w:tc>
      </w:tr>
      <w:tr>
        <w:trPr>
          <w:trHeight w:val="20"/>
        </w:trPr>
        <w:tc>
          <w:tcPr>
            <w:tcW w:w="57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5"/>
              </w:rPr>
              <w:t>Name: William J. Clifford</w:t>
            </w:r>
          </w:p>
        </w:tc>
      </w:tr>
      <w:tr>
        <w:trPr>
          <w:trHeight w:val="270"/>
        </w:trPr>
        <w:tc>
          <w:tcPr>
            <w:tcW w:w="57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of Gaming and Leisure Properties, Inc. (the “Company”) on Form 10-K for the year ended December 31, 2017,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16, 2018</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annual report of Gaming and Leisure Properties, Inc. (the “Company”) on Form 10-K for the year ended December 31, 2017, as filed with the Securities and Exchange Commission on the date hereof (the “Report”), I, William J. Clifford,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16,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2"/>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2"/>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lowerRoman"/>
      <w:start w:val="2"/>
    </w:lvl>
  </w:abstractNum>
  <w:abstractNum w:abstractNumId="12">
    <w:nsid w:val="2A487CB0"/>
    <w:multiLevelType w:val="hybridMultilevel"/>
    <w:lvl w:ilvl="0">
      <w:lvlJc w:val="left"/>
      <w:lvlText w:val="(%1)"/>
      <w:numFmt w:val="lowerRoman"/>
      <w:start w:val="1"/>
    </w:lvl>
  </w:abstractNum>
  <w:abstractNum w:abstractNumId="13">
    <w:nsid w:val="1D4ED43B"/>
    <w:multiLevelType w:val="hybridMultilevel"/>
    <w:lvl w:ilvl="0">
      <w:lvlJc w:val="left"/>
      <w:lvlText w:val="(%1)"/>
      <w:numFmt w:val="lowerLetter"/>
      <w:start w:val="9"/>
    </w:lvl>
    <w:lvl w:ilvl="1">
      <w:lvlJc w:val="left"/>
      <w:lvlText w:val="(%2)"/>
      <w:numFmt w:val="lowerLetter"/>
      <w:start w:val="1"/>
    </w:lvl>
  </w:abstractNum>
  <w:abstractNum w:abstractNumId="14">
    <w:nsid w:val="725A06FB"/>
    <w:multiLevelType w:val="hybridMultilevel"/>
    <w:lvl w:ilvl="0">
      <w:lvlJc w:val="left"/>
      <w:lvlText w:val="(%1)"/>
      <w:numFmt w:val="lowerRoman"/>
      <w:start w:val="2"/>
    </w:lvl>
  </w:abstractNum>
  <w:abstractNum w:abstractNumId="15">
    <w:nsid w:val="2CD89A32"/>
    <w:multiLevelType w:val="hybridMultilevel"/>
    <w:lvl w:ilvl="0">
      <w:lvlJc w:val="left"/>
      <w:lvlText w:val="(%1)"/>
      <w:numFmt w:val="lowerRoman"/>
      <w:start w:val="5"/>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lowerRoman"/>
      <w:start w:val="3"/>
    </w:lvl>
  </w:abstractNum>
  <w:abstractNum w:abstractNumId="19">
    <w:nsid w:val="542289EC"/>
    <w:multiLevelType w:val="hybridMultilevel"/>
    <w:lvl w:ilvl="0">
      <w:lvlJc w:val="left"/>
      <w:lvlText w:val="(%1)"/>
      <w:numFmt w:val="lowerRoman"/>
      <w:start w:val="6"/>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lowerRoman"/>
      <w:start w:val="6"/>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2"/>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3"/>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2"/>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7"/>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1."/>
      <w:numFmt w:val="upperLetter"/>
      <w:start w:val="9"/>
    </w:lvl>
  </w:abstractNum>
  <w:abstractNum w:abstractNumId="49">
    <w:nsid w:val="3F6AB60F"/>
    <w:multiLevelType w:val="hybridMultilevel"/>
    <w:lvl w:ilvl="0">
      <w:lvlJc w:val="left"/>
      <w:lvlText w:val="%1."/>
      <w:numFmt w:val="upperLetter"/>
      <w:start w:val="1"/>
    </w:lvl>
  </w:abstractNum>
  <w:abstractNum w:abstractNumId="50">
    <w:nsid w:val="61574095"/>
    <w:multiLevelType w:val="hybridMultilevel"/>
    <w:lvl w:ilvl="0">
      <w:lvlJc w:val="left"/>
      <w:lvlText w:val="%1."/>
      <w:numFmt w:val="upperLetter"/>
      <w:start w:val="35"/>
    </w:lvl>
  </w:abstractNum>
  <w:abstractNum w:abstractNumId="51">
    <w:nsid w:val="7E0C57B1"/>
    <w:multiLevelType w:val="hybridMultilevel"/>
    <w:lvl w:ilvl="0">
      <w:lvlJc w:val="left"/>
      <w:lvlText w:val="%1."/>
      <w:numFmt w:val="upperLetter"/>
      <w:start w:val="61"/>
    </w:lvl>
  </w:abstractNum>
  <w:abstractNum w:abstractNumId="52">
    <w:nsid w:val="77AE35EB"/>
    <w:multiLevelType w:val="hybridMultilevel"/>
    <w:lvl w:ilvl="0">
      <w:lvlJc w:val="left"/>
      <w:lvlText w:val="%1."/>
      <w:numFmt w:val="upperLetter"/>
      <w:start w:val="1"/>
    </w:lvl>
  </w:abstractNum>
  <w:abstractNum w:abstractNumId="53">
    <w:nsid w:val="579BE4F1"/>
    <w:multiLevelType w:val="hybridMultilevel"/>
    <w:lvl w:ilvl="0">
      <w:lvlJc w:val="left"/>
      <w:lvlText w:val="%1."/>
      <w:numFmt w:val="upperLetter"/>
      <w:start w:val="4"/>
    </w:lvl>
  </w:abstractNum>
  <w:abstractNum w:abstractNumId="54">
    <w:nsid w:val="310C50B3"/>
    <w:multiLevelType w:val="hybridMultilevel"/>
    <w:lvl w:ilvl="0">
      <w:lvlJc w:val="left"/>
      <w:lvlText w:val="%1."/>
      <w:numFmt w:val="upperLetter"/>
      <w:start w:val="22"/>
    </w:lvl>
  </w:abstractNum>
  <w:abstractNum w:abstractNumId="55">
    <w:nsid w:val="5FF87E05"/>
    <w:multiLevelType w:val="hybridMultilevel"/>
    <w:lvl w:ilvl="0">
      <w:lvlJc w:val="left"/>
      <w:lvlText w:val="%1."/>
      <w:numFmt w:val="upperLetter"/>
      <w:start w:val="9"/>
    </w:lvl>
  </w:abstractNum>
  <w:abstractNum w:abstractNumId="56">
    <w:nsid w:val="2F305DEF"/>
    <w:multiLevelType w:val="hybridMultilevel"/>
    <w:lvl w:ilvl="0">
      <w:lvlJc w:val="left"/>
      <w:lvlText w:val="%1."/>
      <w:numFmt w:val="upperLetter"/>
      <w:start w:val="1"/>
    </w:lvl>
  </w:abstractNum>
  <w:abstractNum w:abstractNumId="57">
    <w:nsid w:val="25A70BF7"/>
    <w:multiLevelType w:val="hybridMultilevel"/>
    <w:lvl w:ilvl="0">
      <w:lvlJc w:val="left"/>
      <w:lvlText w:val="%1"/>
      <w:numFmt w:val="upperLetter"/>
      <w:start w:val="1"/>
    </w:lvl>
    <w:lvl w:ilvl="1">
      <w:lvlJc w:val="left"/>
      <w:lvlText w:val="%2."/>
      <w:numFmt w:val="upperLetter"/>
      <w:start w:val="4"/>
    </w:lvl>
  </w:abstractNum>
  <w:abstractNum w:abstractNumId="58">
    <w:nsid w:val="1DBABF00"/>
    <w:multiLevelType w:val="hybridMultilevel"/>
    <w:lvl w:ilvl="0">
      <w:lvlJc w:val="left"/>
      <w:lvlText w:val="%1."/>
      <w:numFmt w:val="upperLetter"/>
      <w:start w:val="35"/>
    </w:lvl>
    <w:lvl w:ilvl="1">
      <w:lvlJc w:val="left"/>
      <w:lvlText w:val="%2"/>
      <w:numFmt w:val="upperLetter"/>
      <w:start w:val="1"/>
    </w:lvl>
  </w:abstractNum>
  <w:abstractNum w:abstractNumId="59">
    <w:nsid w:val="4AD084E9"/>
    <w:multiLevelType w:val="hybridMultilevel"/>
    <w:lvl w:ilvl="0">
      <w:lvlJc w:val="left"/>
      <w:lvlText w:val="%1."/>
      <w:numFmt w:val="upperLetter"/>
      <w:start w:val="61"/>
    </w:lvl>
  </w:abstractNum>
  <w:abstractNum w:abstractNumId="60">
    <w:nsid w:val="1F48EAA1"/>
    <w:multiLevelType w:val="hybridMultilevel"/>
    <w:lvl w:ilvl="0">
      <w:lvlJc w:val="left"/>
      <w:lvlText w:val="%1."/>
      <w:numFmt w:val="upperLetter"/>
      <w:start w:val="1"/>
    </w:lvl>
  </w:abstractNum>
  <w:abstractNum w:abstractNumId="61">
    <w:nsid w:val="1381823A"/>
    <w:multiLevelType w:val="hybridMultilevel"/>
    <w:lvl w:ilvl="0">
      <w:lvlJc w:val="left"/>
      <w:lvlText w:val="%1."/>
      <w:numFmt w:val="upperLetter"/>
      <w:start w:val="22"/>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decimal"/>
      <w:start w:val="1"/>
    </w:lvl>
    <w:lvl w:ilvl="1">
      <w:lvlJc w:val="left"/>
      <w:lvlText w:val="(%2)"/>
      <w:numFmt w:val="lowerLetter"/>
      <w:start w:val="2"/>
    </w:lvl>
  </w:abstractNum>
  <w:abstractNum w:abstractNumId="66">
    <w:nsid w:val="5F5E7FD0"/>
    <w:multiLevelType w:val="hybridMultilevel"/>
    <w:lvl w:ilvl="0">
      <w:lvlJc w:val="left"/>
      <w:lvlText w:val="%1."/>
      <w:numFmt w:val="decimal"/>
      <w:start w:val="5"/>
    </w:lvl>
    <w:lvl w:ilvl="1">
      <w:lvlJc w:val="left"/>
      <w:lvlText w:val="(%2)"/>
      <w:numFmt w:val="low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2"/>
    </w:lvl>
  </w:abstractNum>
  <w:abstractNum w:abstractNumId="70">
    <w:nsid w:val="42C296BD"/>
    <w:multiLevelType w:val="hybridMultilevel"/>
    <w:lvl w:ilvl="0">
      <w:lvlJc w:val="left"/>
      <w:lvlText w:val="%1."/>
      <w:numFmt w:val="decimal"/>
      <w:start w:val="5"/>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6" Type="http://schemas.openxmlformats.org/officeDocument/2006/relationships/image" Target="media/image16.png"/><Relationship Id="rId52"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23" Type="http://schemas.openxmlformats.org/officeDocument/2006/relationships/hyperlink" Target="http://www.sec.gov/Archives/edgar/data/1575965/000110465913082396/a13-23794_2ex2d1.htm" TargetMode="External"/><Relationship Id="rId24" Type="http://schemas.openxmlformats.org/officeDocument/2006/relationships/hyperlink" Target="http://www.sec.gov/Archives/edgar/data/1575965/000157596515000036/glpi72215exhibit21.htm" TargetMode="External"/><Relationship Id="rId25" Type="http://schemas.openxmlformats.org/officeDocument/2006/relationships/hyperlink" Target="http://www.sec.gov/Archives/edgar/data/1575965/000157596516000098/exhibit21-amendmenttomerge.htm" TargetMode="External"/><Relationship Id="rId26" Type="http://schemas.openxmlformats.org/officeDocument/2006/relationships/hyperlink" Target="http://www.sec.gov/Archives/edgar/data/1575965/000119312516564256/d169218dex24.htm" TargetMode="External"/><Relationship Id="rId27" Type="http://schemas.openxmlformats.org/officeDocument/2006/relationships/hyperlink" Target="http://www.sec.gov/Archives/edgar/data/1575965/000157596516000118/glpi61168-kexhibit31.htm" TargetMode="External"/><Relationship Id="rId28" Type="http://schemas.openxmlformats.org/officeDocument/2006/relationships/hyperlink" Target="http://www.sec.gov/Archives/edgar/data/1575965/000157596516000118/glpi61168-kexhibit32.htm" TargetMode="External"/><Relationship Id="rId29" Type="http://schemas.openxmlformats.org/officeDocument/2006/relationships/hyperlink" Target="http://www.sec.gov/Archives/edgar/data/1575965/000110465913080098/a13-22016_6ex4d1.htm" TargetMode="External"/><Relationship Id="rId30" Type="http://schemas.openxmlformats.org/officeDocument/2006/relationships/hyperlink" Target="http://www.sec.gov/Archives/edgar/data/1575965/000119312516519802/d155565dex41.htm" TargetMode="External"/><Relationship Id="rId31" Type="http://schemas.openxmlformats.org/officeDocument/2006/relationships/hyperlink" Target="http://www.sec.gov/Archives/edgar/data/1575965/000119312516564256/d169218dex43.htm" TargetMode="External"/><Relationship Id="rId32" Type="http://schemas.openxmlformats.org/officeDocument/2006/relationships/hyperlink" Target="http://www.sec.gov/Archives/edgar/data/1575965/000119312516564256/d169218dex44.htm" TargetMode="External"/><Relationship Id="rId33" Type="http://schemas.openxmlformats.org/officeDocument/2006/relationships/hyperlink" Target="http://www.sec.gov/Archives/edgar/data/1575965/000110465913080098/a13-22016_6ex4d2.htm" TargetMode="External"/><Relationship Id="rId34" Type="http://schemas.openxmlformats.org/officeDocument/2006/relationships/hyperlink" Target="http://www.sec.gov/Archives/edgar/data/1575965/000110465913080098/a13-22016_6ex4d3.htm" TargetMode="External"/><Relationship Id="rId35" Type="http://schemas.openxmlformats.org/officeDocument/2006/relationships/hyperlink" Target="http://www.sec.gov/Archives/edgar/data/1575965/000110465913080098/a13-22016_6ex10d1.htm" TargetMode="External"/><Relationship Id="rId37" Type="http://schemas.openxmlformats.org/officeDocument/2006/relationships/hyperlink" Target="http://www.sec.gov/Archives/edgar/data/1575965/000110465913080098/a13-22016_6ex10d2.htm" TargetMode="External"/><Relationship Id="rId38" Type="http://schemas.openxmlformats.org/officeDocument/2006/relationships/hyperlink" Target="http://www.sec.gov/Archives/edgar/data/1575965/000110465913080098/a13-22016_6ex10d3.htm" TargetMode="External"/><Relationship Id="rId39" Type="http://schemas.openxmlformats.org/officeDocument/2006/relationships/hyperlink" Target="http://www.sec.gov/Archives/edgar/data/1575965/000110465913080098/a13-22016_6ex10d4.htm" TargetMode="External"/><Relationship Id="rId40" Type="http://schemas.openxmlformats.org/officeDocument/2006/relationships/hyperlink" Target="http://www.sec.gov/Archives/edgar/data/1575965/000119312515306851/d18100dex102.htm" TargetMode="External"/><Relationship Id="rId41" Type="http://schemas.openxmlformats.org/officeDocument/2006/relationships/hyperlink" Target="http://www.sec.gov/Archives/edgar/data/1575965/000157596516000098/exhibit101amendmenttocredi.htm" TargetMode="External"/><Relationship Id="rId42" Type="http://schemas.openxmlformats.org/officeDocument/2006/relationships/hyperlink" Target="http://www.sec.gov/Archives/edgar/data/1575965/000110465913082396/a13-23794_2ex10d1.htm" TargetMode="External"/><Relationship Id="rId43" Type="http://schemas.openxmlformats.org/officeDocument/2006/relationships/hyperlink" Target="http://www.sec.gov/Archives/edgar/data/1575965/000110465914037525/a14-12326_1ex10d1.htm" TargetMode="External"/><Relationship Id="rId44" Type="http://schemas.openxmlformats.org/officeDocument/2006/relationships/hyperlink" Target="http://www.sec.gov/Archives/edgar/data/1575965/000110465914055690/a14-14237_1ex10d1.htm" TargetMode="External"/><Relationship Id="rId45" Type="http://schemas.openxmlformats.org/officeDocument/2006/relationships/hyperlink" Target="http://www.sec.gov/Archives/edgar/data/1575965/000157596516000134/glpi-2016930exhibit102.htm" TargetMode="External"/><Relationship Id="rId46" Type="http://schemas.openxmlformats.org/officeDocument/2006/relationships/hyperlink" Target="http://www.sec.gov/Archives/edgar/data/1575965/000157596517000022/glpi-2017331exhibit102.htm" TargetMode="External"/><Relationship Id="rId47" Type="http://schemas.openxmlformats.org/officeDocument/2006/relationships/hyperlink" Target="http://www.sec.gov/Archives/edgar/data/1575965/000119312516564256/d169218dex23.htm" TargetMode="External"/><Relationship Id="rId48" Type="http://schemas.openxmlformats.org/officeDocument/2006/relationships/hyperlink" Target="http://www.sec.gov/Archives/edgar/data/1575965/000157596516000134/glpi-2016930exhibit101.htm" TargetMode="External"/><Relationship Id="rId49" Type="http://schemas.openxmlformats.org/officeDocument/2006/relationships/hyperlink" Target="http://www.sec.gov/Archives/edgar/data/1575965/000157596517000006/glpi-20161231exhibit1013.htm" TargetMode="External"/><Relationship Id="rId50" Type="http://schemas.openxmlformats.org/officeDocument/2006/relationships/hyperlink" Target="http://www.sec.gov/Archives/edgar/data/1575965/000157596517000022/glpi-2017331exhibit101.htm" TargetMode="External"/><Relationship Id="rId51" Type="http://schemas.openxmlformats.org/officeDocument/2006/relationships/hyperlink" Target="http://www.sec.gov/Archives/edgar/data/1575965/000157596517000039/exhibit101consentagreement.htm" TargetMode="External"/><Relationship Id="rId53" Type="http://schemas.openxmlformats.org/officeDocument/2006/relationships/hyperlink" Target="http://www.sec.gov/Archives/edgar/data/1575965/000110465913082396/a13-23794_2ex10d2.htm" TargetMode="External"/><Relationship Id="rId54" Type="http://schemas.openxmlformats.org/officeDocument/2006/relationships/hyperlink" Target="http://www.sec.gov/Archives/edgar/data/1575965/000157596515000036/glpi72215exhibit101.htm" TargetMode="External"/><Relationship Id="rId55" Type="http://schemas.openxmlformats.org/officeDocument/2006/relationships/hyperlink" Target="http://www.sec.gov/Archives/edgar/data/1575965/000110465913082396/a13-23794_2ex10d3.htm" TargetMode="External"/><Relationship Id="rId56" Type="http://schemas.openxmlformats.org/officeDocument/2006/relationships/hyperlink" Target="http://www.sec.gov/Archives/edgar/data/1575965/000110465913082396/a13-23794_2ex10d4.htm" TargetMode="External"/><Relationship Id="rId57" Type="http://schemas.openxmlformats.org/officeDocument/2006/relationships/hyperlink" Target="http://www.sec.gov/Archives/edgar/data/1575965/000119312516564256/d169218dex25.htm" TargetMode="External"/><Relationship Id="rId58" Type="http://schemas.openxmlformats.org/officeDocument/2006/relationships/hyperlink" Target="http://www.sec.gov/Archives/edgar/data/1575965/000110465913079692/a13-23096_1ex10d1.htm" TargetMode="External"/><Relationship Id="rId59" Type="http://schemas.openxmlformats.org/officeDocument/2006/relationships/hyperlink" Target="http://www.sec.gov/Archives/edgar/data/1575965/000157596517000006/glpi-20161231exhibit48.htm" TargetMode="External"/><Relationship Id="rId60" Type="http://schemas.openxmlformats.org/officeDocument/2006/relationships/hyperlink" Target="http://www.sec.gov/Archives/edgar/data/1575965/000157596517000006/glpi-20161231exhibiit49.htm" TargetMode="External"/><Relationship Id="rId61" Type="http://schemas.openxmlformats.org/officeDocument/2006/relationships/hyperlink" Target="http://www.sec.gov/Archives/edgar/data/1575965/000157596515000014/glpi-2015331exhibit42.htm" TargetMode="External"/><Relationship Id="rId62" Type="http://schemas.openxmlformats.org/officeDocument/2006/relationships/hyperlink" Target="http://www.sec.gov/Archives/edgar/data/1575965/000157596516000091/glpi-20151231exhibit1014.htm" TargetMode="External"/><Relationship Id="rId63" Type="http://schemas.openxmlformats.org/officeDocument/2006/relationships/hyperlink" Target="http://www.sec.gov/Archives/edgar/data/1575965/000157596514000011/glpi-2014930exhibit101.htm" TargetMode="External"/><Relationship Id="rId64" Type="http://schemas.openxmlformats.org/officeDocument/2006/relationships/hyperlink" Target="http://www.sec.gov/Archives/edgar/data/1575965/000157596514000011/glpi-2014930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2019-12-29T01:03:01Z</dcterms:created>
  <dcterms:modified xsi:type="dcterms:W3CDTF">2019-12-29T01:03:01Z</dcterms:modified>
</cp:coreProperties>
</file>