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42"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88"/>
              </w:rPr>
              <w:t>Pennsylvania</w:t>
            </w:r>
          </w:p>
        </w:tc>
        <w:tc>
          <w:tcPr>
            <w:tcW w:w="328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46-2116489</w:t>
            </w:r>
          </w:p>
        </w:tc>
      </w:tr>
      <w:tr>
        <w:trPr>
          <w:trHeight w:val="270"/>
        </w:trPr>
        <w:tc>
          <w:tcPr>
            <w:tcW w:w="4100" w:type="dxa"/>
            <w:vAlign w:val="bottom"/>
          </w:tcPr>
          <w:p>
            <w:pPr>
              <w:jc w:val="center"/>
              <w:ind w:right="1830"/>
              <w:spacing w:after="0"/>
              <w:rPr>
                <w:sz w:val="20"/>
                <w:szCs w:val="20"/>
                <w:color w:val="auto"/>
              </w:rPr>
            </w:pPr>
            <w:r>
              <w:rPr>
                <w:rFonts w:ascii="Arial" w:cs="Arial" w:eastAsia="Arial" w:hAnsi="Arial"/>
                <w:sz w:val="18"/>
                <w:szCs w:val="18"/>
                <w:color w:val="auto"/>
                <w:w w:val="93"/>
              </w:rPr>
              <w:t>(State or other jurisdiction of</w:t>
            </w:r>
          </w:p>
        </w:tc>
        <w:tc>
          <w:tcPr>
            <w:tcW w:w="3280" w:type="dxa"/>
            <w:vAlign w:val="bottom"/>
          </w:tcPr>
          <w:p>
            <w:pPr>
              <w:jc w:val="center"/>
              <w:ind w:left="1830"/>
              <w:spacing w:after="0"/>
              <w:rPr>
                <w:sz w:val="20"/>
                <w:szCs w:val="20"/>
                <w:color w:val="auto"/>
              </w:rPr>
            </w:pPr>
            <w:r>
              <w:rPr>
                <w:rFonts w:ascii="Arial" w:cs="Arial" w:eastAsia="Arial" w:hAnsi="Arial"/>
                <w:sz w:val="18"/>
                <w:szCs w:val="18"/>
                <w:color w:val="auto"/>
                <w:w w:val="93"/>
              </w:rPr>
              <w:t>(I.R.S. Employer</w:t>
            </w:r>
          </w:p>
        </w:tc>
      </w:tr>
      <w:tr>
        <w:trPr>
          <w:trHeight w:val="270"/>
        </w:trPr>
        <w:tc>
          <w:tcPr>
            <w:tcW w:w="4100" w:type="dxa"/>
            <w:vAlign w:val="bottom"/>
          </w:tcPr>
          <w:p>
            <w:pPr>
              <w:jc w:val="center"/>
              <w:ind w:right="1830"/>
              <w:spacing w:after="0"/>
              <w:rPr>
                <w:sz w:val="20"/>
                <w:szCs w:val="20"/>
                <w:color w:val="auto"/>
              </w:rPr>
            </w:pPr>
            <w:r>
              <w:rPr>
                <w:rFonts w:ascii="Arial" w:cs="Arial" w:eastAsia="Arial" w:hAnsi="Arial"/>
                <w:sz w:val="18"/>
                <w:szCs w:val="18"/>
                <w:color w:val="auto"/>
                <w:w w:val="93"/>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bl>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610-401-2900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Not Applicable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40" w:lineRule="exact"/>
        <w:rPr>
          <w:sz w:val="24"/>
          <w:szCs w:val="24"/>
          <w:color w:val="auto"/>
        </w:rPr>
      </w:pPr>
    </w:p>
    <w:tbl>
      <w:tblPr>
        <w:tblLayout w:type="fixed"/>
        <w:tblInd w:w="350" w:type="dxa"/>
        <w:tblCellMar>
          <w:top w:w="0" w:type="dxa"/>
          <w:left w:w="0" w:type="dxa"/>
          <w:bottom w:w="0" w:type="dxa"/>
          <w:right w:w="0" w:type="dxa"/>
        </w:tblCellMar>
      </w:tblPr>
      <w:tr>
        <w:trPr>
          <w:trHeight w:val="264"/>
        </w:trPr>
        <w:tc>
          <w:tcPr>
            <w:tcW w:w="3580" w:type="dxa"/>
            <w:vAlign w:val="bottom"/>
            <w:tcBorders>
              <w:top w:val="single" w:sz="8" w:color="auto"/>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Title of each class</w:t>
            </w:r>
          </w:p>
        </w:tc>
        <w:tc>
          <w:tcPr>
            <w:tcW w:w="420" w:type="dxa"/>
            <w:vAlign w:val="bottom"/>
            <w:tcBorders>
              <w:right w:val="single" w:sz="8" w:color="auto"/>
            </w:tcBorders>
          </w:tcPr>
          <w:p>
            <w:pPr>
              <w:spacing w:after="0"/>
              <w:rPr>
                <w:sz w:val="22"/>
                <w:szCs w:val="22"/>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20" w:type="dxa"/>
            <w:vAlign w:val="bottom"/>
            <w:tcBorders>
              <w:right w:val="single" w:sz="8" w:color="auto"/>
            </w:tcBorders>
          </w:tcPr>
          <w:p>
            <w:pPr>
              <w:spacing w:after="0"/>
              <w:rPr>
                <w:sz w:val="22"/>
                <w:szCs w:val="22"/>
                <w:color w:val="auto"/>
              </w:rPr>
            </w:pP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0"/>
        </w:trPr>
        <w:tc>
          <w:tcPr>
            <w:tcW w:w="3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par value $.01 per share</w:t>
            </w:r>
          </w:p>
        </w:tc>
        <w:tc>
          <w:tcPr>
            <w:tcW w:w="420" w:type="dxa"/>
            <w:vAlign w:val="bottom"/>
            <w:tcBorders>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GLPI</w:t>
            </w:r>
          </w:p>
        </w:tc>
        <w:tc>
          <w:tcPr>
            <w:tcW w:w="420" w:type="dxa"/>
            <w:vAlign w:val="bottom"/>
            <w:tcBorders>
              <w:right w:val="single" w:sz="8" w:color="auto"/>
            </w:tcBorders>
          </w:tcPr>
          <w:p>
            <w:pPr>
              <w:spacing w:after="0"/>
              <w:rPr>
                <w:sz w:val="21"/>
                <w:szCs w:val="21"/>
                <w:color w:val="auto"/>
              </w:rPr>
            </w:pP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Nasdaq</w:t>
            </w:r>
          </w:p>
        </w:tc>
      </w:tr>
    </w:tbl>
    <w:p>
      <w:pPr>
        <w:spacing w:after="0" w:line="104" w:lineRule="exact"/>
        <w:rPr>
          <w:sz w:val="24"/>
          <w:szCs w:val="24"/>
          <w:color w:val="auto"/>
        </w:rPr>
      </w:pPr>
    </w:p>
    <w:p>
      <w:pPr>
        <w:jc w:val="both"/>
        <w:ind w:right="180" w:firstLine="324"/>
        <w:spacing w:after="0" w:line="22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p>
    <w:p>
      <w:pPr>
        <w:spacing w:after="0" w:line="86" w:lineRule="exact"/>
        <w:rPr>
          <w:sz w:val="24"/>
          <w:szCs w:val="24"/>
          <w:color w:val="auto"/>
        </w:rPr>
      </w:pPr>
    </w:p>
    <w:p>
      <w:pPr>
        <w:ind w:right="700" w:firstLine="367"/>
        <w:spacing w:after="0" w:line="22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p>
    <w:p>
      <w:pPr>
        <w:spacing w:after="0" w:line="86" w:lineRule="exact"/>
        <w:rPr>
          <w:sz w:val="24"/>
          <w:szCs w:val="24"/>
          <w:color w:val="auto"/>
        </w:rPr>
      </w:pPr>
    </w:p>
    <w:p>
      <w:pPr>
        <w:ind w:firstLine="367"/>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6" w:lineRule="exact"/>
        <w:rPr>
          <w:sz w:val="24"/>
          <w:szCs w:val="24"/>
          <w:color w:val="auto"/>
        </w:rPr>
      </w:pPr>
    </w:p>
    <w:tbl>
      <w:tblPr>
        <w:tblLayout w:type="fixed"/>
        <w:tblInd w:w="2380" w:type="dxa"/>
        <w:tblCellMar>
          <w:top w:w="0" w:type="dxa"/>
          <w:left w:w="0" w:type="dxa"/>
          <w:bottom w:w="0" w:type="dxa"/>
          <w:right w:w="0" w:type="dxa"/>
        </w:tblCellMar>
      </w:tblPr>
      <w:tr>
        <w:trPr>
          <w:trHeight w:val="283"/>
        </w:trPr>
        <w:tc>
          <w:tcPr>
            <w:tcW w:w="2040" w:type="dxa"/>
            <w:vAlign w:val="bottom"/>
          </w:tcPr>
          <w:p>
            <w:pPr>
              <w:jc w:val="center"/>
              <w:ind w:right="330"/>
              <w:spacing w:after="0"/>
              <w:rPr>
                <w:sz w:val="20"/>
                <w:szCs w:val="20"/>
                <w:color w:val="auto"/>
              </w:rPr>
            </w:pPr>
            <w:r>
              <w:rPr>
                <w:rFonts w:ascii="Arial" w:cs="Arial" w:eastAsia="Arial" w:hAnsi="Arial"/>
                <w:sz w:val="18"/>
                <w:szCs w:val="18"/>
                <w:color w:val="auto"/>
                <w:w w:val="90"/>
              </w:rPr>
              <w:t>Large accelerated filer</w:t>
            </w:r>
          </w:p>
        </w:tc>
        <w:tc>
          <w:tcPr>
            <w:tcW w:w="12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jc w:val="center"/>
              <w:ind w:left="10"/>
              <w:spacing w:after="0"/>
              <w:rPr>
                <w:sz w:val="20"/>
                <w:szCs w:val="20"/>
                <w:color w:val="auto"/>
              </w:rPr>
            </w:pPr>
            <w:r>
              <w:rPr>
                <w:rFonts w:ascii="Arial" w:cs="Arial" w:eastAsia="Arial" w:hAnsi="Arial"/>
                <w:sz w:val="18"/>
                <w:szCs w:val="18"/>
                <w:color w:val="auto"/>
                <w:w w:val="92"/>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40"/>
        </w:trPr>
        <w:tc>
          <w:tcPr>
            <w:tcW w:w="2040" w:type="dxa"/>
            <w:vAlign w:val="bottom"/>
          </w:tcPr>
          <w:p>
            <w:pPr>
              <w:jc w:val="center"/>
              <w:ind w:right="310"/>
              <w:spacing w:after="0"/>
              <w:rPr>
                <w:sz w:val="20"/>
                <w:szCs w:val="20"/>
                <w:color w:val="auto"/>
              </w:rPr>
            </w:pPr>
            <w:r>
              <w:rPr>
                <w:rFonts w:ascii="Arial" w:cs="Arial" w:eastAsia="Arial" w:hAnsi="Arial"/>
                <w:sz w:val="18"/>
                <w:szCs w:val="18"/>
                <w:color w:val="auto"/>
                <w:w w:val="91"/>
              </w:rPr>
              <w:t>Non-accelerated filer</w:t>
            </w:r>
          </w:p>
        </w:tc>
        <w:tc>
          <w:tcPr>
            <w:tcW w:w="12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jc w:val="center"/>
              <w:ind w:left="50"/>
              <w:spacing w:after="0"/>
              <w:rPr>
                <w:sz w:val="20"/>
                <w:szCs w:val="20"/>
                <w:color w:val="auto"/>
              </w:rPr>
            </w:pPr>
            <w:r>
              <w:rPr>
                <w:rFonts w:ascii="Arial" w:cs="Arial" w:eastAsia="Arial" w:hAnsi="Arial"/>
                <w:sz w:val="18"/>
                <w:szCs w:val="18"/>
                <w:color w:val="auto"/>
                <w:w w:val="91"/>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tcPr>
          <w:p>
            <w:pPr>
              <w:jc w:val="center"/>
              <w:ind w:left="50"/>
              <w:spacing w:after="0"/>
              <w:rPr>
                <w:sz w:val="20"/>
                <w:szCs w:val="20"/>
                <w:color w:val="auto"/>
              </w:rPr>
            </w:pPr>
            <w:r>
              <w:rPr>
                <w:rFonts w:ascii="Arial" w:cs="Arial" w:eastAsia="Arial" w:hAnsi="Arial"/>
                <w:sz w:val="18"/>
                <w:szCs w:val="18"/>
                <w:color w:val="auto"/>
                <w:w w:val="91"/>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1" w:lineRule="exact"/>
        <w:rPr>
          <w:sz w:val="24"/>
          <w:szCs w:val="24"/>
          <w:color w:val="auto"/>
        </w:rPr>
      </w:pPr>
    </w:p>
    <w:p>
      <w:pPr>
        <w:ind w:right="360" w:firstLine="324"/>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jc w:val="both"/>
        <w:ind w:left="340" w:right="224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6"/>
          <w:szCs w:val="16"/>
          <w:color w:val="auto"/>
        </w:rPr>
        <w:t>Indicate the number of shares outstanding of each of the issuer’s classes of common stock, as of the latest practicable date.</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44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October 24, 2019</w:t>
            </w:r>
          </w:p>
        </w:tc>
      </w:tr>
      <w:tr>
        <w:trPr>
          <w:trHeight w:val="190"/>
        </w:trPr>
        <w:tc>
          <w:tcPr>
            <w:tcW w:w="564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Common Stock, par value $.01 per share</w:t>
            </w:r>
          </w:p>
        </w:tc>
        <w:tc>
          <w:tcPr>
            <w:tcW w:w="5180" w:type="dxa"/>
            <w:vAlign w:val="bottom"/>
          </w:tcPr>
          <w:p>
            <w:pPr>
              <w:jc w:val="right"/>
              <w:ind w:right="2148"/>
              <w:spacing w:after="0"/>
              <w:rPr>
                <w:sz w:val="20"/>
                <w:szCs w:val="20"/>
                <w:color w:val="auto"/>
              </w:rPr>
            </w:pPr>
            <w:r>
              <w:rPr>
                <w:rFonts w:ascii="Arial" w:cs="Arial" w:eastAsia="Arial" w:hAnsi="Arial"/>
                <w:sz w:val="14"/>
                <w:szCs w:val="14"/>
                <w:color w:val="auto"/>
              </w:rPr>
              <w:t>214,692,577</w:t>
            </w:r>
          </w:p>
        </w:tc>
      </w:tr>
    </w:tbl>
    <w:p>
      <w:pPr>
        <w:sectPr>
          <w:pgSz w:w="11900" w:h="16838" w:orient="portrait"/>
          <w:cols w:equalWidth="0" w:num="1">
            <w:col w:w="11400"/>
          </w:cols>
          <w:pgMar w:left="240" w:top="238" w:right="25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3" w:lineRule="exact"/>
        <w:rPr>
          <w:sz w:val="20"/>
          <w:szCs w:val="20"/>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the mortgage loan made to Eldorado Resorts, Inc. ("Eldorado") by way of substitution of one or more additional Eldorado properties acceptable to Eldorado and the Company, which will be transferred to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refinancings due to maturities;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GLPI's obligation to indemnify Penn National Gaming, Inc. and its subsidiaries in certain circumstances if the spin-off transaction described in Note 1 to the condensed consolidated financial statements fails to be tax-free;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REITs or to the gaming, lodging or hospitality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additional factors as discussed in the Company’s Annual Report on Form 10-K for the year ended December 31, 2018 (our "Annual Report"), in this Quarterly Report on Form 10-Q and Current Reports on Form 8-K as filed with the United States Securities and Exchange Commission.</w:t>
      </w:r>
    </w:p>
    <w:p>
      <w:pPr>
        <w:spacing w:after="0" w:line="147"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PART I.</w:t>
              </w:r>
            </w:hyperlink>
          </w:p>
        </w:tc>
        <w:tc>
          <w:tcPr>
            <w:tcW w:w="1260" w:type="dxa"/>
            <w:vAlign w:val="bottom"/>
            <w:gridSpan w:val="4"/>
          </w:tcPr>
          <w:p>
            <w:pPr>
              <w:spacing w:after="0"/>
              <w:rPr>
                <w:sz w:val="17"/>
                <w:szCs w:val="17"/>
                <w:color w:val="auto"/>
              </w:rPr>
            </w:pPr>
          </w:p>
        </w:tc>
        <w:tc>
          <w:tcPr>
            <w:tcW w:w="2240" w:type="dxa"/>
            <w:vAlign w:val="bottom"/>
            <w:gridSpan w:val="8"/>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INFORMATION</w:t>
              </w:r>
            </w:hyperlink>
          </w:p>
        </w:tc>
        <w:tc>
          <w:tcPr>
            <w:tcW w:w="6620" w:type="dxa"/>
            <w:vAlign w:val="bottom"/>
            <w:gridSpan w:val="12"/>
          </w:tcPr>
          <w:p>
            <w:pPr>
              <w:spacing w:after="0"/>
              <w:rPr>
                <w:sz w:val="17"/>
                <w:szCs w:val="17"/>
                <w:color w:val="auto"/>
              </w:rPr>
            </w:pPr>
          </w:p>
        </w:tc>
        <w:tc>
          <w:tcPr>
            <w:tcW w:w="380" w:type="dxa"/>
            <w:vAlign w:val="bottom"/>
            <w:gridSpan w:val="4"/>
          </w:tcPr>
          <w:p>
            <w:pPr>
              <w:jc w:val="center"/>
              <w:ind w:left="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ITEM 1.</w:t>
              </w:r>
            </w:hyperlink>
          </w:p>
        </w:tc>
        <w:tc>
          <w:tcPr>
            <w:tcW w:w="1260" w:type="dxa"/>
            <w:vAlign w:val="bottom"/>
            <w:gridSpan w:val="4"/>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80" w:type="dxa"/>
            <w:vAlign w:val="bottom"/>
            <w:gridSpan w:val="4"/>
          </w:tcPr>
          <w:p>
            <w:pPr>
              <w:jc w:val="center"/>
              <w:ind w:left="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September 30, 2019 and December 31, 2018</w:t>
              </w:r>
            </w:hyperlink>
          </w:p>
        </w:tc>
        <w:tc>
          <w:tcPr>
            <w:tcW w:w="380" w:type="dxa"/>
            <w:vAlign w:val="bottom"/>
            <w:gridSpan w:val="4"/>
          </w:tcPr>
          <w:p>
            <w:pPr>
              <w:jc w:val="center"/>
              <w:ind w:left="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980" w:type="dxa"/>
            <w:vAlign w:val="bottom"/>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 Three and Nine Months Ended September 30, 2019 and 2018</w:t>
              </w:r>
            </w:hyperlink>
          </w:p>
        </w:tc>
        <w:tc>
          <w:tcPr>
            <w:tcW w:w="880" w:type="dxa"/>
            <w:vAlign w:val="bottom"/>
            <w:gridSpan w:val="2"/>
          </w:tcPr>
          <w:p>
            <w:pPr>
              <w:spacing w:after="0"/>
              <w:rPr>
                <w:sz w:val="21"/>
                <w:szCs w:val="21"/>
                <w:color w:val="auto"/>
              </w:rPr>
            </w:pPr>
          </w:p>
        </w:tc>
        <w:tc>
          <w:tcPr>
            <w:tcW w:w="380" w:type="dxa"/>
            <w:vAlign w:val="bottom"/>
            <w:gridSpan w:val="4"/>
          </w:tcPr>
          <w:p>
            <w:pPr>
              <w:jc w:val="center"/>
              <w:ind w:left="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Condensed Consolidated Statements of Changes in Shareholders' Equity - Three and Nine Months Ended September 30,</w:t>
              </w:r>
            </w:hyperlink>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2019 and 2018</w:t>
              </w:r>
            </w:hyperlink>
          </w:p>
        </w:tc>
        <w:tc>
          <w:tcPr>
            <w:tcW w:w="200" w:type="dxa"/>
            <w:vAlign w:val="bottom"/>
          </w:tcPr>
          <w:p>
            <w:pPr>
              <w:spacing w:after="0"/>
              <w:rPr>
                <w:sz w:val="17"/>
                <w:szCs w:val="17"/>
                <w:color w:val="auto"/>
              </w:rPr>
            </w:pPr>
          </w:p>
        </w:tc>
        <w:tc>
          <w:tcPr>
            <w:tcW w:w="380" w:type="dxa"/>
            <w:vAlign w:val="bottom"/>
            <w:gridSpan w:val="4"/>
          </w:tcPr>
          <w:p>
            <w:pPr>
              <w:jc w:val="center"/>
              <w:ind w:left="9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 Nine Months Ended September 30, 2019 and 2018</w:t>
              </w:r>
            </w:hyperlink>
          </w:p>
        </w:tc>
        <w:tc>
          <w:tcPr>
            <w:tcW w:w="380" w:type="dxa"/>
            <w:vAlign w:val="bottom"/>
            <w:gridSpan w:val="4"/>
          </w:tcPr>
          <w:p>
            <w:pPr>
              <w:jc w:val="center"/>
              <w:ind w:left="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60" w:type="dxa"/>
            <w:vAlign w:val="bottom"/>
            <w:gridSpan w:val="12"/>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3240" w:type="dxa"/>
            <w:vAlign w:val="bottom"/>
            <w:gridSpan w:val="4"/>
          </w:tcPr>
          <w:p>
            <w:pPr>
              <w:spacing w:after="0"/>
              <w:rPr>
                <w:sz w:val="21"/>
                <w:szCs w:val="21"/>
                <w:color w:val="auto"/>
              </w:rPr>
            </w:pPr>
          </w:p>
        </w:tc>
        <w:tc>
          <w:tcPr>
            <w:tcW w:w="1360" w:type="dxa"/>
            <w:vAlign w:val="bottom"/>
            <w:gridSpan w:val="4"/>
          </w:tcPr>
          <w:p>
            <w:pPr>
              <w:spacing w:after="0"/>
              <w:rPr>
                <w:sz w:val="21"/>
                <w:szCs w:val="21"/>
                <w:color w:val="auto"/>
              </w:rPr>
            </w:pPr>
          </w:p>
        </w:tc>
        <w:tc>
          <w:tcPr>
            <w:tcW w:w="380" w:type="dxa"/>
            <w:vAlign w:val="bottom"/>
            <w:gridSpan w:val="4"/>
          </w:tcPr>
          <w:p>
            <w:pPr>
              <w:jc w:val="center"/>
              <w:ind w:left="9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ITEM 2.</w:t>
              </w:r>
            </w:hyperlink>
          </w:p>
        </w:tc>
        <w:tc>
          <w:tcPr>
            <w:tcW w:w="1260" w:type="dxa"/>
            <w:vAlign w:val="bottom"/>
            <w:gridSpan w:val="4"/>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w:t>
              </w:r>
            </w:hyperlink>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OPERATIONS</w:t>
              </w:r>
            </w:hyperlink>
          </w:p>
        </w:tc>
        <w:tc>
          <w:tcPr>
            <w:tcW w:w="6660" w:type="dxa"/>
            <w:vAlign w:val="bottom"/>
            <w:tcBorders>
              <w:top w:val="single" w:sz="8" w:color="0000EE"/>
            </w:tcBorders>
            <w:gridSpan w:val="14"/>
          </w:tcPr>
          <w:p>
            <w:pPr>
              <w:spacing w:after="0"/>
              <w:rPr>
                <w:sz w:val="17"/>
                <w:szCs w:val="17"/>
                <w:color w:val="auto"/>
              </w:rPr>
            </w:pPr>
          </w:p>
        </w:tc>
        <w:tc>
          <w:tcPr>
            <w:tcW w:w="1100" w:type="dxa"/>
            <w:vAlign w:val="bottom"/>
            <w:gridSpan w:val="3"/>
          </w:tcPr>
          <w:p>
            <w:pPr>
              <w:spacing w:after="0"/>
              <w:rPr>
                <w:sz w:val="17"/>
                <w:szCs w:val="17"/>
                <w:color w:val="auto"/>
              </w:rPr>
            </w:pPr>
          </w:p>
        </w:tc>
        <w:tc>
          <w:tcPr>
            <w:tcW w:w="380" w:type="dxa"/>
            <w:vAlign w:val="bottom"/>
            <w:gridSpan w:val="4"/>
          </w:tcPr>
          <w:p>
            <w:pPr>
              <w:jc w:val="center"/>
              <w:ind w:left="110"/>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6140" w:type="dxa"/>
            <w:vAlign w:val="bottom"/>
            <w:gridSpan w:val="14"/>
          </w:tcPr>
          <w:p>
            <w:pPr>
              <w:spacing w:after="0"/>
              <w:rPr>
                <w:rFonts w:ascii="Arial" w:cs="Arial" w:eastAsia="Arial" w:hAnsi="Arial"/>
                <w:sz w:val="18"/>
                <w:szCs w:val="18"/>
                <w:color w:val="0000EE"/>
                <w:w w:val="98"/>
              </w:rPr>
            </w:pPr>
            <w:hyperlink w:anchor="page51">
              <w:r>
                <w:rPr>
                  <w:rFonts w:ascii="Arial" w:cs="Arial" w:eastAsia="Arial" w:hAnsi="Arial"/>
                  <w:sz w:val="18"/>
                  <w:szCs w:val="18"/>
                  <w:color w:val="0000EE"/>
                  <w:w w:val="98"/>
                </w:rPr>
                <w:t>QUANTITATIVE AND QUALITATIVE DISCLOSURES ABOUT MARKET RISK</w:t>
              </w:r>
            </w:hyperlink>
          </w:p>
        </w:tc>
        <w:tc>
          <w:tcPr>
            <w:tcW w:w="2720" w:type="dxa"/>
            <w:vAlign w:val="bottom"/>
            <w:gridSpan w:val="6"/>
          </w:tcPr>
          <w:p>
            <w:pPr>
              <w:spacing w:after="0"/>
              <w:rPr>
                <w:sz w:val="24"/>
                <w:szCs w:val="24"/>
                <w:color w:val="auto"/>
              </w:rPr>
            </w:pPr>
          </w:p>
        </w:tc>
        <w:tc>
          <w:tcPr>
            <w:tcW w:w="380" w:type="dxa"/>
            <w:vAlign w:val="bottom"/>
            <w:gridSpan w:val="4"/>
          </w:tcPr>
          <w:p>
            <w:pPr>
              <w:jc w:val="center"/>
              <w:ind w:left="11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600" w:type="dxa"/>
            <w:vAlign w:val="bottom"/>
            <w:gridSpan w:val="10"/>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CONTROLS AND PROCEDURES</w:t>
              </w:r>
            </w:hyperlink>
          </w:p>
        </w:tc>
        <w:tc>
          <w:tcPr>
            <w:tcW w:w="3540" w:type="dxa"/>
            <w:vAlign w:val="bottom"/>
            <w:gridSpan w:val="4"/>
          </w:tcPr>
          <w:p>
            <w:pPr>
              <w:spacing w:after="0"/>
              <w:rPr>
                <w:sz w:val="24"/>
                <w:szCs w:val="24"/>
                <w:color w:val="auto"/>
              </w:rPr>
            </w:pPr>
          </w:p>
        </w:tc>
        <w:tc>
          <w:tcPr>
            <w:tcW w:w="2720" w:type="dxa"/>
            <w:vAlign w:val="bottom"/>
            <w:gridSpan w:val="6"/>
          </w:tcPr>
          <w:p>
            <w:pPr>
              <w:spacing w:after="0"/>
              <w:rPr>
                <w:sz w:val="24"/>
                <w:szCs w:val="24"/>
                <w:color w:val="auto"/>
              </w:rPr>
            </w:pPr>
          </w:p>
        </w:tc>
        <w:tc>
          <w:tcPr>
            <w:tcW w:w="380" w:type="dxa"/>
            <w:vAlign w:val="bottom"/>
            <w:gridSpan w:val="4"/>
          </w:tcPr>
          <w:p>
            <w:pPr>
              <w:jc w:val="center"/>
              <w:ind w:left="11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PART II.</w:t>
              </w:r>
            </w:hyperlink>
          </w:p>
        </w:tc>
        <w:tc>
          <w:tcPr>
            <w:tcW w:w="1200" w:type="dxa"/>
            <w:vAlign w:val="bottom"/>
            <w:gridSpan w:val="3"/>
          </w:tcPr>
          <w:p>
            <w:pPr>
              <w:spacing w:after="0"/>
              <w:rPr>
                <w:sz w:val="24"/>
                <w:szCs w:val="24"/>
                <w:color w:val="auto"/>
              </w:rPr>
            </w:pPr>
          </w:p>
        </w:tc>
        <w:tc>
          <w:tcPr>
            <w:tcW w:w="1860" w:type="dxa"/>
            <w:vAlign w:val="bottom"/>
            <w:gridSpan w:val="6"/>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OTHER INFORMATION</w:t>
              </w:r>
            </w:hyperlink>
          </w:p>
        </w:tc>
        <w:tc>
          <w:tcPr>
            <w:tcW w:w="7000" w:type="dxa"/>
            <w:vAlign w:val="bottom"/>
            <w:gridSpan w:val="14"/>
          </w:tcPr>
          <w:p>
            <w:pPr>
              <w:spacing w:after="0"/>
              <w:rPr>
                <w:sz w:val="24"/>
                <w:szCs w:val="24"/>
                <w:color w:val="auto"/>
              </w:rPr>
            </w:pPr>
          </w:p>
        </w:tc>
        <w:tc>
          <w:tcPr>
            <w:tcW w:w="380" w:type="dxa"/>
            <w:vAlign w:val="bottom"/>
            <w:gridSpan w:val="4"/>
          </w:tcPr>
          <w:p>
            <w:pPr>
              <w:jc w:val="center"/>
              <w:ind w:left="1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ITEM 1.</w:t>
              </w:r>
            </w:hyperlink>
          </w:p>
        </w:tc>
        <w:tc>
          <w:tcPr>
            <w:tcW w:w="60" w:type="dxa"/>
            <w:vAlign w:val="bottom"/>
          </w:tcPr>
          <w:p>
            <w:pPr>
              <w:spacing w:after="0"/>
              <w:rPr>
                <w:sz w:val="24"/>
                <w:szCs w:val="24"/>
                <w:color w:val="auto"/>
              </w:rPr>
            </w:pPr>
          </w:p>
        </w:tc>
        <w:tc>
          <w:tcPr>
            <w:tcW w:w="1200" w:type="dxa"/>
            <w:vAlign w:val="bottom"/>
            <w:gridSpan w:val="3"/>
          </w:tcPr>
          <w:p>
            <w:pPr>
              <w:spacing w:after="0"/>
              <w:rPr>
                <w:sz w:val="24"/>
                <w:szCs w:val="24"/>
                <w:color w:val="auto"/>
              </w:rPr>
            </w:pPr>
          </w:p>
        </w:tc>
        <w:tc>
          <w:tcPr>
            <w:tcW w:w="1860" w:type="dxa"/>
            <w:vAlign w:val="bottom"/>
            <w:gridSpan w:val="6"/>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LEGAL PROCEEDINGS</w:t>
              </w:r>
            </w:hyperlink>
          </w:p>
        </w:tc>
        <w:tc>
          <w:tcPr>
            <w:tcW w:w="7000" w:type="dxa"/>
            <w:vAlign w:val="bottom"/>
            <w:gridSpan w:val="14"/>
          </w:tcPr>
          <w:p>
            <w:pPr>
              <w:spacing w:after="0"/>
              <w:rPr>
                <w:sz w:val="24"/>
                <w:szCs w:val="24"/>
                <w:color w:val="auto"/>
              </w:rPr>
            </w:pPr>
          </w:p>
        </w:tc>
        <w:tc>
          <w:tcPr>
            <w:tcW w:w="380" w:type="dxa"/>
            <w:vAlign w:val="bottom"/>
            <w:gridSpan w:val="4"/>
          </w:tcPr>
          <w:p>
            <w:pPr>
              <w:jc w:val="center"/>
              <w:ind w:left="1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1A.</w:t>
              </w:r>
            </w:hyperlink>
          </w:p>
        </w:tc>
        <w:tc>
          <w:tcPr>
            <w:tcW w:w="886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380" w:type="dxa"/>
            <w:vAlign w:val="bottom"/>
            <w:gridSpan w:val="4"/>
          </w:tcPr>
          <w:p>
            <w:pPr>
              <w:jc w:val="center"/>
              <w:ind w:left="1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ITEM 2.</w:t>
              </w:r>
            </w:hyperlink>
          </w:p>
        </w:tc>
        <w:tc>
          <w:tcPr>
            <w:tcW w:w="16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380" w:type="dxa"/>
            <w:vAlign w:val="bottom"/>
            <w:gridSpan w:val="4"/>
          </w:tcPr>
          <w:p>
            <w:pPr>
              <w:jc w:val="center"/>
              <w:ind w:left="1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3180" w:type="dxa"/>
            <w:vAlign w:val="bottom"/>
            <w:gridSpan w:val="11"/>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DEFAULTS UPON SENIOR SECURITIES</w:t>
              </w:r>
            </w:hyperlink>
          </w:p>
        </w:tc>
        <w:tc>
          <w:tcPr>
            <w:tcW w:w="2880" w:type="dxa"/>
            <w:vAlign w:val="bottom"/>
            <w:gridSpan w:val="2"/>
          </w:tcPr>
          <w:p>
            <w:pPr>
              <w:spacing w:after="0"/>
              <w:rPr>
                <w:sz w:val="24"/>
                <w:szCs w:val="24"/>
                <w:color w:val="auto"/>
              </w:rPr>
            </w:pPr>
          </w:p>
        </w:tc>
        <w:tc>
          <w:tcPr>
            <w:tcW w:w="2800" w:type="dxa"/>
            <w:vAlign w:val="bottom"/>
            <w:gridSpan w:val="7"/>
          </w:tcPr>
          <w:p>
            <w:pPr>
              <w:spacing w:after="0"/>
              <w:rPr>
                <w:sz w:val="24"/>
                <w:szCs w:val="24"/>
                <w:color w:val="auto"/>
              </w:rPr>
            </w:pPr>
          </w:p>
        </w:tc>
        <w:tc>
          <w:tcPr>
            <w:tcW w:w="380" w:type="dxa"/>
            <w:vAlign w:val="bottom"/>
            <w:gridSpan w:val="4"/>
          </w:tcPr>
          <w:p>
            <w:pPr>
              <w:jc w:val="center"/>
              <w:ind w:left="1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440" w:type="dxa"/>
            <w:vAlign w:val="bottom"/>
            <w:gridSpan w:val="9"/>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MINE SAFETY DISCLOSURES</w:t>
              </w:r>
            </w:hyperlink>
          </w:p>
        </w:tc>
        <w:tc>
          <w:tcPr>
            <w:tcW w:w="740" w:type="dxa"/>
            <w:vAlign w:val="bottom"/>
            <w:gridSpan w:val="2"/>
          </w:tcPr>
          <w:p>
            <w:pPr>
              <w:spacing w:after="0"/>
              <w:rPr>
                <w:sz w:val="24"/>
                <w:szCs w:val="24"/>
                <w:color w:val="auto"/>
              </w:rPr>
            </w:pPr>
          </w:p>
        </w:tc>
        <w:tc>
          <w:tcPr>
            <w:tcW w:w="5680" w:type="dxa"/>
            <w:vAlign w:val="bottom"/>
            <w:gridSpan w:val="9"/>
          </w:tcPr>
          <w:p>
            <w:pPr>
              <w:spacing w:after="0"/>
              <w:rPr>
                <w:sz w:val="24"/>
                <w:szCs w:val="24"/>
                <w:color w:val="auto"/>
              </w:rPr>
            </w:pPr>
          </w:p>
        </w:tc>
        <w:tc>
          <w:tcPr>
            <w:tcW w:w="380" w:type="dxa"/>
            <w:vAlign w:val="bottom"/>
            <w:gridSpan w:val="4"/>
          </w:tcPr>
          <w:p>
            <w:pPr>
              <w:jc w:val="center"/>
              <w:ind w:left="1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ITEM 5.</w:t>
              </w:r>
            </w:hyperlink>
          </w:p>
        </w:tc>
        <w:tc>
          <w:tcPr>
            <w:tcW w:w="1260" w:type="dxa"/>
            <w:vAlign w:val="bottom"/>
            <w:gridSpan w:val="4"/>
          </w:tcPr>
          <w:p>
            <w:pPr>
              <w:spacing w:after="0"/>
              <w:rPr>
                <w:sz w:val="24"/>
                <w:szCs w:val="24"/>
                <w:color w:val="auto"/>
              </w:rPr>
            </w:pPr>
          </w:p>
        </w:tc>
        <w:tc>
          <w:tcPr>
            <w:tcW w:w="1860" w:type="dxa"/>
            <w:vAlign w:val="bottom"/>
            <w:gridSpan w:val="6"/>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OTHER INFORMATION</w:t>
              </w:r>
            </w:hyperlink>
          </w:p>
        </w:tc>
        <w:tc>
          <w:tcPr>
            <w:tcW w:w="580" w:type="dxa"/>
            <w:vAlign w:val="bottom"/>
            <w:gridSpan w:val="3"/>
          </w:tcPr>
          <w:p>
            <w:pPr>
              <w:spacing w:after="0"/>
              <w:rPr>
                <w:sz w:val="24"/>
                <w:szCs w:val="24"/>
                <w:color w:val="auto"/>
              </w:rPr>
            </w:pPr>
          </w:p>
        </w:tc>
        <w:tc>
          <w:tcPr>
            <w:tcW w:w="6420" w:type="dxa"/>
            <w:vAlign w:val="bottom"/>
            <w:gridSpan w:val="11"/>
          </w:tcPr>
          <w:p>
            <w:pPr>
              <w:spacing w:after="0"/>
              <w:rPr>
                <w:sz w:val="24"/>
                <w:szCs w:val="24"/>
                <w:color w:val="auto"/>
              </w:rPr>
            </w:pPr>
          </w:p>
        </w:tc>
        <w:tc>
          <w:tcPr>
            <w:tcW w:w="380" w:type="dxa"/>
            <w:vAlign w:val="bottom"/>
            <w:gridSpan w:val="4"/>
          </w:tcPr>
          <w:p>
            <w:pPr>
              <w:jc w:val="center"/>
              <w:ind w:left="11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000" w:type="dxa"/>
            <w:vAlign w:val="bottom"/>
            <w:tcBorders>
              <w:left w:val="single" w:sz="8" w:color="0000EE"/>
            </w:tcBorders>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ITEM 6.</w:t>
              </w:r>
            </w:hyperlink>
          </w:p>
        </w:tc>
        <w:tc>
          <w:tcPr>
            <w:tcW w:w="1260" w:type="dxa"/>
            <w:vAlign w:val="bottom"/>
            <w:gridSpan w:val="4"/>
          </w:tcPr>
          <w:p>
            <w:pPr>
              <w:spacing w:after="0"/>
              <w:rPr>
                <w:sz w:val="24"/>
                <w:szCs w:val="24"/>
                <w:color w:val="auto"/>
              </w:rPr>
            </w:pPr>
          </w:p>
        </w:tc>
        <w:tc>
          <w:tcPr>
            <w:tcW w:w="820" w:type="dxa"/>
            <w:vAlign w:val="bottom"/>
            <w:gridSpan w:val="2"/>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EXHIBITS</w:t>
              </w:r>
            </w:hyperlink>
          </w:p>
        </w:tc>
        <w:tc>
          <w:tcPr>
            <w:tcW w:w="1040" w:type="dxa"/>
            <w:vAlign w:val="bottom"/>
            <w:gridSpan w:val="4"/>
          </w:tcPr>
          <w:p>
            <w:pPr>
              <w:spacing w:after="0"/>
              <w:rPr>
                <w:sz w:val="24"/>
                <w:szCs w:val="24"/>
                <w:color w:val="auto"/>
              </w:rPr>
            </w:pPr>
          </w:p>
        </w:tc>
        <w:tc>
          <w:tcPr>
            <w:tcW w:w="7000" w:type="dxa"/>
            <w:vAlign w:val="bottom"/>
            <w:gridSpan w:val="14"/>
          </w:tcPr>
          <w:p>
            <w:pPr>
              <w:spacing w:after="0"/>
              <w:rPr>
                <w:sz w:val="24"/>
                <w:szCs w:val="24"/>
                <w:color w:val="auto"/>
              </w:rPr>
            </w:pPr>
          </w:p>
        </w:tc>
        <w:tc>
          <w:tcPr>
            <w:tcW w:w="380" w:type="dxa"/>
            <w:vAlign w:val="bottom"/>
            <w:gridSpan w:val="4"/>
          </w:tcPr>
          <w:p>
            <w:pPr>
              <w:jc w:val="center"/>
              <w:ind w:left="11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w:t>
              </w:r>
            </w:hyperlink>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4"/>
          </w:tcPr>
          <w:p>
            <w:pPr>
              <w:jc w:val="center"/>
              <w:ind w:left="11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r>
      <w:tr>
        <w:trPr>
          <w:trHeight w:val="72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gridSpan w:val="12"/>
          </w:tcPr>
          <w:p>
            <w:pPr>
              <w:ind w:left="3780"/>
              <w:spacing w:after="0"/>
              <w:rPr>
                <w:sz w:val="20"/>
                <w:szCs w:val="20"/>
                <w:color w:val="auto"/>
              </w:rPr>
            </w:pPr>
            <w:r>
              <w:rPr>
                <w:rFonts w:ascii="Arial" w:cs="Arial" w:eastAsia="Arial" w:hAnsi="Arial"/>
                <w:sz w:val="18"/>
                <w:szCs w:val="18"/>
                <w:color w:val="auto"/>
              </w:rPr>
              <w:t>3</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7,154,980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7,331,460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100,884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loans receivable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and 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673,207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25,556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67,486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8,504,752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45,261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42,879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w w:val="97"/>
              </w:rPr>
              <w:t>Long-term debt, net of unamortized debt issuance costs, bond premiums and original issuance discounts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5,749,136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5,853,497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293,911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6,398,120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6,311,686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0"/>
              </w:rPr>
              <w:t>Preferred stock ($.01 par value, 50,000,000 shares authorized, no shares issued or outstanding at September 30,</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2019 and December 31, 2018)</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($.01 par value, 500,000,000 shares authorized, 214,682,856 and 214,211,932 shares issued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at September 30, 2019 and December 31, 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3,955,555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3,952,503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(1,851,070)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2,106,632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8,504,752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83"/>
        </w:trPr>
        <w:tc>
          <w:tcPr>
            <w:tcW w:w="5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248,789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509,546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Income from direct financing lease</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30,843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76,448</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from mortgaged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Real estate taxes paid by tenants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21,270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64,031</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255,995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650,025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31,617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102,385</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287,612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752,410</w:t>
            </w:r>
          </w:p>
        </w:tc>
      </w:tr>
      <w:tr>
        <w:trPr>
          <w:trHeight w:val="284"/>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18,549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59,027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64,981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Land rights and ground lease expense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9,094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19,460</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56,272</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57,302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27,267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82,744</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 impairment charges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99,987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89,305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335,322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282,484</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187,625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529,167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469,926</w:t>
            </w:r>
          </w:p>
        </w:tc>
      </w:tr>
      <w:tr>
        <w:trPr>
          <w:trHeight w:val="277"/>
        </w:trPr>
        <w:tc>
          <w:tcPr>
            <w:tcW w:w="5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(171,464)</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Losses on debt extinguishment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(3,473)</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(172,147)</w:t>
            </w:r>
          </w:p>
        </w:tc>
      </w:tr>
      <w:tr>
        <w:trPr>
          <w:trHeight w:val="291"/>
        </w:trPr>
        <w:tc>
          <w:tcPr>
            <w:tcW w:w="5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297,779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4,194</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90,547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104,815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276,590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293,585</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5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3"/>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214,211,932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3,952,503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26,799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406,769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 ($0.68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93,010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March 31, 2019</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214,645,500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3,947,768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(1,742,230)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2,207,684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 ($0.68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93,033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214,673,135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3,951,949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(1,795,409)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2,158,687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ATM Program offering costs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9,721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Dividends paid ($0.68 per common share)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(146,208)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90,547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90,547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2019</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214,682,856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3,955,555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(1,851,070)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2,106,632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2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3"/>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212,717,549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3,933,829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297,605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483,095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 ($0.63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(134,717)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new revenue standard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96,772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96,772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213,498,249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3,930,777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2,416,848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236,240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 ($0.63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(134,820)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91,998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June 30, 2018</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213,737,939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3,935,517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(1,558,886)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2,378,768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activity</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Dividends paid ($0.63 per common share)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(135,065)</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104,815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104,815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Balance, September 30, 2018</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214,037,994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3,945,392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2,358,396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229"/>
        </w:trPr>
        <w:tc>
          <w:tcPr>
            <w:tcW w:w="8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293,585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90,926</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 bond premiums and original issuance discounts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Paid-in-kind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49,150</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Losses on debt extinguishment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3,473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Loan 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58,852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583,686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518,218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Capital project expenditures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real estate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(15,552)</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37,241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21,861</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(404,602)</w:t>
            </w:r>
          </w:p>
        </w:tc>
      </w:tr>
      <w:tr>
        <w:trPr>
          <w:trHeight w:val="229"/>
        </w:trPr>
        <w:tc>
          <w:tcPr>
            <w:tcW w:w="8360" w:type="dxa"/>
            <w:vAlign w:val="bottom"/>
            <w:gridSpan w:val="2"/>
          </w:tcPr>
          <w:p>
            <w:pPr>
              <w:ind w:left="180"/>
              <w:spacing w:after="0"/>
              <w:rPr>
                <w:sz w:val="20"/>
                <w:szCs w:val="20"/>
                <w:color w:val="auto"/>
              </w:rPr>
            </w:pPr>
            <w:r>
              <w:rPr>
                <w:rFonts w:ascii="Arial" w:cs="Arial" w:eastAsia="Arial" w:hAnsi="Arial"/>
                <w:sz w:val="18"/>
                <w:szCs w:val="18"/>
                <w:color w:val="auto"/>
                <w:w w:val="92"/>
              </w:rPr>
              <w:t>Taxes paid related to shares withheld for tax purposes on restricted stock award vestings, net of proceeds from</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exercise of options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3,698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 Program offering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1,312,853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2,107,405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(1,080,087)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(581,867)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593,641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1,133,720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29,054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1,162,774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16 to the condensed consolidated financial statements for supplemental cash flow information and noncash investing and financing activities.</w:t>
      </w:r>
    </w:p>
    <w:p>
      <w:pPr>
        <w:sectPr>
          <w:pgSz w:w="11900" w:h="16838" w:orient="portrait"/>
          <w:cols w:equalWidth="0" w:num="1">
            <w:col w:w="11420"/>
          </w:cols>
          <w:pgMar w:left="240" w:top="130"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w:t>
      </w:r>
    </w:p>
    <w:p>
      <w:pPr>
        <w:spacing w:after="0" w:line="18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a result of the Spin-Off, GLPI owns substantially all of Penn’s former real property assets (as of consummation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Gaming Corporation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the operating partnership of GLPI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("Eldorado") acquired the operating assets of these properties from Tropicana pursuant to an Agreement and Plan of Merger dated April 15, 2018 by and among Tropicana, GLP Capital, Eldorado and a wholly-owned subsidiary of Eldorado (the "Tropicana Merger Agreement") and leased the GLP Assets from the Company pursuant to the terms of a new unitary triple-net master lease with an initial term of 15 years, with no purchase option followed by four successive 5-year renewal periods (exercisable by Eldorado) on the same terms and conditions (the "Eldorado Master Lease"). Additionally, on October 1, 2018, the Company made a mortgage loan to Eldorado in the amount of $246.0 million in connection with Eldorado’s acquisition of Lumière Place Casino and Hotel ("Lumière Place") (and together with the Tropicana Acquisition, the "Tropicana Transactions").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September 30, 2019, GLPI’s portfolio consisted of interests in 46 gaming and related facilities, including the TRS Properties, the real property associated with 33 gaming and related facilities operated by Penn, the real property associated with 6 gaming and related facilities operated by Eldorado (including one mortgaged facility), the real property associated with 4 gaming and related facilities operated by Boyd (including one mortgaged facility) and the real property associated with the Casino Queen in East St. Louis, Illinois. These facilities are geographically diversified across 16 states and were 100% occupied at September 30, 2019. GLPI expects to continue growing its portfolio by pursuing opportunities to acquire additional gaming facilities to lease to gaming operators under prudent terms.</w:t>
      </w:r>
    </w:p>
    <w:p>
      <w:pPr>
        <w:spacing w:after="0" w:line="18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conjunction with the adoption of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on January 1, 2019, the Company recorded right-of-use assets on the condensed consolidated balance sheet to represent the Company's rights to use the underlying leased assets for the term of the lease. As this asset related, in part, to the same leases which resulted in the below market lease asset the Company described as land rights, net on the December 31, 2018 condensed consolidated balance sheet, this line item has been re-named to right-of-use assets and land rights, net as the assets are required to be reported in the aggregate subsequent to the adoption of ASU 2016-02. Furthermore, under ASU 2016-02, the Company is no longer required to gross-up its financial statements for the real estate taxes paid directly by its tenants to third-parties.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GLPI and its subsidiaries. All intercompany accounts and transactions have been eliminated in consolidation.</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Operating results for the three and nine months ended September 30, 2019 are not necessarily indicative of the results that may be expected for the year ending December 31, 2019. The notes to the consolidated financial statements contained in our Annual Report on Form 10-K for the year ended December 31, 2018 (our "Annual Report") should be read in conjunction with these condensed consolidated financial statements. The December 31, 2018 financial information has been derived from the Company’s audited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February 2016, the Financial Accounting Standards Board ("FASB") issued ASU No.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Generally speaking, ASU 2016-02 more significantly impacted the accounting for leases in which GLPI is the lessee by requiring the Company to record a right-of-use asset and lease liability on its condensed consolidated balance sheet for these leases. The Company's accounting treatment of its triple-net tenant leases, which are the primary source of revenues to the Company, were not significantly impacted by the adoption of ASU 2016-02, other than to eliminate the real estate tax gross-up discussed below.</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("ASU 2018-11") which permits companies to apply the transition provisions of ASU 2016-02 at its effective date (i.e. comparative financial statements are not required). Furthermore, in December 2018, the FASB issued ASU No. 2018-20, </w:t>
      </w:r>
      <w:r>
        <w:rPr>
          <w:rFonts w:ascii="Arial" w:cs="Arial" w:eastAsia="Arial" w:hAnsi="Arial"/>
          <w:sz w:val="17"/>
          <w:szCs w:val="17"/>
          <w:i w:val="1"/>
          <w:iCs w:val="1"/>
          <w:color w:val="auto"/>
        </w:rPr>
        <w:t>Leases (Topic 842): Narrow Scope Improvements for Lessors</w:t>
      </w:r>
      <w:r>
        <w:rPr>
          <w:rFonts w:ascii="Arial" w:cs="Arial" w:eastAsia="Arial" w:hAnsi="Arial"/>
          <w:sz w:val="17"/>
          <w:szCs w:val="17"/>
          <w:color w:val="auto"/>
        </w:rPr>
        <w:t xml:space="preserve"> ("ASU 2018-20"). ASU 2018-20 clarifies that lessor costs paid directly to a third-party by a lessee on behalf of the lessor are no longer required to be recognized in the lessor's financial statements. Therefore, upon the adoption of ASU 2016-02, the Company no longer grosses-up its financial statements for real estate taxes paid directly to third-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parties by its tenants. The Company notes, however, that ground leases for which the tenant pays the landlord directly on the Company's behalf are still required to be grossed-up within its condensed consolidated financial statements upon the adoption of ASU 2016-02, as these are not considered lessor costs. On January 1, 2019, the Company adopted ASU 2016-02 using the new transition option available under ASU 2018-11 and recorded right-of-use assets and related lease liabilities of $203 million on its condensed consolidated balance sheet to represent its rights to underlying assets and its future lease obligations. Also, in connection with the adoption of ASC 842 -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the land rights recorded on balance sheet in conjunction with the Company's assumption of below market leases at the time it acquired the related land and building assets are now required to be reported in the aggregate with the Company's operating lease right-of-use assets, reflected as right-of-use assets and land rights, net on the condensed consolidated balance sheet. Furthermore, the Company elected the package of practical expedients, which among other things, did not require the Company to reassess the lease classification of its existing leases and the practical expedient related to land easements, which allowed the Company to bypass the reassessment of existing or expired land easements for the existence of a lease under ASC 842. See Note 7 for further disclosures related to the adoption of ASU 2016-02.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 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 (a consensus of the FASB Emerging Issues Task Force</w:t>
      </w:r>
      <w:r>
        <w:rPr>
          <w:rFonts w:ascii="Arial" w:cs="Arial" w:eastAsia="Arial" w:hAnsi="Arial"/>
          <w:sz w:val="16"/>
          <w:szCs w:val="16"/>
          <w:color w:val="auto"/>
        </w:rPr>
        <w:t>) ("ASU 2018-15"). This ASU clarifies that entities should follow the guidance for capitalizing implementation costs incurred to develop or obtain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internal-use software to account for implementation costs of cloud computing arrangements that are service contracts. ASU 2018-15 does not change the accounting for the service component of a cloud computing arrangement. ASU 2018-15 is effective for fiscal years beginning after December 15, 2019, with early adoption permitted. The Company does not expect the adoption of ASU 2018-15 to have a significant impact on its consolidated financial statements.</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("ASU 2017-04").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expects the adoption of ASU 2017-04 to simplify the analysis required under the goodwill impairment test.</w:t>
      </w:r>
    </w:p>
    <w:p>
      <w:pPr>
        <w:spacing w:after="0" w:line="19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This ASU introduces a new model for estimating credit losses for certain types of financial instruments, including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loans receivable,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42 rental properties and the corporate headquarters building and is summarized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2,552,285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2,552,475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5,749,211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5,762,071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real estate investments</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8,301,496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8,314,546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(1,146,516)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(983,086)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 estate investments, net</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7,154,980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7,331,460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June 30, 2019, the Resorts Casino Tunica property was closed by the Company's tenant, resulting in the acceleration of $10.3 million of depreciation expense related to the building at this property. The net book value of this building is zero at September 30, 2019. The Company also entered into an agreement to terminate the long-term ground lease at this property, which will be effective in February 2020 and at which time the Company will reverse the right-of-use asset and lease liability the Company recorded on its condensed consolidated balance sheet for this lease. The lease termination at the Resorts Casino Tunica property will have no impact on the Company's operating results or net income.</w:t>
      </w:r>
    </w:p>
    <w:p>
      <w:pPr>
        <w:spacing w:after="0" w:line="16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Property and equipment used in operations, net, consists of the following and primarily represents the assets utilized in the TRS Properties:</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30,431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116,781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116,776</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117,247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284</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264,738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(170,654)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(163,854)</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95,617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100,884</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Receivable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September 30, 2019, the Company has financial interests in two casino properties through secured mortgage loans to the respective casino owner-operators. On October 1, 2018, Eldorado purchased the real estate assets of Lumière Place from Tropicana for a cash purchase price of $246.0 million, exclusive of transaction fees. Financing for the transaction was provided by the Company in the form of a $246.0 million secured mortgage loan on Lumière Place (the "Lumière Loan"). The Lumière Loan bears interest at a rate equal to (i) 9.09% until the one-year anniversary of the closing, and (ii) 9.27% until its maturity. Until the one-year anniversary of the closing, the Lumière Loan is secured by a first mortgage lien on Lumière Place. On the one-year anniversary of the Lumière Loan, the mortgage evidenced by a deed of trust on the Lumière Place property will terminate and the loan will continue unsecured until its final maturity on the two-year anniversary of the closing. The parties anticipate that the Lumière Loan will be fully repaid on or prior to maturity by way of substitution of one or more additional Eldorado properties acceptable to Eldorado and the Company, which will be transferred to the Company and added to the Eldorado Master Lease.</w:t>
      </w:r>
    </w:p>
    <w:p>
      <w:pPr>
        <w:spacing w:after="0" w:line="1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October 15, 2018, Boyd purchased the real estate assets of Belterra Park from Pinnacle for a cash purchase price of $57.7 million, exclusive of transaction fees. Financing for the transaction was provided by the Company in the form of $57.7 million secured mortgage loan on Belterra Park (the "Belterra Park Loan"). The Belterra Park Loan bears interest at an initial rate equal to 11.11% and matures in connection with the expiration of the Boyd Master Lease (as may be extended at the tenant's option to April 30, 2051). At September 30, 2019, the interest rate on the Belterra Park Loan had increased to 11.20%.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January 2014, the Company completed the asset acquisition of the real property associated with the Casino Queen in East St. Louis, Illinois. GLPI leases the property back to Casino Queen on a triple-net basis on terms similar to those in the Company's existing master leases. The lease has an initial term of 15 years and the tenant has an option to renew it at the same terms and conditions for four successive five-year periods (the "Casino Queen Lease").</w:t>
      </w:r>
    </w:p>
    <w:p>
      <w:pPr>
        <w:spacing w:after="0" w:line="14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5.5-year term loan to CQ Holding Company, Inc., an affiliate of Casino Queen ("CQ Holding Company"), to partially finance its acquisition of Lady Luck Casino in Marquette, Iowa. The new loan bears an interest rate of 15% and is pre-payable at any time.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30" w:right="2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evaluates loans for impairment when it is probable that it will not be able to collect all amounts due according to contractual terms. All amounts due under the contractual terms means that both contractual interest payments and contractual principal payments of a loan will be collected as scheduled in the loan agreement. Indicators of impairment may include delinquent payments, a decline in the credit worthiness of a debtor, or a decline in the underlying property/tenant’s performance. The Company measures loan impairment based upon the present value of expected future cash flows discounted at the loan’s original effective interest rate. The determination of whether loans are impaired involves judgments and assumptions based on objective and subjective factors. If an impairment occurs, the Company will reduce the carrying value of the loan and record a corresponding charge to net income.</w:t>
      </w:r>
    </w:p>
    <w:p>
      <w:pPr>
        <w:spacing w:after="0" w:line="8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June 12, 2018, the Company received a Notice of Event of Default under the senior credit agreement of CQ Holding Company from the secured lender under such agreement, which reported a covenant default under its senior secured agreement. Under the terms of that agreement, when an event of default occurs, CQ Holding Company is prohibited from making cash payments to unsecured lenders such as GLPI. Therefore, beginning in June 2018 and through September 30, 2019, the interest due from CQ Holding Company under the Company's unsecured loan was paid in kind in the aggregate amount of $3.2 million. In addition to the covenant violation noted above under its senior credit agreement, CQ Holding Company also had a payment default under the senior credit agreement. Furthermore, the Company notified Casino Queen of events of default under the Company's unsecured loan with CQ Holding Company, related to financial covenant violations during the year ended December 31, 2018.</w:t>
      </w:r>
    </w:p>
    <w:p>
      <w:pPr>
        <w:spacing w:after="0" w:line="9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At December 31, 2018, active negotiations for the sale of Casino Queen's operations were taking place. Despite the payment and covenant defaults noted above, at that time, full payment of the principal was still expected, due to the anticipation that the operations were to be sold in the near term for an amount allowing for repayment of the full $13.0 million of loan principal due to GLPI.</w:t>
      </w:r>
    </w:p>
    <w:p>
      <w:pPr>
        <w:spacing w:after="0" w:line="10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first quarter of 2019, the operating results of Casino Queen continued to decline, resulting in the anticipated acquirer withdrawing from the sales process. Subsequent offers for the operating assets of Casino Queen have declined substantially and proceeds from the sale are not expected to generate enough cash to repay all of Casino Queen’s creditors. Thus, because the Company did not expect Casino Queen to be able to repay the $13.0 million of principal due to the Company under the unsecured loan agreement, the full $13.0 million of principal was written off at March 31, 2019. The Company has recorded an impairment charge of $13.0 million through the condensed consolidated statement of income for the nine months ended September 30, 2019 to reflect the write-off of the Casino Queen loan.</w:t>
      </w:r>
    </w:p>
    <w:p>
      <w:pPr>
        <w:spacing w:after="0" w:line="112"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At September 30, 2019, Casino Queen was in violation of the rent coverage ratio required under its lease with the Company and the Company provided notice and a reservation of rights to Casino Queen and its secured lenders of such default. At September 30, 2019, all lease payments due from Casino Queen remain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 Assets and Lease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Assets</w:t>
      </w:r>
    </w:p>
    <w:p>
      <w:pPr>
        <w:spacing w:after="0" w:line="1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condensed consolidated balance sheet at the lease commencement date for operating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cannot readily be determined, the Company utilizes its estimated incremental borrowing rate to determine the present value of its lease payments. Consideration is also given to the Company's recent debt issuances, as well as publicly available data for instruments with similar characteristics when determining the incremental borrowing rates of the Company's leases.</w:t>
      </w:r>
    </w:p>
    <w:p>
      <w:pPr>
        <w:spacing w:after="0" w:line="22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includes options to extend the lease in its lease term, when it is reasonably certain that the Company will exercise those renewal options. In the instance of the Company's ground leases associated with leased properties, the Company has included all available renewal options in the lease term, as it intends to renew these leases indefinitely. The Company accounts for the lease and nonlease components of these triple-net tenant leases as a single lease component. Leases with a term of 12 months or less are not recorded on the Company's condensed consolidated balance sheet.</w:t>
      </w:r>
    </w:p>
    <w:p>
      <w:pPr>
        <w:spacing w:after="0" w:line="20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Right-of-use assets and land rights are monitored for potential impairment in much the same way as the Company's real estate assets, using the impairment model in ASC 360 -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is subject to various operating leases as lessee for both real estate and equipment, the majority of which are ground leases related to properties the Company leases to its tenants under triple-net operating leases. Details of the Company's significant ground leases can be found in the Annual Report. For certain of these ground leases, the Company subleases the underlying assets to its tenants who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 in conjunction with the Company's assumption of below market leases at the time it acquired the related land and building assets, the Company is required to report the right-of-use assets and land rights in the aggregate on the condensed consolidated balance sheet.</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the Company's right-of use assets and land rights, net are detailed below (in thousands):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7"/>
              </w:rPr>
              <w:t>September 30, 2019</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Right-of use assets -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201,602</w:t>
            </w: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657,691</w:t>
            </w:r>
          </w:p>
        </w:tc>
      </w:tr>
      <w:tr>
        <w:trPr>
          <w:trHeight w:val="257"/>
        </w:trPr>
        <w:tc>
          <w:tcPr>
            <w:tcW w:w="5840" w:type="dxa"/>
            <w:vAlign w:val="bottom"/>
          </w:tcPr>
          <w:p>
            <w:pPr>
              <w:ind w:left="40"/>
              <w:spacing w:after="0"/>
              <w:rPr>
                <w:sz w:val="20"/>
                <w:szCs w:val="20"/>
                <w:color w:val="auto"/>
              </w:rPr>
            </w:pPr>
            <w:r>
              <w:rPr>
                <w:rFonts w:ascii="Arial" w:cs="Arial" w:eastAsia="Arial" w:hAnsi="Arial"/>
                <w:sz w:val="18"/>
                <w:szCs w:val="18"/>
                <w:color w:val="auto"/>
              </w:rPr>
              <w:t>Right-of-use assets and land rights,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859,293</w:t>
            </w: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r>
      <w:tr>
        <w:trPr>
          <w:trHeight w:val="250"/>
        </w:trPr>
        <w:tc>
          <w:tcPr>
            <w:tcW w:w="7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694,077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700,997</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(27,790)</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657,691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673,207</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On June 30, 2019, the Resorts Casino Tunica property was closed by the Company's tenant, resulting in the acceleration of $6.3 million of land right amortization expense related to the ground lease at this property. The net book value of this land right is zero at September 30, 2019.</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2019, estimated future amortization expense related to the Company’s land rights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812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2019 (remainder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12,081</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12,081</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r>
      <w:tr>
        <w:trPr>
          <w:trHeight w:val="243"/>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606,347</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657,691</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2019, maturities of the Company's operating lease liabilities were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38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2019 (remainder of year)</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3,882</w:t>
            </w:r>
          </w:p>
        </w:tc>
      </w:tr>
      <w:tr>
        <w:trPr>
          <w:trHeight w:val="24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15,256</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15,134</w:t>
            </w:r>
          </w:p>
        </w:tc>
      </w:tr>
      <w:tr>
        <w:trPr>
          <w:trHeight w:val="24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15,027</w:t>
            </w:r>
          </w:p>
        </w:tc>
      </w:tr>
      <w:tr>
        <w:trPr>
          <w:trHeight w:val="27"/>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15,006</w:t>
            </w:r>
          </w:p>
        </w:tc>
      </w:tr>
      <w:tr>
        <w:trPr>
          <w:trHeight w:val="243"/>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685,975</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750,280</w:t>
            </w:r>
          </w:p>
        </w:tc>
      </w:tr>
      <w:tr>
        <w:trPr>
          <w:trHeight w:val="243"/>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Less: interest</w:t>
            </w:r>
          </w:p>
        </w:tc>
        <w:tc>
          <w:tcPr>
            <w:tcW w:w="10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(548,783)</w:t>
            </w:r>
          </w:p>
        </w:tc>
      </w:tr>
      <w:tr>
        <w:trPr>
          <w:trHeight w:val="27"/>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201,497</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result of transitioning from the guidance in ASC 840 to ASC 842, the Company's annual minimum lease payments did not change.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Operating lease costs represent the entire amount of expense recognized for operating leases that are recorded on the condensed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50"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2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3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2019</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7"/>
              </w:rPr>
              <w:t>September 30, 2019</w:t>
            </w:r>
          </w:p>
        </w:tc>
      </w:tr>
      <w:tr>
        <w:trPr>
          <w:trHeight w:val="250"/>
        </w:trPr>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80" w:type="dxa"/>
            <w:vAlign w:val="bottom"/>
            <w:gridSpan w:val="4"/>
          </w:tcPr>
          <w:p>
            <w:pPr>
              <w:jc w:val="right"/>
              <w:ind w:right="11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11,722</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6,823</w:t>
            </w:r>
          </w:p>
        </w:tc>
      </w:tr>
      <w:tr>
        <w:trPr>
          <w:trHeight w:val="27"/>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Amortization of land right assets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15,516</w:t>
            </w:r>
          </w:p>
        </w:tc>
      </w:tr>
      <w:tr>
        <w:trPr>
          <w:trHeight w:val="27"/>
        </w:trPr>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34,826</w:t>
            </w: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Amortization expense related to the land right intangibles, as well as variable lease costs and the majority of the Company's operating lease costs are recorded within land rights and ground lease expense in the condensed consolidated statements of income. The Company's short-term lease costs are recorded in both gaming, food, beverage and other expense and general and administrative expense in the condensed consolidated statements of income, while a small portion of operating lease costs is also recorded in both gaming, food, beverage and other expense and general and administrative expense in the condensed consolidated statements of income. Amortization expense related to the land right intangibles totaled $2.7 million and $8.2 million for the three and nine months ended September 30, 2018, respectively, while other lease costs totaled $4.2 million and $12.7 million, respectively for the same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Related to Leases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9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September 30, 2019</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Weighted average remaining lease term - operating leases</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51.27 years</w:t>
            </w:r>
          </w:p>
        </w:tc>
      </w:tr>
      <w:tr>
        <w:trPr>
          <w:trHeight w:val="27"/>
        </w:trPr>
        <w:tc>
          <w:tcPr>
            <w:tcW w:w="58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discount rate - operating leases</w:t>
            </w:r>
          </w:p>
        </w:tc>
        <w:tc>
          <w:tcPr>
            <w:tcW w:w="194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6.7%</w:t>
            </w:r>
          </w:p>
        </w:tc>
      </w:tr>
      <w:tr>
        <w:trPr>
          <w:trHeight w:val="27"/>
        </w:trPr>
        <w:tc>
          <w:tcPr>
            <w:tcW w:w="58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30" w:right="25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150" w:lineRule="exact"/>
        <w:rPr>
          <w:sz w:val="20"/>
          <w:szCs w:val="20"/>
          <w:color w:val="auto"/>
        </w:rPr>
      </w:pPr>
    </w:p>
    <w:tbl>
      <w:tblPr>
        <w:tblLayout w:type="fixed"/>
        <w:tblInd w:w="6920" w:type="dxa"/>
        <w:tblCellMar>
          <w:top w:w="0" w:type="dxa"/>
          <w:left w:w="0" w:type="dxa"/>
          <w:bottom w:w="0" w:type="dxa"/>
          <w:right w:w="0" w:type="dxa"/>
        </w:tblCellMar>
      </w:tblPr>
      <w:tr>
        <w:trPr>
          <w:trHeight w:val="161"/>
        </w:trPr>
        <w:tc>
          <w:tcPr>
            <w:tcW w:w="15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15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September 30, 2019</w:t>
            </w: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September 30, 2019</w:t>
            </w:r>
          </w:p>
        </w:tc>
      </w:tr>
    </w:tbl>
    <w:p>
      <w:pPr>
        <w:spacing w:after="0" w:line="5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23495</wp:posOffset>
            </wp:positionV>
            <wp:extent cx="529971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Cash paid for amounts included in the measurement of leases liabilities:</w:t>
      </w:r>
    </w:p>
    <w:p>
      <w:pPr>
        <w:spacing w:after="0" w:line="63" w:lineRule="exact"/>
        <w:rPr>
          <w:sz w:val="20"/>
          <w:szCs w:val="20"/>
          <w:color w:val="auto"/>
        </w:rPr>
      </w:pPr>
    </w:p>
    <w:p>
      <w:pPr>
        <w:ind w:left="1660"/>
        <w:spacing w:after="0"/>
        <w:tabs>
          <w:tab w:leader="none" w:pos="6920" w:val="left"/>
          <w:tab w:leader="none" w:pos="8000" w:val="left"/>
          <w:tab w:leader="none" w:pos="8440" w:val="left"/>
          <w:tab w:leader="none" w:pos="9400" w:val="left"/>
        </w:tabs>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586</w:t>
        <w:tab/>
        <w:t>$</w:t>
      </w:r>
      <w:r>
        <w:rPr>
          <w:sz w:val="20"/>
          <w:szCs w:val="20"/>
          <w:color w:val="auto"/>
        </w:rPr>
        <w:tab/>
      </w:r>
      <w:r>
        <w:rPr>
          <w:rFonts w:ascii="Arial" w:cs="Arial" w:eastAsia="Arial" w:hAnsi="Arial"/>
          <w:sz w:val="16"/>
          <w:szCs w:val="16"/>
          <w:color w:val="auto"/>
        </w:rPr>
        <w:t>1,697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-18415</wp:posOffset>
            </wp:positionV>
            <wp:extent cx="529971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99710" cy="188595"/>
                    </a:xfrm>
                    <a:prstGeom prst="rect">
                      <a:avLst/>
                    </a:prstGeom>
                    <a:noFill/>
                  </pic:spPr>
                </pic:pic>
              </a:graphicData>
            </a:graphic>
          </wp:anchor>
        </w:drawing>
      </w:r>
    </w:p>
    <w:p>
      <w:pPr>
        <w:spacing w:after="0" w:line="26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Right-of-use assets obtained in exchange for new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29971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43" w:lineRule="exact"/>
        <w:rPr>
          <w:sz w:val="20"/>
          <w:szCs w:val="20"/>
          <w:color w:val="auto"/>
        </w:rPr>
      </w:pPr>
    </w:p>
    <w:p>
      <w:pPr>
        <w:ind w:left="1700"/>
        <w:spacing w:after="0"/>
        <w:tabs>
          <w:tab w:leader="none" w:pos="6920" w:val="left"/>
          <w:tab w:leader="none" w:pos="8180" w:val="left"/>
          <w:tab w:leader="none" w:pos="8440" w:val="left"/>
          <w:tab w:leader="none" w:pos="9540" w:val="left"/>
        </w:tabs>
        <w:rPr>
          <w:sz w:val="20"/>
          <w:szCs w:val="20"/>
          <w:color w:val="auto"/>
        </w:rPr>
      </w:pPr>
      <w:r>
        <w:rPr>
          <w:rFonts w:ascii="Arial" w:cs="Arial" w:eastAsia="Arial" w:hAnsi="Arial"/>
          <w:sz w:val="18"/>
          <w:szCs w:val="18"/>
          <w:color w:val="auto"/>
        </w:rPr>
        <w:t>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w:t>
        <w:tab/>
        <w:t>$</w:t>
      </w:r>
      <w:r>
        <w:rPr>
          <w:sz w:val="20"/>
          <w:szCs w:val="20"/>
          <w:color w:val="auto"/>
        </w:rPr>
        <w:tab/>
      </w:r>
      <w:r>
        <w:rPr>
          <w:rFonts w:ascii="Arial" w:cs="Arial" w:eastAsia="Arial" w:hAnsi="Arial"/>
          <w:sz w:val="16"/>
          <w:szCs w:val="16"/>
          <w:color w:val="auto"/>
        </w:rPr>
        <w:t>293</w:t>
      </w:r>
    </w:p>
    <w:p>
      <w:pPr>
        <w:spacing w:after="0" w:line="252" w:lineRule="exact"/>
        <w:rPr>
          <w:sz w:val="20"/>
          <w:szCs w:val="20"/>
          <w:color w:val="auto"/>
        </w:rPr>
      </w:pPr>
    </w:p>
    <w:p>
      <w:pPr>
        <w:ind w:right="40" w:firstLine="656"/>
        <w:spacing w:after="0" w:line="292" w:lineRule="auto"/>
        <w:tabs>
          <w:tab w:leader="none" w:pos="827" w:val="left"/>
        </w:tabs>
        <w:numPr>
          <w:ilvl w:val="1"/>
          <w:numId w:val="9"/>
        </w:numPr>
        <w:rPr>
          <w:rFonts w:ascii="Arial" w:cs="Arial" w:eastAsia="Arial" w:hAnsi="Arial"/>
          <w:sz w:val="20"/>
          <w:szCs w:val="20"/>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60" w:lineRule="exact"/>
        <w:rPr>
          <w:rFonts w:ascii="Arial" w:cs="Arial" w:eastAsia="Arial" w:hAnsi="Arial"/>
          <w:sz w:val="20"/>
          <w:szCs w:val="20"/>
          <w:color w:val="auto"/>
          <w:vertAlign w:val="superscript"/>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$1,175 million revolver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449,000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3.35% senior unsecured notes due September 2024</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$850 million 5.25% senior unsecured notes due June 2025</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5.75% senior unsecured notes due June 2028</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$750 million 5.30% senior unsecured notes due January 2029</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$700 million 4.00% senior unsecured notes due January 2030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Finance lease liability</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5,800,195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5,903,112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w w:val="95"/>
              </w:rPr>
              <w:t>Less: unamortized debt issuance costs, bond premiums and original issuance discounts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(49,615)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long-term debt, net of unamortized debt issuance costs, bond premiums and original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5,749,136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5,853,497</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discounts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September 30, 2019 (in thousands):</w:t>
      </w:r>
    </w:p>
    <w:p>
      <w:pPr>
        <w:spacing w:after="0" w:line="158"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2-3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1,064,448</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 years</w:t>
            </w:r>
          </w:p>
        </w:tc>
        <w:tc>
          <w:tcPr>
            <w:tcW w:w="1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960,302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3,775,317</w:t>
            </w: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5,800,195</w:t>
            </w: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senior unsecured credit facility (the "Credit Facility") consists of a $1,175 million revolving credit facility and a $449 million Term Loan A-1 facility. The revolving credit facility matures on May 21, 2023 and the Term Loan A-1 facility matures on April 28, 2021. At September 30, 2019, the interest rate on the term loan facility and revolver is LIBOR plus 1.50%.</w:t>
      </w:r>
    </w:p>
    <w:p>
      <w:pPr>
        <w:sectPr>
          <w:pgSz w:w="11900" w:h="16838" w:orient="portrait"/>
          <w:cols w:equalWidth="0" w:num="1">
            <w:col w:w="11280"/>
          </w:cols>
          <w:pgMar w:left="240" w:top="130" w:right="379" w:bottom="1440" w:gutter="0" w:footer="0" w:header="0"/>
        </w:sect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240" w:top="130" w:right="37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September 30, 2019, the Credit Facility had a gross outstanding balance of $509 million, consisting of the $449 million Term Loan A-1 facility and $60 million of borrowings under the revolving credit facility. Additionally, at September 30, 2019, the Company was contingently obligated under letters of credit issued pursuant to the Credit Facility with face amounts aggregating approximately $0.4 million, resulting in $1,114.6 million of available borrowing capacity under the revolving credit facility as of September 30, 2019.</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September 30, 2019, the Company was in compliance with all required financial covenants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August 29, 2019, the Company issued $400 million of 3.35% Senior Unsecured Notes maturing on September 1, 2024 at an issue price equal to 99.899% of the principal amount (the "2024 Notes") and $700 million of 4.00% Senior Unsecured Notes maturing on January 15, 2030 at an issue price equal to 99.751% of the principal amount (the "2030 Notes"). Interest on the 2024 Notes is payable semi-annually on March 1 and September 1 of each year, commencing on March 1, 2020. Interest on the 2030 Notes is payable semi-annually on January 15 and July 15 of each year, commencing on January 15, 2020. The net proceeds from the sale of the 2024 Notes and 2030 Notes were used to i) finance the Company's cash tender offer to purchase its 4.875% Senior Unsecured Notes due 2020 (described below) (ii) repay outstanding borrowings under the Company's revolving credit facility and (iii) repay a portion of the outstanding borrowings under the Company's Term Loan A-1 facility.</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 outstanding 2020 Notes, in connection with the 2019 Tender Offer at a price of</w:t>
      </w:r>
    </w:p>
    <w:p>
      <w:pPr>
        <w:ind w:right="100"/>
        <w:spacing w:after="0" w:line="253" w:lineRule="auto"/>
        <w:rPr>
          <w:sz w:val="20"/>
          <w:szCs w:val="20"/>
          <w:color w:val="auto"/>
        </w:rPr>
      </w:pPr>
      <w:r>
        <w:rPr>
          <w:rFonts w:ascii="Arial" w:cs="Arial" w:eastAsia="Arial" w:hAnsi="Arial"/>
          <w:sz w:val="18"/>
          <w:szCs w:val="18"/>
          <w:color w:val="auto"/>
        </w:rPr>
        <w:t>102.337% of the unpaid principal amount plus accrued and unpaid interest through the settlement date. Subsequent to the early tender deadline, an additional $2.2 million in aggregate principal of the 2020 Notes were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reaquisition price of the tendered 2020 Notes and their net carrying value.</w:t>
      </w:r>
    </w:p>
    <w:p>
      <w:pPr>
        <w:spacing w:after="0" w:line="191" w:lineRule="exact"/>
        <w:rPr>
          <w:sz w:val="20"/>
          <w:szCs w:val="20"/>
          <w:color w:val="auto"/>
        </w:rPr>
      </w:pPr>
    </w:p>
    <w:p>
      <w:pPr>
        <w:ind w:right="60" w:firstLine="693"/>
        <w:spacing w:after="0" w:line="257" w:lineRule="auto"/>
        <w:rPr>
          <w:sz w:val="20"/>
          <w:szCs w:val="20"/>
          <w:color w:val="auto"/>
        </w:rPr>
      </w:pPr>
      <w:r>
        <w:rPr>
          <w:rFonts w:ascii="Arial" w:cs="Arial" w:eastAsia="Arial" w:hAnsi="Arial"/>
          <w:sz w:val="18"/>
          <w:szCs w:val="18"/>
          <w:color w:val="auto"/>
        </w:rPr>
        <w:t>Including the recently issued 2024 Notes and 2030 Notes, at September 30, 2019, the Company had $5,290.2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2019, the Company was in compliance with all required financial covenants under its Senior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 Liability</w:t>
      </w:r>
    </w:p>
    <w:p>
      <w:pPr>
        <w:spacing w:after="0" w:line="22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assumed the finance lease obligations related to certain assets at its Aurora, Illinois property. GLPI recorded the asset and liability associated with the finance lease on its condensed consolidated balance sheet. The original term of the finance lease is 30 years and it will terminate in 2026.</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Assets and Liabilities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25" w:lineRule="exact"/>
        <w:rPr>
          <w:rFonts w:ascii="Arial" w:cs="Arial" w:eastAsia="Arial" w:hAnsi="Arial"/>
          <w:sz w:val="18"/>
          <w:szCs w:val="18"/>
          <w:color w:val="auto"/>
        </w:rPr>
      </w:pPr>
    </w:p>
    <w:p>
      <w:pPr>
        <w:ind w:left="660" w:right="4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Loans Receivable</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fair value of the mortgage loans receivable approximates the carrying value of the Company's mortgage loans receivable, as collection on the outstanding loan balances is reasonably assured. The fair value measurement of the mortgage loans receivable is considered a Level 3 measurement as defined under ASC 820.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the Senior Notes and senior unsecured credit facility is estimated based on quoted prices in active markets and as such is a Level 1 measurement as defined under ASC 820.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2019</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1020" w:type="dxa"/>
            <w:vAlign w:val="bottom"/>
            <w:gridSpan w:val="2"/>
          </w:tcPr>
          <w:p>
            <w:pPr>
              <w:jc w:val="center"/>
              <w:ind w:right="64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25,556</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25,556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25,783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26,981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22,709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22,709</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Mortgage loans receivable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303,684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303,684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509,000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927,000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909,308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5,290,174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5,681,846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4,975,000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4,958,455</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4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Certain assets and liabilities are measured at fair value on a nonrecurring basis in periods subsequent to initial recognition. Assets measured at fair value on a nonrecurring basis during the nine months ended September 30, 2019 are categorized in the table below based upon the lowest level of significant input to the valuation. There were no assets measured at fair value on a nonrecurring basis during the nine months ended September 30, 2018 or liabilities measured at fair value on a nonrecurring basis during the nine months ended September 30, 2019 and 2018.</w:t>
      </w:r>
    </w:p>
    <w:p>
      <w:pPr>
        <w:spacing w:after="0" w:line="36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Total Impairment Charges</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Recorded during the Nine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20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Months Ended September 30,</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Loan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22"/>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 on a nonrecurring basis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During the first quarter of 2019, the Company recorded an impairment charge of $13.0 million related to the write-off of the principal due to the Company under its unsecured loan to CQ Holding Company. The Company no longer expects the proceeds from the sale of the operating assets of Casino Queen to generate enough cash to repay all of Casino Queen's creditors, including the Company. Thus, because the Company does not expect Casino Queen to repay the $13.0 million of principal due to it under the unsecured loan agreement, the full $13.0 million of principal was written off at March 31, 2019. The Company has recorded an impairment charge of $13.0 million through the condensed consolidated statement of income for the nine months ended September 30, 2019 to reflect the write-off of the Casino Queen loan. See Note 6 for further details surrounding the Casino Queen loan.</w:t>
      </w:r>
    </w:p>
    <w:p>
      <w:pPr>
        <w:spacing w:after="0" w:line="16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Recognition</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of September 30, 2019, 20 of the Company’s real estate investment properties were leased to a subsidiary of Penn under the Penn Master Lease, an additional 12 of the Company's real estate investment properties were leased to a subsidiary of Penn under the Amended Pinnacle Master Lease, 5 of the Company's real estate investment properties were leased to a subsidiary of Eldorado under the Eldorado Master Lease and 3 of the Company's real estate investment properties were leased to a subsidiary of Boyd under the Boyd Master Lease. Additionally, the Meadows real estate assets are leased to Penn under a single property triple-net lease (the "Meadows Lease") and the Casino Queen real estate assets are leased back to the operator under an additional single property triple-net lease.</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obligations under the Penn and Amended Pinnacle Master Leases are guaranteed by Penn and, with respect to each lease, by Penn's subsidiaries that occupy and operate the facilities covered by such lease. As a result, the tenant’s obligations under each of the Penn Master Lease and Amended Pinnacle Master Lease are jointly and severally guaranteed by Penn as the ultimate parent company and by each of its subsidiaries benefiting from the applicable lease. Similarly, the obligations under the Eldorado Master Lease are jointly and severally guaranteed by Eldorado and by most of Eldorado's subsidiaries that occupy and operate the facilities leased under the Eldorado Master Lease. The obligations under the Boyd Master Leases are jointly and severally guaranteed by Boyd's subsidiaries that occupy and operate the facilities leased under the Boyd Master Lease.</w:t>
      </w:r>
    </w:p>
    <w:p>
      <w:pPr>
        <w:spacing w:after="0" w:line="9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condensed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Company’s triple-net tenant leases all contain a fixed component, a portion of which is subject to an annual escalator (typically 2%) if certain rent coverage ratio thresholds are met and a component that is based on the performance of the facilities subject to such lease, which is adjusted, subject to certain floors, every 2 or 5 years to an amount equal to 4% of the average annual net revenues of all facilities under the related tenant lease during the preceding 2 or 5 years ("percentage rent"). The Penn Master Lease also provides for a component that is based on the performance of two Ohio facilities, which is adjusted, subject to certain floors monthly by an amount equal to 20% of the net revenues of Hollywood Casino Columbus and Hollywood Casino Toledo during the preceding month. 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In June 2019, a percentage rent floor was triggered on Penn's Hollywood Casino Toledo property, as a result of Penn's purchase of the operations of the Greektown Casino-Hotel in Detroit, Michigan.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4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Additionally,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4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 could continue as a going concern without the property(ies) that are leased to them under the respective master lease agreement (in the instance of Penn) and single property lease (in the instance of Casino Queen) with the Company.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leased gaming facilities restrictive and potentially impracticable or unavailable. Moreover, under the terms of the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lease would impose a significant penalty on such tenant such that renewal of all lease renewal options appeared at lease inception to be reasonably assured. Therefore, the Company concluded that the term of Penn Master Lease and the Casino Queen Lease is 35 years, equal to the initial 15-year term plus all four of the 5-year renewal options.</w:t>
      </w:r>
    </w:p>
    <w:p>
      <w:pPr>
        <w:spacing w:after="0" w:line="15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new lease agreement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lease, the Company concluded that the lease term of the Amended Pinnacle Master Lease is 10 years (from the original April 2016 commencement date of the Pinnacle Master Lease), equal to the initial 10-year term only.</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Subsequent to purchasing the majority of Pinnacle's real estate assets and leasing them back to Pinnacle, the Company entered into a separate triple-net lease with Pinnacle to lease the Meadows real estate assets to Pinnacle. Because this lease involved only a single property within Pinnacle's portfolio, GLPI concluded it was not reasonably assured at lease inception that Pinnacle would elect to exercise all lease renewal options. Therefore, the Company concluded that the lease term of the Meadows Lease is 10 years, equal to the initial 10-year term only. In conjunction with the Penn-Pinnacle Merger, Penn assumed the Meadows Lease. The accounting for the Meadows Lease, including the lease term, was not impacted by the change in tenant. Based upon similar fact patterns, the Company concluded it was not reasonably assured at lease inception that Eldorado or Boyd would elect to exercise all lease renewal options under their respective master leases. The properties under each master lease did not represent a meaningful portion of either tenant's business at lease inception; therefore the Company concluded that the lease term of the Eldorado Master Lease is 15 years and the lease term of the Boyd Master Lease is 10 years (from the original April 2016 commencement date of the Pinnacle Master Lease), equal to the initial terms of such master leases only.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rental income for the three and nine months ended September 30, 2019 was as follows (in thousands):</w:t>
      </w:r>
    </w:p>
    <w:p>
      <w:pPr>
        <w:spacing w:after="0" w:line="150"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4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6"/>
                <w:szCs w:val="16"/>
                <w:color w:val="auto"/>
              </w:rPr>
            </w:pPr>
          </w:p>
        </w:tc>
        <w:tc>
          <w:tcPr>
            <w:tcW w:w="134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September 30, 2019</w:t>
            </w:r>
          </w:p>
        </w:tc>
      </w:tr>
      <w:tr>
        <w:trPr>
          <w:trHeight w:val="270"/>
        </w:trPr>
        <w:tc>
          <w:tcPr>
            <w:tcW w:w="340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Building base rent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164,736</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492,343</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Land base rent</w:t>
            </w:r>
          </w:p>
        </w:tc>
        <w:tc>
          <w:tcPr>
            <w:tcW w:w="12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47,592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142,576</w:t>
            </w: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rent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119,446</w:t>
            </w: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Total cash rental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251,936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754,365</w:t>
            </w: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(25,930)</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Ground rent in revenue</w:t>
            </w:r>
          </w:p>
        </w:tc>
        <w:tc>
          <w:tcPr>
            <w:tcW w:w="12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16,157</w:t>
            </w: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revenue</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r>
      <w:tr>
        <w:trPr>
          <w:trHeight w:val="25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248,789</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745,030</w:t>
            </w: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Building base rent is subject to the annual rent escalators described above.</w:t>
      </w:r>
    </w:p>
    <w:p>
      <w:pPr>
        <w:spacing w:after="0" w:line="12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may periodically loan funds to casino owner-operators for the purchase of gaming related properties. Interest income related to mortgage loans receivable is recorded as revenue from mortgaged real estate within the Company's condensed consolidated statements of income in the period earned. At September 30, 2019, the Company had financial interests in two casino properties, Belterra Park and Lumière Place, pursuant to the secured mortgage loans made by the Company to the respective casino owner-operators, Boyd and Eldorado.</w:t>
      </w:r>
    </w:p>
    <w:p>
      <w:pPr>
        <w:spacing w:after="0" w:line="9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Gaming revenue is recognized net of certain sales incentives, including promotional allowances in accordance with ASC 606 -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Company also defers a portion of the revenue received from customers (who participate in the points-based loyalty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play and attributed to the awarded points until a later period when the points are redeemed or forfeited.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The Company calculates earnings per share ("EPS") in accordance with ASC 260 -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w:t>
      </w:r>
      <w:r>
        <w:rPr>
          <w:rFonts w:ascii="Arial" w:cs="Arial" w:eastAsia="Arial" w:hAnsi="Arial"/>
          <w:sz w:val="16"/>
          <w:szCs w:val="16"/>
          <w:i w:val="1"/>
          <w:iCs w:val="1"/>
          <w:color w:val="auto"/>
        </w:rPr>
        <w:t>)</w:t>
      </w:r>
      <w:r>
        <w:rPr>
          <w:rFonts w:ascii="Arial" w:cs="Arial" w:eastAsia="Arial" w:hAnsi="Arial"/>
          <w:sz w:val="16"/>
          <w:szCs w:val="16"/>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6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nine months ended September 30, 2019 and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3"/>
          </w:tcPr>
          <w:p>
            <w:pPr>
              <w:ind w:left="1080"/>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214,683</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213,876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214,658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213,589</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Assumed conversion of performance-based restricted stock awards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215,325</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214,872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215,218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214,718</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1500" w:type="dxa"/>
            <w:vAlign w:val="bottom"/>
          </w:tcPr>
          <w:p>
            <w:pPr>
              <w:jc w:val="right"/>
              <w:ind w:right="77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presents the calculation of basic and diluted EPS for the Company’s common stock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gridSpan w:val="6"/>
          </w:tcPr>
          <w:p>
            <w:pPr>
              <w:ind w:left="80"/>
              <w:spacing w:after="0"/>
              <w:rPr>
                <w:sz w:val="20"/>
                <w:szCs w:val="20"/>
                <w:color w:val="auto"/>
              </w:rPr>
            </w:pPr>
            <w:r>
              <w:rPr>
                <w:rFonts w:ascii="Arial" w:cs="Arial" w:eastAsia="Arial" w:hAnsi="Arial"/>
                <w:sz w:val="14"/>
                <w:szCs w:val="14"/>
                <w:b w:val="1"/>
                <w:bCs w:val="1"/>
                <w:color w:val="auto"/>
                <w:w w:val="96"/>
              </w:rPr>
              <w:t>(in thousands, except per share and share data)</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90,547</w:t>
            </w:r>
          </w:p>
        </w:tc>
        <w:tc>
          <w:tcPr>
            <w:tcW w:w="12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104,815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276,590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293,585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90,409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104,668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276,170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293,174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214,683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213,589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90,547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293,585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215,325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214,872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215,218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214,718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8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3"/>
              </w:rPr>
              <w:t>Antidilutive securities excluded from the computation of diluted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earnings per share (in shares)</w:t>
            </w: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95,890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57,494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113,368</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August 14, 2019, the Company commenced a continuous equity offering under which the Company may sell up to an aggregate of $600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3"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During the three months ended September 30, 2019, the Company sold no shares of its common stock under the ATM Program. As of September 30, 2019, the Company had $600 million remaining for issuance under the ATM Program and had not entered into any forward sale agreements.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lists the dividends declared and paid by the Company during the nine months ended September 30,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Shareholder Record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Declaration Date</w:t>
            </w:r>
          </w:p>
        </w:tc>
        <w:tc>
          <w:tcPr>
            <w:tcW w:w="1840" w:type="dxa"/>
            <w:vAlign w:val="bottom"/>
            <w:gridSpan w:val="2"/>
          </w:tcPr>
          <w:p>
            <w:pPr>
              <w:ind w:left="700"/>
              <w:spacing w:after="0"/>
              <w:rPr>
                <w:sz w:val="20"/>
                <w:szCs w:val="20"/>
                <w:color w:val="auto"/>
              </w:rPr>
            </w:pPr>
            <w:r>
              <w:rPr>
                <w:rFonts w:ascii="Arial" w:cs="Arial" w:eastAsia="Arial" w:hAnsi="Arial"/>
                <w:sz w:val="16"/>
                <w:szCs w:val="16"/>
                <w:b w:val="1"/>
                <w:bCs w:val="1"/>
                <w:color w:val="auto"/>
              </w:rPr>
              <w:t>Date</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Class</w:t>
            </w:r>
          </w:p>
        </w:tc>
        <w:tc>
          <w:tcPr>
            <w:tcW w:w="20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gridSpan w:val="2"/>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33"/>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20, 2019</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8, 2019</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2019</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22, 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145,954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May 28, 2019</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14, 2019</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2019</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28,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145,985</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August 20, 2019</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September 6, 2019</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Third Quarter 2019</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September 20, 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145,984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03"/>
        </w:trPr>
        <w:tc>
          <w:tcPr>
            <w:tcW w:w="20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February 1, 2018</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9, 2018</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First Quarter 2018</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23,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134,490</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April 24, 2018</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June 15, 2018</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Second Quarter 2018</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June 29,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134,631</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July 31, 2018</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7, 2018</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 2018</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21, 2018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134,844</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addition, for both the three and nine months ended September 30, 2019 and 2018, dividend payments were made to GLPI restricted stock award holders in the amount of $0.2 million and $0.6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Company accounts for stock compensation under ASC 718 -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2019, there was $6.8 million of total unrecognized compensation cost for restricted stock awards that will be recognized over the grants' remaining weighted average vesting period of 1.65 years. For the three and nine months ended September 30, 2019, the Company recognized $1.7 million and $5.8 million, respectively, of compensation expense associated with these awards, compared to $1.1 million and $3.5 million, for the three and nine months ended September 30, 2018,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nine months ended September 30, 2019:</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ind w:right="37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299,642</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317,290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(290,107)</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September 30, 2019</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326,825</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w:t>
      </w:r>
    </w:p>
    <w:p>
      <w:pPr>
        <w:sectPr>
          <w:pgSz w:w="11900" w:h="16838" w:orient="portrait"/>
          <w:cols w:equalWidth="0" w:num="1">
            <w:col w:w="11420"/>
          </w:cols>
          <w:pgMar w:left="240" w:top="130"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leases. As of September 30, 2019, there was $11.0 million of total unrecognized compensation cost, which will be recognized over the performance-based restricted stock awards' remaining weighted average vesting period of 1.81 years. For the three and nine months ended September 30, 2019, the Company recognized $2.1 million and $6.5 million, respectively, of compensation expense associated with these awards, compared to the recognition of $2.1 million and $4.3 million for the three and nine months ended September 30, 2018,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contains information on performance-based restricted stock award activity for the nine months ended September 30, 2019:</w:t>
      </w:r>
    </w:p>
    <w:p>
      <w:pPr>
        <w:spacing w:after="0" w:line="16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Performance-Based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Award 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1,342,000</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512,000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(447,334)</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(23,332)</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September 30, 2019</w:t>
            </w:r>
          </w:p>
        </w:tc>
        <w:tc>
          <w:tcPr>
            <w:tcW w:w="2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1,383,334</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Consistent with how the Company’s Chief Operating Decision Maker (as such term is defined in ASC 280 - </w:t>
      </w:r>
      <w:r>
        <w:rPr>
          <w:rFonts w:ascii="Arial" w:cs="Arial" w:eastAsia="Arial" w:hAnsi="Arial"/>
          <w:sz w:val="16"/>
          <w:szCs w:val="16"/>
          <w:i w:val="1"/>
          <w:iCs w:val="1"/>
          <w:color w:val="auto"/>
        </w:rPr>
        <w:t>Segment Reporting</w:t>
      </w:r>
      <w:r>
        <w:rPr>
          <w:rFonts w:ascii="Arial" w:cs="Arial" w:eastAsia="Arial" w:hAnsi="Arial"/>
          <w:sz w:val="16"/>
          <w:szCs w:val="16"/>
          <w:color w:val="auto"/>
        </w:rPr>
        <w:t>) reviews and assesses the Company’s financial performance, the Company has two reportable segments, GLP Capital (a wholly-owned subsidiary of GLPI through which GLPI owns substantially all of its assets)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3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2019</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jc w:val="right"/>
              <w:ind w:right="588"/>
              <w:spacing w:after="0"/>
              <w:rPr>
                <w:sz w:val="20"/>
                <w:szCs w:val="20"/>
                <w:color w:val="auto"/>
              </w:rPr>
            </w:pPr>
            <w:r>
              <w:rPr>
                <w:rFonts w:ascii="Arial" w:cs="Arial" w:eastAsia="Arial" w:hAnsi="Arial"/>
                <w:sz w:val="14"/>
                <w:szCs w:val="14"/>
                <w:b w:val="1"/>
                <w:bCs w:val="1"/>
                <w:color w:val="auto"/>
              </w:rPr>
              <w:t>Three Months Ended September 30, 2018</w:t>
            </w:r>
          </w:p>
        </w:tc>
      </w:tr>
      <w:tr>
        <w:trPr>
          <w:trHeight w:val="264"/>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TRS Properties</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 xml:space="preserve">GLP Capital </w:t>
            </w:r>
            <w:r>
              <w:rPr>
                <w:rFonts w:ascii="Arial" w:cs="Arial" w:eastAsia="Arial" w:hAnsi="Arial"/>
                <w:sz w:val="8"/>
                <w:szCs w:val="8"/>
                <w:color w:val="auto"/>
                <w:w w:val="98"/>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5"/>
              </w:rPr>
              <w:t>Total</w:t>
            </w:r>
          </w:p>
        </w:tc>
      </w:tr>
      <w:tr>
        <w:trPr>
          <w:trHeight w:val="25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255,995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287,612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222,389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31,750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254,139</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181,947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5,678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187,625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159,678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5,156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164,834</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72,510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75,111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60,341</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taxes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88,657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91,735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103,355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2,556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105,911</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1,096</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88,461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2,086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90,547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103,126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1,689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104,815</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27,267</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Capital project expenditures</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Capital maintenance expenditures</w:t>
            </w: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w:t>
            </w:r>
          </w:p>
        </w:tc>
      </w:tr>
      <w:tr>
        <w:trPr>
          <w:trHeight w:val="399"/>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2019</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2018</w:t>
            </w:r>
          </w:p>
        </w:tc>
        <w:tc>
          <w:tcPr>
            <w:tcW w:w="700" w:type="dxa"/>
            <w:vAlign w:val="bottom"/>
            <w:tcBorders>
              <w:bottom w:val="single" w:sz="8" w:color="auto"/>
            </w:tcBorders>
          </w:tcPr>
          <w:p>
            <w:pPr>
              <w:spacing w:after="0"/>
              <w:rPr>
                <w:sz w:val="24"/>
                <w:szCs w:val="24"/>
                <w:color w:val="auto"/>
              </w:rPr>
            </w:pPr>
          </w:p>
        </w:tc>
      </w:tr>
      <w:tr>
        <w:trPr>
          <w:trHeight w:val="264"/>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TRS Properties</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 xml:space="preserve">GLP Capital </w:t>
            </w:r>
            <w:r>
              <w:rPr>
                <w:rFonts w:ascii="Arial" w:cs="Arial" w:eastAsia="Arial" w:hAnsi="Arial"/>
                <w:sz w:val="8"/>
                <w:szCs w:val="8"/>
                <w:b w:val="1"/>
                <w:bCs w:val="1"/>
                <w:color w:val="auto"/>
                <w:w w:val="98"/>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TRS Properties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5"/>
              </w:rPr>
              <w:t>Total</w:t>
            </w:r>
          </w:p>
        </w:tc>
      </w:tr>
      <w:tr>
        <w:trPr>
          <w:trHeight w:val="25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766,630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97,859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864,489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650,025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102,385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752,410</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510,884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18,283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529,167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450,685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19,241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469,926</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220,558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228,362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163,660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7,804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171,464</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taxes</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269,882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10,481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280,363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286,340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11,439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297,779</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4,194</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269,421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7,169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276,590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285,712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7,873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293,585</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177,786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183,745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82,744</w:t>
            </w:r>
          </w:p>
        </w:tc>
      </w:tr>
      <w:tr>
        <w:trPr>
          <w:trHeight w:val="264"/>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Capital project expenditures</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Capital maintenance expenditures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2,954</w:t>
            </w:r>
          </w:p>
        </w:tc>
      </w:tr>
    </w:tbl>
    <w:p>
      <w:pPr>
        <w:spacing w:after="0" w:line="200" w:lineRule="exact"/>
        <w:rPr>
          <w:sz w:val="20"/>
          <w:szCs w:val="20"/>
          <w:color w:val="auto"/>
        </w:rPr>
      </w:pPr>
    </w:p>
    <w:p>
      <w:pPr>
        <w:spacing w:after="0" w:line="236" w:lineRule="exact"/>
        <w:rPr>
          <w:sz w:val="20"/>
          <w:szCs w:val="20"/>
          <w:color w:val="auto"/>
        </w:rPr>
      </w:pPr>
    </w:p>
    <w:p>
      <w:pPr>
        <w:ind w:firstLine="332"/>
        <w:spacing w:after="0" w:line="363" w:lineRule="auto"/>
        <w:tabs>
          <w:tab w:leader="none" w:pos="671" w:val="left"/>
        </w:tabs>
        <w:numPr>
          <w:ilvl w:val="0"/>
          <w:numId w:val="15"/>
        </w:numPr>
        <w:rPr>
          <w:rFonts w:ascii="Arial" w:cs="Arial" w:eastAsia="Arial" w:hAnsi="Arial"/>
          <w:sz w:val="11"/>
          <w:szCs w:val="11"/>
          <w:color w:val="auto"/>
        </w:rPr>
      </w:pPr>
      <w:r>
        <w:rPr>
          <w:rFonts w:ascii="Arial" w:cs="Arial" w:eastAsia="Arial" w:hAnsi="Arial"/>
          <w:sz w:val="16"/>
          <w:szCs w:val="16"/>
          <w:color w:val="auto"/>
        </w:rPr>
        <w:t>Interest expense is net of intercompany interest eliminations of $2.6 million and $7.8 million for both the three and nine months ended September 30, 2019 and 2018, respectively.</w:t>
      </w:r>
    </w:p>
    <w:p>
      <w:pPr>
        <w:sectPr>
          <w:pgSz w:w="11900" w:h="16838" w:orient="portrait"/>
          <w:cols w:equalWidth="0" w:num="1">
            <w:col w:w="11420"/>
          </w:cols>
          <w:pgMar w:left="240" w:top="130"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0"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Disclosures of Cash Flow Information and Noncash Activities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income taxes, net of refunds received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1,418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4,102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4,189</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8"/>
                <w:szCs w:val="18"/>
                <w:color w:val="auto"/>
              </w:rPr>
              <w:t>41,163</w:t>
            </w:r>
          </w:p>
        </w:tc>
        <w:tc>
          <w:tcPr>
            <w:tcW w:w="4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180,494</w:t>
            </w:r>
          </w:p>
        </w:tc>
        <w:tc>
          <w:tcPr>
            <w:tcW w:w="4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109,644</w:t>
            </w:r>
          </w:p>
        </w:tc>
      </w:tr>
    </w:tbl>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On January 1, 2019, in conjunction with its adoption of ASU 2016-02, the Company recorded right-of-use assets and related lease liabilities of $203 million on its condensed consolidated balance sheet to represent its rights to underlying assets and future lease obligations. The Company did not engage in any other noncash investing and financing activities during the nine months ended September 30, 2019 and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Supplementary Condensed Consolidating Financial Information of Parent Guarantor and Subsidiary Issuers</w:t>
      </w:r>
    </w:p>
    <w:p>
      <w:pPr>
        <w:spacing w:after="0" w:line="2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GLPI guarantees the Senior Notes issued by its subsidiaries, GLP Capital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other subsidiaries guarantee the Senior Notes.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Summarized balance sheets as of September 30, 2019 and December 31, 2018 and statements of income and cash flows for the three and nine months ended September 30, 2019 and 2018 for GLPI as the parent guarantor, for GLP Capital and GLP Financing II, Inc. as the subsidiary issuers and the other subsidiary non-issuers is presented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September 30, 2019</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 (unaudited)</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880" w:type="dxa"/>
            <w:vAlign w:val="bottom"/>
            <w:tcBorders>
              <w:top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0"/>
              </w:rPr>
              <w:t>(in thousands, except share data)</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2,542,623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4,612,357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7,154,980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95,617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Mortgage loans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246,000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 and 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199,686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859,293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24,025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25,556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loan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5,120,485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2,533,044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5,812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31,501</w:t>
            </w:r>
          </w:p>
        </w:tc>
        <w:tc>
          <w:tcPr>
            <w:tcW w:w="0" w:type="dxa"/>
            <w:vAlign w:val="bottom"/>
          </w:tcPr>
          <w:p>
            <w:pPr>
              <w:spacing w:after="0"/>
              <w:rPr>
                <w:sz w:val="1"/>
                <w:szCs w:val="1"/>
                <w:color w:val="auto"/>
              </w:rPr>
            </w:pPr>
          </w:p>
        </w:tc>
      </w:tr>
      <w:tr>
        <w:trPr>
          <w:trHeight w:val="297"/>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2,106,632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8,350,873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8,000,474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(9,953,227)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8,504,752</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84,456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7,657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201,497</w:t>
            </w: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3"/>
              </w:rPr>
              <w:t>Long-term debt, net of unamortized debt issuance costs, bond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premiums and original issuance discounts</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5,749,136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5,749,136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271,174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48,667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319,841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23,245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24,720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6,244,241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346,945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6,398,120</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w w:val="99"/>
              </w:rPr>
              <w:t>no shares issued or outstanding at September 30, 2019)</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authorized, 214,682,856 shares issued and outstanding at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September 30, 2019)</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3,955,555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3,955,556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9,835,882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(13,791,438)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3,955,555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(1,851,070)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(1,851,071)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(2,184,500)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4,035,571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(1,851,070)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2,106,632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2,106,632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7,653,529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(9,760,161)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2,106,632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2,106,632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8,350,873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8,000,474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(9,953,227)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8,504,752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2019</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 (unaudited)</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137,787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111,002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248,789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 from mortgaged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143,377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112,618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255,995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31,617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143,377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144,235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287,612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15,042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57,302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42,323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99,987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187,625</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(75,111)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(95,890)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126,153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89,770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91,735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125,957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88,778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(124,188)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90,547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 (unaudited)</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414,175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330,855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745,030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 from mortgage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430,946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335,684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766,630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97,859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97,859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430,946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433,543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864,489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56,739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56,739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31,210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48,266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Loan impairment charges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147,362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187,960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335,322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283,584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245,583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529,167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(228,362)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368,896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(248,804)</w:t>
            </w:r>
          </w:p>
        </w:tc>
        <w:tc>
          <w:tcPr>
            <w:tcW w:w="0" w:type="dxa"/>
            <w:vAlign w:val="bottom"/>
          </w:tcPr>
          <w:p>
            <w:pPr>
              <w:spacing w:after="0"/>
              <w:rPr>
                <w:sz w:val="1"/>
                <w:szCs w:val="1"/>
                <w:color w:val="auto"/>
              </w:rPr>
            </w:pPr>
          </w:p>
        </w:tc>
      </w:tr>
      <w:tr>
        <w:trPr>
          <w:trHeight w:val="2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403,676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280,363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403,215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248,899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276,590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2019</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 (unaudited)</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403,215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248,899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(375,524)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276,590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199,261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 bond premiums and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original issuance discounts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debt extinguishment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Loan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Intercompany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39,195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578,589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380,621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(375,524)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583,686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(438,622)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(438,622)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Taxes paid related to shares withheld for tax purposes on restricted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7"/>
              </w:rPr>
              <w:t>stock award vestings, net of proceeds from exercise of options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ATM Program offering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1,312,853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1,312,853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(1,417,918)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w w:val="91"/>
              </w:rPr>
              <w:t>Premium and related costs paid on tender of senior unsecured notes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447,918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375,524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(581,868)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(375,523)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375,524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(581,867)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24,025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25,556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660" w:type="dxa"/>
            <w:vAlign w:val="bottom"/>
            <w:tcBorders>
              <w:top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(in thousands, except share data)</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2,637,404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4,694,056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7,331,460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673,207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82,307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100,884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 loans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5,247,229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2,697,241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(10,210,077)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67,486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8,522,824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8,191,523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(10,402,661)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45,261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45,261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24,055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42,879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5"/>
              </w:rPr>
              <w:t>Long-term debt, net of unamortized debt issuance costs, bond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premiums and original issuance discounts</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5,853,497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5,853,497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269,185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293,911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26,059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6,257,216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6,311,686</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December 31, 2018)</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214,211,932 shares issued and outstanding at December 31,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3,952,503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3,952,506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9,832,830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(13,785,336)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3,952,503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(1,689,040)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(1,890,503)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3,579,543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2,265,608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7,944,469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(10,210,077)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2,265,607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8,522,824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8,191,523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(10,402,661)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2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 (unaudited)</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101,130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69,146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170,276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11,032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31,750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9,943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43,445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89,305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98,532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164,834</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(58,923)</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105,911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129,880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102,974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104,815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2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 (unaudited)</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304,716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204,830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509,546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33,108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30,923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64,031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650,025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102,385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102,385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414,586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752,410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59,027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33,165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31,816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64,981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39,880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56,272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148,650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133,834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282,484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280,752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469,926</w:t>
            </w:r>
          </w:p>
        </w:tc>
        <w:tc>
          <w:tcPr>
            <w:tcW w:w="0" w:type="dxa"/>
            <w:vAlign w:val="bottom"/>
          </w:tcPr>
          <w:p>
            <w:pPr>
              <w:spacing w:after="0"/>
              <w:rPr>
                <w:sz w:val="1"/>
                <w:szCs w:val="1"/>
                <w:color w:val="auto"/>
              </w:rPr>
            </w:pPr>
          </w:p>
        </w:tc>
      </w:tr>
      <w:tr>
        <w:trPr>
          <w:trHeight w:val="27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(171,464)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340,331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166,705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(172,147)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355,879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291,613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297,779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355,252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288,046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293,585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 (unaudited)</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355,252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288,046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293,585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90,926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Amortization of debt issuance costs, bond premiums and original</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issuance discounts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Paid-in-kind interest income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dispositions of property</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49,150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58,852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555,394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312,537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518,218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real estate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(15,552)</w:t>
            </w:r>
          </w:p>
        </w:tc>
        <w:tc>
          <w:tcPr>
            <w:tcW w:w="0" w:type="dxa"/>
            <w:vAlign w:val="bottom"/>
          </w:tcPr>
          <w:p>
            <w:pPr>
              <w:spacing w:after="0"/>
              <w:rPr>
                <w:sz w:val="1"/>
                <w:szCs w:val="1"/>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Collection of principal payments on investment in direct financing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lease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37,241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37,241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21,861</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(404,602)</w:t>
            </w:r>
          </w:p>
        </w:tc>
        <w:tc>
          <w:tcPr>
            <w:tcW w:w="0" w:type="dxa"/>
            <w:vAlign w:val="bottom"/>
          </w:tcPr>
          <w:p>
            <w:pPr>
              <w:spacing w:after="0"/>
              <w:rPr>
                <w:sz w:val="1"/>
                <w:szCs w:val="1"/>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w w:val="94"/>
              </w:rPr>
              <w:t>Proceeds from exercise of options, net of taxes paid related to shares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withheld for tax purposes on restricted stock award vestings</w:t>
            </w:r>
          </w:p>
        </w:tc>
        <w:tc>
          <w:tcPr>
            <w:tcW w:w="16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2,107,405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2,107,405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(30,889)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(1,080,087)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(1,080,087)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w w:val="95"/>
              </w:rPr>
              <w:t>Premium and related costs paid on tender of senior unsecured notes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400,904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(400,908)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593,637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(349,709)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593,641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1,133,720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1,143,272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1,162,774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U.S. federal income tax return for its taxable year beginning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As a result of the Spin-Off, GLPI owns substantially all of Penn's former real property assets (as of the consummation of the Spin-Off)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w:t>
      </w:r>
    </w:p>
    <w:p>
      <w:pPr>
        <w:spacing w:after="0" w:line="22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April 2016, the Company acquired substantially all of the real estate assets of Pinnacle for approximately $4.8 billion. GLPI originally leased these assets back to Pinnacle, under a triple-net lease with an initial term of 10 years with no purchase option, followed by five 5-year renewal options (exercisable by Pinnacle) on the same terms and conditions.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 Hotel Kansas City, Ameristar Casino Resort Spa St. Charles and Belterra Casino Resort from Pinnacle to Boyd and entered into a new unitary triple-net master lease agreement with Boyd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whereby the Company loaned Boyd $57.7 million.</w:t>
      </w:r>
    </w:p>
    <w:p>
      <w:pPr>
        <w:spacing w:after="0" w:line="10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to the acquisition of Plainridge Park described above, on October 1, 2018, the Company closed its previously announced transaction to acquire certain real property assets from Tropicana and certain of its affiliates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Eldorado acquired the operating assets of these properties from Tropicana pursuant to an Agreement and Plan of Merger dated April 15, 2018 by and among Tropicana, GLP Capital, Eldorado and a wholly-owned subsidiary of Eldorado and leased the GLP Assets from the Company pursuant to the terms of a new unitary triple-net master lease with an initial term of 15 years, with no purchase option followed by four successive 5-year renewal periods (exercisable by Eldorado) on the same terms and conditions. Additionally, on October 1, 2018 the Company made a mortgage loan to Eldorado in the amount of $246.0 million in connection with Eldorado’s acquisition of Lumière Place.</w:t>
      </w:r>
    </w:p>
    <w:p>
      <w:pPr>
        <w:spacing w:after="0" w:line="16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September 30, 2019, GLPI’s portfolio consisted of interests in 46 gaming and related facilities, including the TRS Properties, the real property associated with 33 gaming and related facilities operated by Penn, the real property associated with 6 gaming and related facilities operated by Eldorado (including one mortgaged facility), the real property associated with 4 gaming and related facilities operated by Boyd (including one mortgaged facility) and the real property associated with the Casino Queen in East St. Louis, Illinois. These facilities are geographically diversified across 16 states and were 100% occupied at September 30, 2019. We expect to continue growing our portfolio by pursuing opportunities to acquire additional gaming facilities to lease to gaming operators under prudent terms.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As of September 30, 2019, the majority of our earnings are the result of the rental revenues we receive from our triple-net master leases with Penn, Boyd and Eldorado. Additionally, we have rental revenue from the Casino Queen property which is leased back to a third-party operator on a triple-net basis and the Meadows property which is leased to Penn under a single property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6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Additionally, in accordance with ASC 842,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166" w:lineRule="exact"/>
        <w:rPr>
          <w:sz w:val="20"/>
          <w:szCs w:val="20"/>
          <w:color w:val="auto"/>
        </w:rPr>
      </w:pPr>
    </w:p>
    <w:p>
      <w:pPr>
        <w:ind w:right="160" w:firstLine="693"/>
        <w:spacing w:after="0" w:line="264"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reported total revenues and income from operations of $287.6 million and $187.6 million for the three months ended September 30, 2019, respectively, compared to $254.1 million and $164.8 million, respectively, for the corresponding period in the prior year. We reported total revenues and income from operations of $864.5 million and $529.2 million for the nine months ended September 30, 2019, respectively, compared to $752.4 million and $469.9 million, respectively, for the corresponding period in the prior 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major factors affecting our results for the three and nine months ended September 30, 2019, as compared to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were as follows:</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income from real estate was $256.0 million and $766.6 million for the three and nine months ended September 30, 2019, respectively, and</w:t>
      </w:r>
    </w:p>
    <w:p>
      <w:pPr>
        <w:spacing w:after="0" w:line="46" w:lineRule="exact"/>
        <w:rPr>
          <w:rFonts w:ascii="Arial" w:cs="Arial" w:eastAsia="Arial" w:hAnsi="Arial"/>
          <w:sz w:val="16"/>
          <w:szCs w:val="16"/>
          <w:color w:val="auto"/>
        </w:rPr>
      </w:pPr>
    </w:p>
    <w:p>
      <w:pPr>
        <w:jc w:val="both"/>
        <w:ind w:left="660"/>
        <w:spacing w:after="0" w:line="292" w:lineRule="auto"/>
        <w:rPr>
          <w:rFonts w:ascii="Arial" w:cs="Arial" w:eastAsia="Arial" w:hAnsi="Arial"/>
          <w:sz w:val="16"/>
          <w:szCs w:val="16"/>
          <w:color w:val="auto"/>
        </w:rPr>
      </w:pPr>
      <w:r>
        <w:rPr>
          <w:rFonts w:ascii="Arial" w:cs="Arial" w:eastAsia="Arial" w:hAnsi="Arial"/>
          <w:sz w:val="16"/>
          <w:szCs w:val="16"/>
          <w:color w:val="auto"/>
        </w:rPr>
        <w:t>$222.4 million and $650.0 million for the three and nine months ended September 30, 2018, respectively. Total income from real estate increased by $33.6 million and $116.6 million for the three and nine months ended September 30, 2019, respectively, as compared to the corresponding periods in the prior year primarily due to the Tropicana Transactions, the Penn-Pinnacle Merger and the partial recognition of income previously deferred under the Penn Master Lease and Meadows Lease. These increases were partially offset by the elimination of the revenue gross-up for real estate taxes paid directly by our tenants under ASC 842 and the first percentage rent reset under the Penn Master Lease, which resulted in a rent decrease.</w:t>
      </w:r>
    </w:p>
    <w:p>
      <w:pPr>
        <w:spacing w:after="0" w:line="162"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for our TRS Properties were flat for the three months ended September 30, 2019 and decreased by $4.5 million for the nine months ended September 30, 2019, as compared to the corresponding periods in the prior year, primarily due to decreased revenues at Hollywood Casino Baton Rouge resulting from the June 2018 smoking ban at all Baton Rouge casinos.</w:t>
      </w:r>
    </w:p>
    <w:p>
      <w:pPr>
        <w:spacing w:after="0" w:line="181" w:lineRule="exact"/>
        <w:rPr>
          <w:rFonts w:ascii="Arial" w:cs="Arial" w:eastAsia="Arial" w:hAnsi="Arial"/>
          <w:sz w:val="18"/>
          <w:szCs w:val="18"/>
          <w:color w:val="auto"/>
        </w:rPr>
      </w:pPr>
    </w:p>
    <w:p>
      <w:pPr>
        <w:ind w:left="660" w:right="40" w:hanging="328"/>
        <w:spacing w:after="0" w:line="273"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operating expenses increased by $10.7 million and $52.8 million for the three and nine months ended September 30, 2019, respectively, as compared to the corresponding periods in the prior year. The increase in operating expenses for the three months ended September 30, 2019 as compared to the prior year period was primarily driven by an increase in depreciation expense resulting from the addition of the Tropicana and Plainridge Park real estate assets to our real estate portfolio, as well as the reclassification of the Pinnacle building assets to real estate investments on our balance sheet. As a result of the Penn-Pinnacle Merger, the Amended Pinnacle Master Lease is treated as an operating lease in its entirety and our investment in the direct financing lease was unwound. These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30"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660"/>
        <w:spacing w:after="0" w:line="344" w:lineRule="auto"/>
        <w:rPr>
          <w:sz w:val="20"/>
          <w:szCs w:val="20"/>
          <w:color w:val="auto"/>
        </w:rPr>
      </w:pPr>
      <w:r>
        <w:rPr>
          <w:rFonts w:ascii="Arial" w:cs="Arial" w:eastAsia="Arial" w:hAnsi="Arial"/>
          <w:sz w:val="16"/>
          <w:szCs w:val="16"/>
          <w:color w:val="auto"/>
        </w:rPr>
        <w:t>increases were offset by a decrease in real estate tax expense, as we are no longer required to gross-up our financial statements for the real estate taxes paid directly by our tenants under ASC 842. The increase in operating expenses for the nine months ended September 30, 2019, as compared to the prior year period, was driven by the explanations above, in addition to a loan impairment charge of $13.0 million in the first quarter of 2019 related to the Company's unsecured loan to Casino Queen and the acceleration of depreciation and land rights amortization related to the closure of the Resorts Casino Tunica property by our tenant in the second quarter of 2019, partially offset by the absence of retirement costs in the current year. The closure of the Resorts Casino Tunica property by our tenant did not impact the rent collected from Penn under the Penn Master Lease, as our lease with Penn is cross-collateralized and does not allow for rent reductions for individual property closures.</w:t>
      </w:r>
    </w:p>
    <w:p>
      <w:pPr>
        <w:spacing w:after="0" w:line="139" w:lineRule="exact"/>
        <w:rPr>
          <w:sz w:val="20"/>
          <w:szCs w:val="20"/>
          <w:color w:val="auto"/>
        </w:rPr>
      </w:pPr>
    </w:p>
    <w:p>
      <w:pPr>
        <w:ind w:left="660" w:right="80" w:hanging="328"/>
        <w:spacing w:after="0" w:line="27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income and expenses increased by $37.0 million and $76.7 million for the three and nine months ended September 30, 2019, respectively, as compared to the corresponding periods in the prior year primarily due to an increase in interest expense related to the debt refinancing in the second quarter of 2018 and debt issuances in the third quarter of 2018, the proceeds of which were utilized for the October 2018 closings of the Tropicana Transactions and the acquisition of Plainridge Park Casino, as well as the funding of the Belterra Park Loan in connection with the Penn-Pinnacle Merger. Also driving the increase in other income and expenses for the three and nine months ended September 30, 2019, as compared to the corresponding periods in the prior year, was a $21.0 million loss on the early extinguishment of debt related to the Company's cash tender of a portion of its 2020 Notes during the third quarter of 2019, as the Company completed a $1.1 billion refinancing of a portion of its debt to reduce our borrowing costs and lengthen our average debt maturity.</w:t>
      </w:r>
    </w:p>
    <w:p>
      <w:pPr>
        <w:spacing w:after="0" w:line="178" w:lineRule="exact"/>
        <w:rPr>
          <w:rFonts w:ascii="Arial" w:cs="Arial" w:eastAsia="Arial" w:hAnsi="Arial"/>
          <w:sz w:val="17"/>
          <w:szCs w:val="17"/>
          <w:color w:val="auto"/>
        </w:rPr>
      </w:pPr>
    </w:p>
    <w:p>
      <w:pPr>
        <w:ind w:left="660" w:right="10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decreased by $14.3 million and $17.0 million for the three and nine months ended September 30, 2019, as compared to the corresponding periods in the prior year, primarily due to the variances explained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expected to have an impact on us by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GLP Capital</w:t>
      </w:r>
    </w:p>
    <w:p>
      <w:pPr>
        <w:spacing w:after="0" w:line="225" w:lineRule="exact"/>
        <w:rPr>
          <w:sz w:val="20"/>
          <w:szCs w:val="20"/>
          <w:color w:val="auto"/>
        </w:rPr>
      </w:pPr>
    </w:p>
    <w:p>
      <w:pPr>
        <w:ind w:left="1300" w:right="20" w:hanging="320"/>
        <w:spacing w:after="0" w:line="25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15, 2018, Penn's acquisition of Pinnacle closed, and the Company completed its previously announced transactions with Penn, Pinnacle and Boyd. Concurrent with Penn's acquisition, the Company amended the Pinnacle Master Lease to allow for the sale of the operating assets of Ameristar Casino Hotel Kansas City, Ameristar Casino Resort Spa St. Charles and Belterra Casino Resort from Pinnacle to Boyd and entered into a new triple-net master lease agreement with Boyd for these properties on terms similar to the Company’s existing master leases. The Company also purchased the real estate assets of Plainridge Park Casino from Penn for $250.0 million, exclusive of transaction fees and taxes, and added this property to the Amended Pinnacle Master Lease. We also entered into a loan agreement with Boyd in connection with Boyd's acquisition of Belterra Park, whereby we loaned Boyd $57.7 million, act as mortgagee and collect interest income from Boyd.</w:t>
      </w:r>
    </w:p>
    <w:p>
      <w:pPr>
        <w:spacing w:after="0" w:line="192" w:lineRule="exact"/>
        <w:rPr>
          <w:rFonts w:ascii="Arial" w:cs="Arial" w:eastAsia="Arial" w:hAnsi="Arial"/>
          <w:sz w:val="18"/>
          <w:szCs w:val="18"/>
          <w:color w:val="auto"/>
        </w:rPr>
      </w:pPr>
    </w:p>
    <w:p>
      <w:pPr>
        <w:ind w:left="1300" w:right="60" w:hanging="320"/>
        <w:spacing w:after="0" w:line="25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1, 2018, the Company purchased the real property assets of five properties from Tropicana for $964.0 million, exclusive of taxes and transaction fees. Concurrent with the acquisition of these properties, Eldorado purchased the operating assets of these Tropicana properties and Lumière Place and entered into a new triple-net master lease with the Company for the lease of the five Tropicana properties purchased by us for a 15-year initial term with no purchase option followed by four successive 5-year renewal periods (exercisable by Eldorado). The Company also made a loan to Eldorado in the amount of $246.0 million in connection with Eldorado’s acquisition of Lumière Place.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TRS Properties</w:t>
      </w:r>
    </w:p>
    <w:p>
      <w:pPr>
        <w:spacing w:after="0" w:line="225" w:lineRule="exact"/>
        <w:rPr>
          <w:sz w:val="20"/>
          <w:szCs w:val="20"/>
          <w:color w:val="auto"/>
        </w:rPr>
      </w:pPr>
    </w:p>
    <w:p>
      <w:pPr>
        <w:jc w:val="both"/>
        <w:ind w:left="1300" w:right="26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second quarter of 2018, a smoking ban went into effect at all Baton Rouge, Louisiana casinos, which in combination with the general market deterioration in the Baton Rouge region has contributed to the poor performance of our Hollywood Casino Baton Rouge property.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30"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There has been no material change to these estimates for the three and nine months ended September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25" w:lineRule="exact"/>
        <w:rPr>
          <w:sz w:val="20"/>
          <w:szCs w:val="20"/>
          <w:color w:val="auto"/>
        </w:rPr>
      </w:pPr>
    </w:p>
    <w:p>
      <w:pPr>
        <w:ind w:left="660" w:right="4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fact that several wholly-owned subsidiaries of Penn lease a substantial number of our properties, pursuant to two master leases and a single property lease and account for a significant portion of our revenue.</w:t>
      </w:r>
    </w:p>
    <w:p>
      <w:pPr>
        <w:spacing w:after="0" w:line="170" w:lineRule="exact"/>
        <w:rPr>
          <w:rFonts w:ascii="Arial" w:cs="Arial" w:eastAsia="Arial" w:hAnsi="Arial"/>
          <w:sz w:val="18"/>
          <w:szCs w:val="18"/>
          <w:color w:val="auto"/>
        </w:rPr>
      </w:pPr>
    </w:p>
    <w:p>
      <w:pPr>
        <w:ind w:left="660" w:right="2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 and the variable rent and annual rent escalators we receive from our tenants as outlined in the long-term triple-net leases with these tenants.</w:t>
      </w:r>
    </w:p>
    <w:p>
      <w:pPr>
        <w:spacing w:after="0" w:line="18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results of operations for the three and nine months ended September 30, 2019 and 2018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254,139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864,489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752,410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99,987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89,305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335,322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282,484</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164,834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469,926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Total other expenses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(248,804)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(172,147)</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105,911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297,779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4,194</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90,547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104,815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276,590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293,585</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7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three and nine months ended September 30, 2019 and 2018 is summarized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4"/>
              </w:rPr>
              <w:t>Three Months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Revenues</w:t>
            </w: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255,995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222,389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181,947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159,678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31,617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5,156</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287,612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254,139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187,625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164,834</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9"/>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3"/>
              </w:rPr>
              <w:t>Nine Months Ended September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Revenues</w:t>
            </w: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766,630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650,025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510,884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450,685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97,859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102,385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18,283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19,241</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864,489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752,410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529,167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469,926</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7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the amortization of land rights, straight-line rent adjustments, direct financing lease adjustments, losses on debt extinguishment, retirement costs and goodwill and loan impairment charges, reduced by maintenance capital expenditures. Finally, we define Adjusted EBITDA as net income excluding interest, taxes on income, depreciation, (gains) or losses from sales of property, stock based compensation expense, straight-line rent adjustments, direct financing lease adjustments, the amortization of land rights, losses on debt extinguishment, retirement costs and goodwill and loan impairment charges.</w:t>
      </w:r>
    </w:p>
    <w:p>
      <w:pPr>
        <w:spacing w:after="0" w:line="16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reconciliation of the Company’s net income per GAAP to FFO, AFFO, and Adjusted EBITDA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3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90,547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104,815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276,590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293,585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Losses from dispositions of property</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55,047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24,406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176,290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74,155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4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145,631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129,350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452,930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368,094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49,150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Direct financing lease adjustments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8,002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37,241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Amortization of land rights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15,516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8,182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Amortization of debt issuance costs, bond premiums and original issuance</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12,353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7,878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Retirement costs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13,149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186,506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164,144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554,539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502,080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74,876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58,923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227,790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168,674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2,954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Amortization of debt issuance costs, bond premiums and original issuance</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260,472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222,151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779,761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668,624</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each segment’s net income per GAAP to FFO, AFFO, and Adjusted EBITDA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8"/>
              </w:rPr>
              <w:t>GLP Capital</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4"/>
                <w:szCs w:val="14"/>
                <w:b w:val="1"/>
                <w:bCs w:val="1"/>
                <w:color w:val="auto"/>
                <w:w w:val="94"/>
              </w:rPr>
              <w:t>TRS Properties</w:t>
            </w:r>
          </w:p>
        </w:tc>
        <w:tc>
          <w:tcPr>
            <w:tcW w:w="88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0" w:type="dxa"/>
            <w:vAlign w:val="bottom"/>
            <w:gridSpan w:val="5"/>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3"/>
                <w:szCs w:val="13"/>
                <w:color w:val="auto"/>
              </w:rPr>
            </w:pPr>
          </w:p>
        </w:tc>
        <w:tc>
          <w:tcPr>
            <w:tcW w:w="2380" w:type="dxa"/>
            <w:vAlign w:val="bottom"/>
            <w:gridSpan w:val="4"/>
          </w:tcPr>
          <w:p>
            <w:pPr>
              <w:jc w:val="center"/>
              <w:ind w:right="371"/>
              <w:spacing w:after="0" w:line="153" w:lineRule="exact"/>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44"/>
        </w:trPr>
        <w:tc>
          <w:tcPr>
            <w:tcW w:w="5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88,461</w:t>
            </w:r>
          </w:p>
        </w:tc>
        <w:tc>
          <w:tcPr>
            <w:tcW w:w="12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103,126</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2,086</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1,689</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dispositions of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3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55,047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24,406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143,508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127,661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1,689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Straight-line rent adjustments</w:t>
            </w:r>
          </w:p>
        </w:tc>
        <w:tc>
          <w:tcPr>
            <w:tcW w:w="3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financing lease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depreciation</w:t>
            </w:r>
          </w:p>
        </w:tc>
        <w:tc>
          <w:tcPr>
            <w:tcW w:w="3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2,339</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land rights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discounts</w:t>
            </w:r>
          </w:p>
        </w:tc>
        <w:tc>
          <w:tcPr>
            <w:tcW w:w="36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Losses on debt extinguishment</w:t>
            </w:r>
          </w:p>
        </w:tc>
        <w:tc>
          <w:tcPr>
            <w:tcW w:w="3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21,014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183,334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161,086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3,172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3,058</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72,276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56,323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867</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discounts</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252,999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214,656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7,473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7,495</w:t>
            </w: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40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8"/>
              </w:rPr>
              <w:t>GLP Capital</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4"/>
                <w:szCs w:val="14"/>
                <w:b w:val="1"/>
                <w:bCs w:val="1"/>
                <w:color w:val="auto"/>
                <w:w w:val="94"/>
              </w:rPr>
              <w:t>TRS Properties</w:t>
            </w:r>
          </w:p>
        </w:tc>
        <w:tc>
          <w:tcPr>
            <w:tcW w:w="88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jc w:val="center"/>
              <w:ind w:right="440"/>
              <w:spacing w:after="0" w:line="153" w:lineRule="exact"/>
              <w:rPr>
                <w:sz w:val="20"/>
                <w:szCs w:val="20"/>
                <w:color w:val="auto"/>
              </w:rPr>
            </w:pPr>
            <w:r>
              <w:rPr>
                <w:rFonts w:ascii="Arial" w:cs="Arial" w:eastAsia="Arial" w:hAnsi="Arial"/>
                <w:sz w:val="14"/>
                <w:szCs w:val="14"/>
                <w:b w:val="1"/>
                <w:bCs w:val="1"/>
                <w:color w:val="auto"/>
                <w:w w:val="94"/>
              </w:rPr>
              <w:t>Nine Months Ended</w:t>
            </w:r>
          </w:p>
        </w:tc>
        <w:tc>
          <w:tcPr>
            <w:tcW w:w="460" w:type="dxa"/>
            <w:vAlign w:val="bottom"/>
          </w:tcPr>
          <w:p>
            <w:pPr>
              <w:spacing w:after="0"/>
              <w:rPr>
                <w:sz w:val="13"/>
                <w:szCs w:val="13"/>
                <w:color w:val="auto"/>
              </w:rPr>
            </w:pPr>
          </w:p>
        </w:tc>
        <w:tc>
          <w:tcPr>
            <w:tcW w:w="2380" w:type="dxa"/>
            <w:vAlign w:val="bottom"/>
            <w:gridSpan w:val="4"/>
          </w:tcPr>
          <w:p>
            <w:pPr>
              <w:jc w:val="center"/>
              <w:ind w:right="371"/>
              <w:spacing w:after="0" w:line="153" w:lineRule="exact"/>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5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269,421</w:t>
            </w:r>
          </w:p>
        </w:tc>
        <w:tc>
          <w:tcPr>
            <w:tcW w:w="12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285,712</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7,169</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7,873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dispositions of property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176,290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74,155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445,719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359,987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7,211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25,930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49,150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5,959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7,029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8,597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9,278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Losses on debt extinguishment</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21,014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Loan impairment charges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543,621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489,847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10,918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12,233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219,988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160,872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7,802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3,566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755,477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642,120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24,284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26,504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32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980" w:right="40" w:hanging="648"/>
        <w:spacing w:after="0" w:line="216" w:lineRule="auto"/>
        <w:tabs>
          <w:tab w:leader="none" w:pos="9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intercompany interest eliminations of $2.6 million and $7.8 million for both the three and nine months ended September 30, 2019 and 2018, respectively.</w:t>
      </w:r>
    </w:p>
    <w:p>
      <w:pPr>
        <w:spacing w:after="0" w:line="20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Net income for our GLP Capital segment was $88.5 million for the three months ended September 30, 2019 and $103.1 million for the three months ended September 30, 2018. FFO, AFFO, and Adjusted EBITDA for our GLP Capital segment were $143.5 million, $183.3 million and $253.0 million for the three months ended September 30, 2019, respectively. FFO, AFFO, and Adjusted EBITDA for our GLP Capital segment were $127.7 million, $161.1 million and $214.7 million for the three months ended September 30, 2018, respectively. The decrease in net income for our GLP Capital segment for the three months ended September 30, 2019, as compared to the three months ended September 30, 2018, was primarily driven by a $33.6 million increase in income from real estate, partially offset by an $11.3 million increase in operating expenses and a $37.0 million increase in other expenses, net. The increase in income from real estate in our GLP Capital segment was primarily due to the Tropicana Transactions, the Penn-Pinnacle Merger and the partial recognition of income previously deferred under the Penn Master Lease and Meadows Lease. These increases were partially offset by the elimination of the revenue gross-up for real estate taxes paid directly by our tenants under ASC 842 and the first percentage rent reset under the Penn Master Lease, which resulted in a rent decrease.</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increase in operating expenses in our GLP Capital segment for the three months ended September 30, 2019, as compared to the three months ended September 30, 2018 was primarily driven by an increase in depreciation expense resulting from the addition of the Tropicana and Plainridge Park real estate assets to our real estate portfolio, as well as the reclassification of the Pinnacle building assets to real estate investments on our balance sheet and an increase in land rights amortization expense related to the acquisition of rights to six long-term ground leases in connection with the October 2018 Tropicana Acquisition. As a result of the Penn-Pinnacle Merger, the Amended Pinnacle Master Lease is treated as an operating lease in its entirety and our investment in the direct financing lease was unwound. These increases were offset by a decrease in real estate tax expense, as we are no longer required to gross-up our financial statements for the real estate taxes paid directly by our tenants under ASC 842. The increase in other expenses, net in our GLP Capital segment for the three months ended September 30, 2019, as compared to the three months ended September 30, 2018, was primarily due to an increase in interest expense resulting from debt issuances in the third quarter of 2018, the proceeds of which were utilized for the October 2018 closings of the Tropicana Transactions and the acquisition of Plainridge Park Casino, as well as the funding of the Belterra Park</w:t>
      </w:r>
    </w:p>
    <w:p>
      <w:pPr>
        <w:sectPr>
          <w:pgSz w:w="11900" w:h="16838" w:orient="portrait"/>
          <w:cols w:equalWidth="0" w:num="1">
            <w:col w:w="11420"/>
          </w:cols>
          <w:pgMar w:left="240" w:top="130"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Loan in connection with the Penn-Pinnacle Merger. Also driving the increase was a $21.0 million loss on the early extinguishment of debt related to the Company's tender of a portion of its 2020 Notes, in conjunction with our $1.1 billion debt refinancing to reduce our borrowing costs and lengthen our average debt maturity, both of which occurred in the third quarter of 2019.</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increase in FFO in our GLP Capital segment for the three months ended September 30, 2019, as compared to the three months ended September 30, 2018 was driven by the explanations above, including an add-back for the depreciation expense. The increase in AFFO for our GLP Capital segment for the three months ended September 30, 2019, as compared to the three months ended September 30, 2018 was primarily driven by the changes described above, as well as the add-back for losses on debt extinguishment, partially offset by lower direct financing lease adjustments and straight-line rent adjustments, both of which are added back for AFFO purposes. Direct financing lease adjustments represent the portion of cash rent we received from tenants that was applied against our lease receivable and thus not recorded as revenue. These adjustments were eliminated due to the unwinding of the direct financing lease in October 2018, as the cash received is now recorded as rental income and no add-back to AFFO is necessary. Adjusted EBITDA for our GLP Capital segment for the three months ended September 30, 2019, as compared to the three months ended September 30, 2018 also increased, driven by the explanations above, as well as a higher add-back for interest expense.</w:t>
      </w:r>
    </w:p>
    <w:p>
      <w:pPr>
        <w:spacing w:after="0" w:line="18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Net income for our GLP Capital segment was $269.4 million for the nine months ended September 30, 2019 and $285.7 million for the nine months ended September 30, 2018. FFO, AFFO, and Adjusted EBITDA for our GLP Capital segment were $445.7 million, $543.6 million and $755.5 million for the nine months ended September 30, 2019, respectively. FFO, AFFO, and Adjusted EBITDA for our GLP Capital segment were $360.0 million, $489.8 million and $642.1 million for the nine months ended September 30, 2018, respectively. The decrease in net income for our GLP Capital segment for the nine months ended September 30, 2019, as compared to the nine months ended September 30, 2018, was primarily driven by a $116.6 million increase in income from real estate, partially offset by a $56.4 million increase in operating expenses and a $76.7 million increase in other expenses, net. The changes in income from real estate and other expenses, net were driven by the explanations above for the three months ended September 30, 2019, as compared to the three months ended September 30, 2018. The changes described above, in addition to a loan impairment charge of $13.0 million related to the Company's unsecured loan to Casino Queen, along with accelerated depreciation and amortization related to the closure of the Resorts Casino Tunica property in the second quarter of 2019, partially offset by the absence of retirement costs in the current year drove the increase in operating expenses. The changes in FFO, AFFO and Adjusted EBITDA for our GLP Capital segment for the nine months ended September 30, 2019, as compared to the nine months ended September 30, 2018, were primarily driven by the explanations above for the three months ended September 30, 2019, as compared to the three months ended September 30, 2018, as well as a higher stock based compensation expense and the add-back of the loan impairment charges for AFFO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and nine months ended September 30, 2019 and 2018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82"/>
              <w:spacing w:after="0"/>
              <w:rPr>
                <w:sz w:val="20"/>
                <w:szCs w:val="20"/>
                <w:color w:val="auto"/>
              </w:rPr>
            </w:pPr>
            <w:r>
              <w:rPr>
                <w:rFonts w:ascii="Arial" w:cs="Arial" w:eastAsia="Arial" w:hAnsi="Arial"/>
                <w:sz w:val="14"/>
                <w:szCs w:val="14"/>
                <w:b w:val="1"/>
                <w:bCs w:val="1"/>
                <w:color w:val="auto"/>
              </w:rPr>
              <w:t>Percentage</w:t>
            </w:r>
          </w:p>
        </w:tc>
      </w:tr>
      <w:tr>
        <w:trPr>
          <w:trHeight w:val="264"/>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Rental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248,789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78,513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46.1 %</w:t>
            </w:r>
          </w:p>
        </w:tc>
      </w:tr>
      <w:tr>
        <w:trPr>
          <w:trHeight w:val="243"/>
        </w:trPr>
        <w:tc>
          <w:tcPr>
            <w:tcW w:w="5080" w:type="dxa"/>
            <w:vAlign w:val="bottom"/>
          </w:tcPr>
          <w:p>
            <w:pPr>
              <w:ind w:left="200"/>
              <w:spacing w:after="0"/>
              <w:rPr>
                <w:sz w:val="20"/>
                <w:szCs w:val="20"/>
                <w:color w:val="auto"/>
              </w:rPr>
            </w:pPr>
            <w:r>
              <w:rPr>
                <w:rFonts w:ascii="Arial" w:cs="Arial" w:eastAsia="Arial" w:hAnsi="Arial"/>
                <w:sz w:val="18"/>
                <w:szCs w:val="18"/>
                <w:color w:val="auto"/>
              </w:rPr>
              <w:t>Income from direct financing lease</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30,843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(30,843)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from mortgaged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N/A</w:t>
            </w:r>
          </w:p>
        </w:tc>
      </w:tr>
      <w:tr>
        <w:trPr>
          <w:trHeight w:val="243"/>
        </w:trPr>
        <w:tc>
          <w:tcPr>
            <w:tcW w:w="5080" w:type="dxa"/>
            <w:vAlign w:val="bottom"/>
          </w:tcPr>
          <w:p>
            <w:pPr>
              <w:ind w:left="200"/>
              <w:spacing w:after="0"/>
              <w:rPr>
                <w:sz w:val="20"/>
                <w:szCs w:val="20"/>
                <w:color w:val="auto"/>
              </w:rPr>
            </w:pPr>
            <w:r>
              <w:rPr>
                <w:rFonts w:ascii="Arial" w:cs="Arial" w:eastAsia="Arial" w:hAnsi="Arial"/>
                <w:sz w:val="18"/>
                <w:szCs w:val="18"/>
                <w:color w:val="auto"/>
              </w:rPr>
              <w:t>Real estate taxes paid by tenants</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21,270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(21,270)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255,995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222,389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33,606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43"/>
        </w:trPr>
        <w:tc>
          <w:tcPr>
            <w:tcW w:w="5080" w:type="dxa"/>
            <w:vAlign w:val="bottom"/>
          </w:tcPr>
          <w:p>
            <w:pPr>
              <w:ind w:left="200"/>
              <w:spacing w:after="0"/>
              <w:rPr>
                <w:sz w:val="20"/>
                <w:szCs w:val="20"/>
                <w:color w:val="auto"/>
              </w:rPr>
            </w:pPr>
            <w:r>
              <w:rPr>
                <w:rFonts w:ascii="Arial" w:cs="Arial" w:eastAsia="Arial" w:hAnsi="Arial"/>
                <w:sz w:val="18"/>
                <w:szCs w:val="18"/>
                <w:color w:val="auto"/>
              </w:rPr>
              <w:t>Gaming, food, beverage and other</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31,617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31,750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287,612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254,139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33,473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46"/>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65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382"/>
              <w:spacing w:after="0"/>
              <w:rPr>
                <w:sz w:val="20"/>
                <w:szCs w:val="20"/>
                <w:color w:val="auto"/>
              </w:rPr>
            </w:pPr>
            <w:r>
              <w:rPr>
                <w:rFonts w:ascii="Arial" w:cs="Arial" w:eastAsia="Arial" w:hAnsi="Arial"/>
                <w:sz w:val="14"/>
                <w:szCs w:val="14"/>
                <w:b w:val="1"/>
                <w:bCs w:val="1"/>
                <w:color w:val="auto"/>
              </w:rPr>
              <w:t>Percentage</w:t>
            </w:r>
          </w:p>
        </w:tc>
      </w:tr>
      <w:tr>
        <w:trPr>
          <w:trHeight w:val="264"/>
        </w:trPr>
        <w:tc>
          <w:tcPr>
            <w:tcW w:w="49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Rental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745,030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509,546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235,484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46.2 %</w:t>
            </w:r>
          </w:p>
        </w:tc>
      </w:tr>
      <w:tr>
        <w:trPr>
          <w:trHeight w:val="243"/>
        </w:trPr>
        <w:tc>
          <w:tcPr>
            <w:tcW w:w="4980" w:type="dxa"/>
            <w:vAlign w:val="bottom"/>
          </w:tcPr>
          <w:p>
            <w:pPr>
              <w:ind w:left="200"/>
              <w:spacing w:after="0"/>
              <w:rPr>
                <w:sz w:val="20"/>
                <w:szCs w:val="20"/>
                <w:color w:val="auto"/>
              </w:rPr>
            </w:pPr>
            <w:r>
              <w:rPr>
                <w:rFonts w:ascii="Arial" w:cs="Arial" w:eastAsia="Arial" w:hAnsi="Arial"/>
                <w:sz w:val="18"/>
                <w:szCs w:val="18"/>
                <w:color w:val="auto"/>
              </w:rPr>
              <w:t>Income from direct financing lease</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76,448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(76,448)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from mortgaged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N/A</w:t>
            </w:r>
          </w:p>
        </w:tc>
      </w:tr>
      <w:tr>
        <w:trPr>
          <w:trHeight w:val="243"/>
        </w:trPr>
        <w:tc>
          <w:tcPr>
            <w:tcW w:w="4980" w:type="dxa"/>
            <w:vAlign w:val="bottom"/>
          </w:tcPr>
          <w:p>
            <w:pPr>
              <w:ind w:left="200"/>
              <w:spacing w:after="0"/>
              <w:rPr>
                <w:sz w:val="20"/>
                <w:szCs w:val="20"/>
                <w:color w:val="auto"/>
              </w:rPr>
            </w:pPr>
            <w:r>
              <w:rPr>
                <w:rFonts w:ascii="Arial" w:cs="Arial" w:eastAsia="Arial" w:hAnsi="Arial"/>
                <w:sz w:val="18"/>
                <w:szCs w:val="18"/>
                <w:color w:val="auto"/>
              </w:rPr>
              <w:t>Real estate taxes paid by tenants</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64,031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(64,031)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766,630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116,605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43"/>
        </w:trPr>
        <w:tc>
          <w:tcPr>
            <w:tcW w:w="4980" w:type="dxa"/>
            <w:vAlign w:val="bottom"/>
          </w:tcPr>
          <w:p>
            <w:pPr>
              <w:ind w:left="20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97,859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102,385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864,489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752,410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112,079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14.9 %</w:t>
            </w: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income from real estate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the three months ended September 30, 2019 and 2018, total income from real estate was $256.0 million and $222.4 million, respectively, for our GLP Capital segment. For the nine months ended September 30, 2019 and 2018, total income from real estate was $766.6 million and $650.0 million, respectively, for our GLP Capital segment. In accordance with ASC 842,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9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Total income from real estate increased $33.6 million, or 15.1%, for the three months ended September 30, 2019, as compared to the three months ended September 30, 2018, primarily due to the Tropicana Transactions and the Penn-Pinnacle Merger (including the Plainridge Park acquisition, the increased rent under the Amended Pinnacle Master Lease and the Belterra Park Loan) both of which occurred in the fourth quarter of 2018, the impact of the rent escalators under the Penn and Boyd Master Leases, the partial recognition of income previously deferred under the Penn Master Lease and Meadows Lease and the recognition of cash rent that was previously applied against the lease receivable on our balance sheet as rental income. As a result of the Penn-Pinnacle Merger, the Amended Pinnacle Master Lease is treated as an operating lease in its entirety and all cash rent received from our tenants is recognized as revenue when earned. These increases were partially offset by the first percentage rent reset on the Penn Master Lease, which resulted in a rent decrease and the elimination of the revenue gross-up for real estate taxes paid directly by our tenants under ASC 842. Total income from real estate increased $116.6 million, or 17.9%, for the nine months ended September 30, 2019, as compared to the nine months ended September 30, 2018, primarily due to explanations above for the three months ended September 30, 2019, as compared to the three months ended September 30, 2018.</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130" w:right="31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Details of the Company's income from real estate for the three and nine months ended September 30, 2019 was as follows (in thousands):</w:t>
      </w:r>
    </w:p>
    <w:p>
      <w:pPr>
        <w:spacing w:after="0" w:line="16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Penn</w:t>
            </w: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Amended</w:t>
            </w: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Eldorado</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Boyd Master</w:t>
            </w: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Penn -</w:t>
            </w:r>
          </w:p>
        </w:tc>
        <w:tc>
          <w:tcPr>
            <w:tcW w:w="16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Casino</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Master</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Pinnacle</w:t>
            </w:r>
          </w:p>
        </w:tc>
        <w:tc>
          <w:tcPr>
            <w:tcW w:w="106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Master Lease</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Lease and</w:t>
            </w:r>
          </w:p>
        </w:tc>
        <w:tc>
          <w:tcPr>
            <w:tcW w:w="9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Meadows</w:t>
            </w:r>
          </w:p>
        </w:tc>
        <w:tc>
          <w:tcPr>
            <w:tcW w:w="160" w:type="dxa"/>
            <w:vAlign w:val="bottom"/>
          </w:tcPr>
          <w:p>
            <w:pPr>
              <w:spacing w:after="0"/>
              <w:rPr>
                <w:sz w:val="13"/>
                <w:szCs w:val="13"/>
                <w:color w:val="auto"/>
              </w:rPr>
            </w:pPr>
          </w:p>
        </w:tc>
        <w:tc>
          <w:tcPr>
            <w:tcW w:w="7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Queen</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2019</w:t>
            </w:r>
          </w:p>
        </w:tc>
        <w:tc>
          <w:tcPr>
            <w:tcW w:w="18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Lease</w:t>
            </w:r>
          </w:p>
        </w:tc>
        <w:tc>
          <w:tcPr>
            <w:tcW w:w="10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4"/>
              </w:rPr>
              <w:t>Master Lease</w:t>
            </w:r>
          </w:p>
        </w:tc>
        <w:tc>
          <w:tcPr>
            <w:tcW w:w="10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and Mortgage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Mortgage</w:t>
            </w:r>
          </w:p>
        </w:tc>
        <w:tc>
          <w:tcPr>
            <w:tcW w:w="160" w:type="dxa"/>
            <w:vAlign w:val="bottom"/>
          </w:tcPr>
          <w:p>
            <w:pPr>
              <w:spacing w:after="0"/>
              <w:rPr>
                <w:sz w:val="11"/>
                <w:szCs w:val="11"/>
                <w:color w:val="auto"/>
              </w:rPr>
            </w:pPr>
          </w:p>
        </w:tc>
        <w:tc>
          <w:tcPr>
            <w:tcW w:w="7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1"/>
                <w:szCs w:val="11"/>
                <w:color w:val="auto"/>
              </w:rPr>
            </w:pPr>
          </w:p>
        </w:tc>
        <w:tc>
          <w:tcPr>
            <w:tcW w:w="70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164,736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Land base rent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17,813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47,592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Total cash rental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113,345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82,310</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21,910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24,665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251,936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Straight-line rent adjustments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Other rental revenue</w:t>
            </w:r>
          </w:p>
        </w:tc>
        <w:tc>
          <w:tcPr>
            <w:tcW w:w="1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rental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116,527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77,820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248,789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w w:val="93"/>
              </w:rPr>
              <w:t>Interest income from mortgaged</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4"/>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w w:val="95"/>
              </w:rPr>
              <w:t>Total income from real estate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116,527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77,820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26,850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24,430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255,995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2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23"/>
                <w:szCs w:val="2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Penn</w:t>
            </w:r>
          </w:p>
        </w:tc>
        <w:tc>
          <w:tcPr>
            <w:tcW w:w="140" w:type="dxa"/>
            <w:vAlign w:val="bottom"/>
          </w:tcPr>
          <w:p>
            <w:pPr>
              <w:spacing w:after="0"/>
              <w:rPr>
                <w:sz w:val="23"/>
                <w:szCs w:val="2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Amended</w:t>
            </w:r>
          </w:p>
        </w:tc>
        <w:tc>
          <w:tcPr>
            <w:tcW w:w="14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Eldorado</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Boyd Master</w:t>
            </w:r>
          </w:p>
        </w:tc>
        <w:tc>
          <w:tcPr>
            <w:tcW w:w="160" w:type="dxa"/>
            <w:vAlign w:val="bottom"/>
          </w:tcPr>
          <w:p>
            <w:pPr>
              <w:spacing w:after="0"/>
              <w:rPr>
                <w:sz w:val="23"/>
                <w:szCs w:val="2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Penn -</w:t>
            </w:r>
          </w:p>
        </w:tc>
        <w:tc>
          <w:tcPr>
            <w:tcW w:w="160" w:type="dxa"/>
            <w:vAlign w:val="bottom"/>
          </w:tcPr>
          <w:p>
            <w:pPr>
              <w:spacing w:after="0"/>
              <w:rPr>
                <w:sz w:val="23"/>
                <w:szCs w:val="23"/>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Casino</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Master</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Pinnacle</w:t>
            </w:r>
          </w:p>
        </w:tc>
        <w:tc>
          <w:tcPr>
            <w:tcW w:w="10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Master Lease</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Lease and</w:t>
            </w:r>
          </w:p>
        </w:tc>
        <w:tc>
          <w:tcPr>
            <w:tcW w:w="9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Meadows</w:t>
            </w:r>
          </w:p>
        </w:tc>
        <w:tc>
          <w:tcPr>
            <w:tcW w:w="160" w:type="dxa"/>
            <w:vAlign w:val="bottom"/>
          </w:tcPr>
          <w:p>
            <w:pPr>
              <w:spacing w:after="0"/>
              <w:rPr>
                <w:sz w:val="13"/>
                <w:szCs w:val="13"/>
                <w:color w:val="auto"/>
              </w:rPr>
            </w:pPr>
          </w:p>
        </w:tc>
        <w:tc>
          <w:tcPr>
            <w:tcW w:w="7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Queen</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2019</w:t>
            </w:r>
          </w:p>
        </w:tc>
        <w:tc>
          <w:tcPr>
            <w:tcW w:w="1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Lease</w:t>
            </w:r>
          </w:p>
        </w:tc>
        <w:tc>
          <w:tcPr>
            <w:tcW w:w="10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4"/>
              </w:rPr>
              <w:t>Master Lease</w:t>
            </w:r>
          </w:p>
        </w:tc>
        <w:tc>
          <w:tcPr>
            <w:tcW w:w="10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and Mortgage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Mortgage</w:t>
            </w:r>
          </w:p>
        </w:tc>
        <w:tc>
          <w:tcPr>
            <w:tcW w:w="160" w:type="dxa"/>
            <w:vAlign w:val="bottom"/>
          </w:tcPr>
          <w:p>
            <w:pPr>
              <w:spacing w:after="0"/>
              <w:rPr>
                <w:sz w:val="11"/>
                <w:szCs w:val="11"/>
                <w:color w:val="auto"/>
              </w:rPr>
            </w:pPr>
          </w:p>
        </w:tc>
        <w:tc>
          <w:tcPr>
            <w:tcW w:w="7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1"/>
                <w:szCs w:val="11"/>
                <w:color w:val="auto"/>
              </w:rPr>
            </w:pPr>
          </w:p>
        </w:tc>
        <w:tc>
          <w:tcPr>
            <w:tcW w:w="70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Building base 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205,446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w w:val="89"/>
              </w:rPr>
              <w:t>$ 168,633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45,689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55,899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492,343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Land base rent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70,477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53,294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10,020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8,785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142,576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23,680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10,020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119,446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Total cash rental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340,851</w:t>
            </w:r>
          </w:p>
        </w:tc>
        <w:tc>
          <w:tcPr>
            <w:tcW w:w="120" w:type="dxa"/>
            <w:vAlign w:val="bottom"/>
          </w:tcPr>
          <w:p>
            <w:pPr>
              <w:spacing w:after="0"/>
              <w:rPr>
                <w:sz w:val="20"/>
                <w:szCs w:val="20"/>
                <w:color w:val="auto"/>
              </w:rPr>
            </w:pPr>
          </w:p>
        </w:tc>
        <w:tc>
          <w:tcPr>
            <w:tcW w:w="920" w:type="dxa"/>
            <w:vAlign w:val="bottom"/>
            <w:tcBorders>
              <w:top w:val="single" w:sz="8" w:color="auto"/>
            </w:tcBorders>
            <w:gridSpan w:val="2"/>
          </w:tcPr>
          <w:p>
            <w:pPr>
              <w:jc w:val="right"/>
              <w:ind w:right="94"/>
              <w:spacing w:after="0"/>
              <w:rPr>
                <w:sz w:val="20"/>
                <w:szCs w:val="20"/>
                <w:color w:val="auto"/>
              </w:rPr>
            </w:pPr>
            <w:r>
              <w:rPr>
                <w:rFonts w:ascii="Arial" w:cs="Arial" w:eastAsia="Arial" w:hAnsi="Arial"/>
                <w:sz w:val="18"/>
                <w:szCs w:val="18"/>
                <w:color w:val="auto"/>
                <w:w w:val="89"/>
              </w:rPr>
              <w:t>$ 245,607</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65,729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73,058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18,226</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754,365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Straight-line rent adjustments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21"/>
                <w:szCs w:val="21"/>
                <w:color w:val="auto"/>
              </w:rPr>
            </w:pPr>
          </w:p>
        </w:tc>
        <w:tc>
          <w:tcPr>
            <w:tcW w:w="920" w:type="dxa"/>
            <w:vAlign w:val="bottom"/>
            <w:gridSpan w:val="2"/>
          </w:tcPr>
          <w:p>
            <w:pPr>
              <w:jc w:val="right"/>
              <w:ind w:right="34"/>
              <w:spacing w:after="0"/>
              <w:rPr>
                <w:sz w:val="20"/>
                <w:szCs w:val="20"/>
                <w:color w:val="auto"/>
              </w:rPr>
            </w:pPr>
            <w:r>
              <w:rPr>
                <w:rFonts w:ascii="Arial" w:cs="Arial" w:eastAsia="Arial" w:hAnsi="Arial"/>
                <w:sz w:val="18"/>
                <w:szCs w:val="18"/>
                <w:color w:val="auto"/>
                <w:w w:val="95"/>
              </w:rPr>
              <w:t>$ (18,955)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(25,930)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6,746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Other rental revenue</w:t>
            </w:r>
          </w:p>
        </w:tc>
        <w:tc>
          <w:tcPr>
            <w:tcW w:w="1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rental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350,384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w w:val="89"/>
              </w:rPr>
              <w:t>$ 231,990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63,791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745,030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w w:val="93"/>
              </w:rPr>
              <w:t>Interest income from mortgaged</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4"/>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16,771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21,600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w w:val="95"/>
              </w:rPr>
              <w:t>Total income from real estate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350,384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w w:val="89"/>
              </w:rPr>
              <w:t>$ 231,990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80,562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72,419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766,630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Gaming, food, beverage and other revenue for our TRS Properties segment, was flat for the three months ended September 30, 2019, as compared to the three months ended September 30, 2018. Gaming, food, beverage and other revenue for our TRS Properties segment, decreased by $4.5 million, or 4.4%, for the nine months ended September 30, 2019, as compared to the nine months ended September 30, 2018, primarily due to decreases in revenues at both properties, driven by general market deterioration in the Baton Rouge region and the June 2018 smoking ban at all Baton Rouge casinos that went into effect late in the second quarter of 2018, as well as decreased admissions at Hollywood Casino Perryville.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30" w:right="29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and nine months ended September 30, 2019 and 2018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9"/>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264"/>
        </w:trPr>
        <w:tc>
          <w:tcPr>
            <w:tcW w:w="50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Variance</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Variance</w:t>
            </w: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18,549</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(21,586)</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57,302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30,035</w:t>
            </w:r>
          </w:p>
        </w:tc>
        <w:tc>
          <w:tcPr>
            <w:tcW w:w="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110.2 %</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99,987</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89,305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10,682</w:t>
            </w:r>
          </w:p>
        </w:tc>
        <w:tc>
          <w:tcPr>
            <w:tcW w:w="20" w:type="dxa"/>
            <w:vAlign w:val="bottom"/>
            <w:tcBorders>
              <w:top w:val="single" w:sz="8" w:color="auto"/>
              <w:bottom w:val="single" w:sz="8" w:color="auto"/>
            </w:tcBorders>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12.0 %</w:t>
            </w:r>
          </w:p>
        </w:tc>
        <w:tc>
          <w:tcPr>
            <w:tcW w:w="20" w:type="dxa"/>
            <w:vAlign w:val="bottom"/>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9"/>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Percentage</w:t>
            </w:r>
          </w:p>
        </w:tc>
      </w:tr>
      <w:tr>
        <w:trPr>
          <w:trHeight w:val="264"/>
        </w:trPr>
        <w:tc>
          <w:tcPr>
            <w:tcW w:w="504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Variance</w:t>
            </w:r>
          </w:p>
        </w:tc>
        <w:tc>
          <w:tcPr>
            <w:tcW w:w="20" w:type="dxa"/>
            <w:vAlign w:val="bottom"/>
          </w:tcPr>
          <w:p>
            <w:pPr>
              <w:spacing w:after="0"/>
              <w:rPr>
                <w:sz w:val="22"/>
                <w:szCs w:val="2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56,739</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64,981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(64,981)</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14,112</w:t>
            </w: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20" w:type="dxa"/>
            <w:vAlign w:val="bottom"/>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48,266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56,272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(8,006)</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183,745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101,001</w:t>
            </w:r>
          </w:p>
        </w:tc>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122.1 %</w:t>
            </w:r>
          </w:p>
        </w:tc>
        <w:tc>
          <w:tcPr>
            <w:tcW w:w="20" w:type="dxa"/>
            <w:vAlign w:val="bottom"/>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Loan impairment charges</w:t>
            </w:r>
          </w:p>
        </w:tc>
        <w:tc>
          <w:tcPr>
            <w:tcW w:w="2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2"/>
          </w:tcPr>
          <w:p>
            <w:pPr>
              <w:ind w:left="1020"/>
              <w:spacing w:after="0"/>
              <w:rPr>
                <w:sz w:val="20"/>
                <w:szCs w:val="20"/>
                <w:color w:val="auto"/>
              </w:rPr>
            </w:pPr>
            <w:r>
              <w:rPr>
                <w:rFonts w:ascii="Arial" w:cs="Arial" w:eastAsia="Arial" w:hAnsi="Arial"/>
                <w:sz w:val="18"/>
                <w:szCs w:val="18"/>
                <w:color w:val="auto"/>
              </w:rPr>
              <w:t>N/A</w:t>
            </w:r>
          </w:p>
        </w:tc>
      </w:tr>
      <w:tr>
        <w:trPr>
          <w:trHeight w:val="27"/>
        </w:trPr>
        <w:tc>
          <w:tcPr>
            <w:tcW w:w="50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335,322</w:t>
            </w:r>
          </w:p>
        </w:tc>
        <w:tc>
          <w:tcPr>
            <w:tcW w:w="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282,484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52,838</w:t>
            </w:r>
          </w:p>
        </w:tc>
        <w:tc>
          <w:tcPr>
            <w:tcW w:w="2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20" w:type="dxa"/>
            <w:vAlign w:val="bottom"/>
          </w:tcPr>
          <w:p>
            <w:pPr>
              <w:spacing w:after="0"/>
              <w:rPr>
                <w:sz w:val="22"/>
                <w:szCs w:val="22"/>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Real estate taxes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Real estate taxes decreased as we are no longer required to gross-up our financial statements for the real estate taxes paid directly by our tenants under ASC 842. In December 2018, the FASB issued ASU 2018-20, which clarifies that lessor costs paid directly to a third-party by a lessee on behalf of the lessor, are no longer required to be recognized in the lessor's financial statements. Therefore, upon the adoption of ASU 2016-02 on January 1, 2019, we are no longer required to gross-up our financial statements for real estate taxes paid directly to third-parties by our tenants.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increased by $2.6 million, or 40.3%, for the three months ended September 30, 2019, as compared to the three months ended September 30, 2018, primarily due to our acquisition of rights to six long-term ground leases in connection with the October 2018 Tropicana Acquisition. In connection with this acquisition, we acquired land rights to long-term leases which are recorded on our consolidated balance sheet as land right assets and amortized over the term of the leases, including renewal options. We also record rent expense related to these ground leases with offsetting revenue recorded within the consolidated statements of income as we have concluded that as the lessee we are the primary obligor under the ground leases. We sublease these ground leases back to our tenants, who are responsible for payment directly to the landlord. Land rights and ground lease expense increased by $14.1 million, or 72.5%, for the nine months ended September 30, 2019, as compared to the nine months ended September 30, 2018 for the reason described above, as well as accelerated land rights amortization expense related to the closure of the Resorts Casino Tunica property by our tenant in the second quarter of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General and administrative expenses include items such as compensation costs (including stock based compensation), professional services and costs associated with development activities. General and administrative expenses were flat for the three months ended September 30, 2019, as compared to the three months ended September 30, 2018. General and administrative expenses decreased by $8.0 million or 14.2%, for the nine months ended September 30, 2019, as compared to the nine months ended September 30, 2018, primarily due to the absence of retirement costs related to the retirement of our former Chief Financial Officer in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Depreciation expense increased by $30.0 million, or 110.2%, to $57.3 million for the three months ended September 30, 2019 as compared to the three months ended September 30, 2018, primarily due to the addition of the Tropicana and Plainridge Park real estate assets to our portfolio and the reclassification of the Pinnacle building assets to real estate investments on our balance sheet as a result of the Penn-Pinnacle Merger, which required the Amended Pinnacle Master Lease to be treated as an operating lease in its entirety. Depreciation expense increased by $101.0 million, or 122.1%, to $183.7 million for the nine months ended September 30, 2019 as compared to the nine months ended September 30, 2018, for the reasons described above, as well as the acceleration of depreciation related to the closure of the Resorts Casino Tunica property by our tenant in the second quarter of 2019.</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impairment charges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March 17, 2017 the Company provided a new unsecured $13.0 million, 5.5-year term loan to CQ Holding Company, Inc., an affiliate of Casino Queen ("CQ Holding Company"), to partially finance its acquisition of Lady Luck Casino in Marquette, Iowa. During 2018, the operating results of Casino Queen declined substantially and Casino Queen defaulted under its senior credit agreement and also the unsecured loan with GLPI. As a result, the operations of Casino Queen were put up for sale during the fourth quarter of 2018. At December 31, 2018, active negotiations for the sale of Casino Queen's operations were taking place and full payment of the principal was still expected, due to the anticipation that the operations were to be sold in the near term for an amount allowing for repayment of the full $13.0 million of loan principal due to GLPI.</w:t>
      </w:r>
    </w:p>
    <w:p>
      <w:pPr>
        <w:spacing w:after="0" w:line="17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During the first quarter of 2019, the operating results of Casino Queen continued to decline, resulting in the anticipated acquirer withdrawing from the sales process. Subsequent offers for the operating assets of Casino Queen have declined substantially and proceeds from the sale are not expected to generate enough cash to repay all of Casino Queen’s creditors. Thus, because the Company does not expect Casino Queen to be able to repay the $13.0 million of principal due to it under the unsecured loan agreement, the full $13.0 million of principal was written off at March 31, 2019. The Company has recorded an impairment charge of $13.0 million through the condensed consolidated statement of income for the nine months ended September 30, 2019 to reflect the write-off of the Casino Queen loan.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and nine months ended September 30, 2019 and 2018 were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264"/>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(83.4)%</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8"/>
                <w:szCs w:val="18"/>
                <w:color w:val="auto"/>
              </w:rPr>
              <w:t>N/A</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 other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(95,890)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62.7 %</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02"/>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264"/>
        </w:trPr>
        <w:tc>
          <w:tcPr>
            <w:tcW w:w="5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(56,898)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505.1 %</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Total other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(248,804)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(172,147)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44.5 %</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Interest expense increased by $14.8 million, or 24.5%, for the three months ended September 30, 2019, as compared to the three months ended September 30, 2018, primarily due to the issuance of $1,100.0 million aggregate par value of new senior unsecured notes during September 2018 and to a lesser extent the issuance of $400 million of 3.35% senior unsecured notes due 2024 and $700 million of 4.00% senior unsecured notes due 2030 during the third quarter of 2019 and increased borrowings under our revolving credit facility. These increases were partially offset by a decrease in interest expense related to the repayment of outstanding borrowings under the Company's revolving credit facility and Term Loan A-1 facility, as well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2019 Tender Offer (as defined below), all of which were repaid with the proceeds from the issuance of the 2024 Notes and 2030 Notes during the third quarter of 2019.</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Interest expense increased by $56.9 million or, 33.2%, for the nine months ended September 30, 2019, as compared to the nine months ended September 30, 2018, primarily due to the explanations above, in addition to the issuance of $1,000.0 million aggregate par value of new senior unsecured notes during May 2018, partially offset by a decrease in interest expense related to the termination of the Term Loan A facility, partial repayment of the Term Loan A-1 facility and the tender and call of our 4.375% senior unsecured notes due 2018. The proceeds from the issuance of the senior unsecured notes in 2018 and our increased borrowings were used to finance the Tropicana Transactions, to purchase Plainridge Park and to fund the Belterra Park Loan.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Losses on debt extinguishment</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 outstanding 2020 Notes in connection with the 2019 Tender Offer at a price of</w:t>
      </w:r>
    </w:p>
    <w:p>
      <w:pPr>
        <w:ind w:right="100"/>
        <w:spacing w:after="0" w:line="253" w:lineRule="auto"/>
        <w:rPr>
          <w:sz w:val="20"/>
          <w:szCs w:val="20"/>
          <w:color w:val="auto"/>
        </w:rPr>
      </w:pPr>
      <w:r>
        <w:rPr>
          <w:rFonts w:ascii="Arial" w:cs="Arial" w:eastAsia="Arial" w:hAnsi="Arial"/>
          <w:sz w:val="18"/>
          <w:szCs w:val="18"/>
          <w:color w:val="auto"/>
        </w:rPr>
        <w:t>102.337% of the unpaid principal amount plus accrued and unpaid interest through the settlement date. Subsequent to the early tender deadline, an additional $2.2 million in aggregate principal of the 2020 Notes were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reaquisition price of the tendered 2020 Notes and their net carrying value.</w:t>
      </w:r>
    </w:p>
    <w:p>
      <w:pPr>
        <w:spacing w:after="0" w:line="19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May 21, 2018, the Company entered into the second amendment to the senior unsecured credit facility (the "Credit Facility"), which increased the Company's revolving commitments to an aggregate principal amount of $1,100 million (the revolving credit facility was subsequently increased to $1,175 million in October 2018), eliminated the Term Loan A facility and extended the maturity date of the revolving credit facility to May 21, 2023. 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9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Also on May 21, 2018, the Company completed a cash tender offer (the "2018 Tender Offer") to purchase any and all of the outstanding $550 million aggregate principal of its 4.375% Senior Unsecured Notes due 2018 (the "2018 Notes"). The Company received tenders from the holders of approximately $393.5 million in aggregate principal of the 2018 Notes, or approximately 72% of its outstanding 2018 Notes in connection with the 2018 Tender Offer at a price of 100.396% of the unpaid principal amount plus accrued and unpaid interest through the settlement date. The Company recorded a loss on the early extinguishment of debt related to the 2018 Tender Offer, of approximately $2.5 million, for the difference between the reaquisition price of the tendered 2018 Notes and their net carrying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During the three months ended September 30, 2019 and 2018, income tax expense was approximately $1.2 million and $1.1 million, respectively. Our effective tax rate (income taxes as a percentage of income before income taxes) was 1.3% for the three months ended September 30, 2019, as compared to 1.0% for the three months ended September 30, 2018. During the nine months ended September 30, 2019 and 2018, income tax expense was approximately $3.8 million and $4.2 million, respectively. Our effective tax rate was 1.3% for the nine months ended September 30, 2019, as compared to 1.4% for the nine months ended September 30,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Net cash provided by operating activities was $583.7 million and $518.2 million during the nine months ended September 30, 2019 and 2018, respectively. The increase in net cash provided by operating activities of $65.5 million for the nine months ended September 30, 2019 as compared to the corresponding period in the prior year was primarily comprised of an increase in cash receipts from customers/tenants of $146.5 million and a decrease in cash paid to employees of $3.3 million, partially offset by increases in cash paid for interest and cash paid for operating expenses of $70.9 million and $6.2 million respectively. The increase in cash receipts collected from our customers and tenants for the nine months ended September 30,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2019 as compared to the corresponding period in the prior year was primarily due to the Tropicana Transactions and the Penn-Pinnacle Merger both of which occurred in the fourth quarter of 2018, partially offset by a decrease in our TRS Properties' revenues. The increase in cash paid for interest was related to the Company's 2018 borrowings which were used to fund the Tropicana Transactions, the acquisition of Plainridge Park and the Belterra Park Loan.</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Investing activities used cash of $2.0 million and provided cash of $21.9 million during the nine months ended September 30, 2019 and 2018, respectively. Net cash used in investing activities during the nine months ended September 30, 2019 primarily consisted of capital expenditures of $2.3 million, partially offset by proceeds from sales of property and equipment of $0.2 million. Net cash provided by investing activities during the nine months ended September 30, 2018 primarily consisted of rental payments received from tenants and applied against the lease receivable on our balance sheet of $37.2 million, partially offset by $15.6 million of payments related to the October 1, 2018 acquisition of the Tropicana real estate assets.</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Financing activities used cash of $581.9 million and provided cash of $593.6 million during the nine months ended September 30, 2019 and 2018, respectively. Net cash used in financing activities during the nine months ended September 30, 2019 was driven by repayments of long-term debt of $1,417.9 million, dividend payments of $438.6 million, $18.9 million of premium and related costs paid on the tender of senior unsecured notes, taxes paid related to shares withheld for tax purposes on restricted stock award vestings, net of stock option exercises of $9.1 million and financing and ATM Program offering costs of $10.2 million, partially offset by $1,312.9 million of proceeds from the issuance of long-term debt. During the nine months ended September 30, 2019, the Company issued $1,100.0 million par value in new senior unsecured notes, completed a cash tender for a portion of our 2020 Notes, repaid borrowings under our Term Loan A-1 and revolving credit facilities and launched a $600 million ATM Program. Net cash provided by financing activities during the nine months ended September 30, 2018 was driven by proceeds from the issuance of long-term debt of $2,107.4 million and proceeds from stock option exercises, net of taxes paid related to shares withheld for tax purposes on restricted stock award vestings, of $3.7 million, partially offset by dividend payments of $404.6 million, repayments of long-term debt of $1,080.1 million, financing costs of $30.9 million and $1.9 million of premium and related costs paid on the tender of senior unsecured notes. During the nine months ended September 30, 2018, the Company issued $2,100.0 million par value in new senior unsecured notes, completed a tender and redemption of the 2018 Notes, repaid a portion of the Term Loan A-1 facility and extinguished the Term Loan A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nine months ended September 30, 2019 and 2018, the TRS Properties spent approximately $2.3 million and $3.0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Company's Credit Facility consists of a $1,175 million revolving credit facility and a $449 million Term Loan A-1 facility. The revolving credit facility matures on May 21, 2023 and the Term Loan A-1 facility matures on April 28, 2021. At September 30, 2019, the interest rate on the term loan facility and revolver is LIBOR plus 1.50%.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September 30, 2019, the Credit Facility had a gross outstanding balance of $509 million, consisting of the $449 million Term Loan A-1 facility and $60 million of borrowings under the revolving credit facility. Additionally, at September 30, 2019, the Company was contingently obligated under letters of credit issued pursuant to the Credit Facility with face amounts aggregating approximately $0.4 million, resulting in $1,114.6 million of available borrowing capacity under the revolving credit facility as of September 30, 2019.</w:t>
      </w:r>
    </w:p>
    <w:p>
      <w:pPr>
        <w:spacing w:after="0" w:line="18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Credit Facility contains customary covenants that, among other things, restrict, subject to certain exceptions, the ability of GLPI and its subsidiaries to grant liens on their assets, incur indebtedness, sell assets, make investments, engage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September 30, 2019, the Company was in compliance with all required financial covenants under the Credit Facility.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August 29, 2019, the Company issued $400 million of 3.35% Senior Unsecured Notes maturing on September 1, 2024 at an issue price equal to 99.899% of the principal amount (the "2024 Notes") and $700 million of 4.00% Senior Unsecured Notes maturing on January 15, 2030 at an issue price equal to 99.751% of the principal amount (the "2030 Notes"). Interest on the 2024 Notes is payable semi-annually on March 1 and September 1 of each year, commencing on March 1, 2020. Interest on the 2030 Notes is payable semi-annually on January 15 and July 15 of each year, commencing on January 15, 2020. The net proceeds from the sale of the 2024 Notes and 2030 Notes were used to i) finance the Company's cash tender offer to purchase its 4.875% Senior Unsecured Notes due 2020 (described below) (ii) repay outstanding borrowings under the Company's revolving credit facility and (iii) repay a portion of the outstanding borrowings under the Company's Term Loan A-1 facility.</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 outstanding 2020 Notes in connection with the 2019 Tender Offer at a price of</w:t>
      </w:r>
    </w:p>
    <w:p>
      <w:pPr>
        <w:ind w:right="100"/>
        <w:spacing w:after="0" w:line="253" w:lineRule="auto"/>
        <w:rPr>
          <w:sz w:val="20"/>
          <w:szCs w:val="20"/>
          <w:color w:val="auto"/>
        </w:rPr>
      </w:pPr>
      <w:r>
        <w:rPr>
          <w:rFonts w:ascii="Arial" w:cs="Arial" w:eastAsia="Arial" w:hAnsi="Arial"/>
          <w:sz w:val="18"/>
          <w:szCs w:val="18"/>
          <w:color w:val="auto"/>
        </w:rPr>
        <w:t>102.337% of the unpaid principal amount plus accrued and unpaid interest through the settlement date. Subsequent to the early tender deadline, an additional $2.2 million in aggregate principal of the 2020 Notes were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reaquisition price of the tendered 2020 Notes and their net carrying value.</w:t>
      </w:r>
    </w:p>
    <w:p>
      <w:pPr>
        <w:spacing w:after="0" w:line="191" w:lineRule="exact"/>
        <w:rPr>
          <w:sz w:val="20"/>
          <w:szCs w:val="20"/>
          <w:color w:val="auto"/>
        </w:rPr>
      </w:pPr>
    </w:p>
    <w:p>
      <w:pPr>
        <w:ind w:right="60" w:firstLine="693"/>
        <w:spacing w:after="0" w:line="257" w:lineRule="auto"/>
        <w:rPr>
          <w:sz w:val="20"/>
          <w:szCs w:val="20"/>
          <w:color w:val="auto"/>
        </w:rPr>
      </w:pPr>
      <w:r>
        <w:rPr>
          <w:rFonts w:ascii="Arial" w:cs="Arial" w:eastAsia="Arial" w:hAnsi="Arial"/>
          <w:sz w:val="18"/>
          <w:szCs w:val="18"/>
          <w:color w:val="auto"/>
        </w:rPr>
        <w:t>Including the recently issued 2024 Notes and 2030 Notes, at September 30, 2019, the Company had $5,290.2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2019, the Company was in compliance with all required financial covenants under the Senior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Finance Lease Liability</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assumed the finance lease obligations related to certain assets at its Aurora, Illinois property. GLPI recorded the asset and liability associated with the finance lease on its condensed consolidated balance sheet. The original term of the finance lease is 30 years and it will terminate in 2026.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Requirements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amount specified under U.S. federal income tax laws. We intend to make distributions to our shareholders to comply with the REIT requirements of the Code.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GLPI’s primary market risk exposure is interest rate risk with respect to its indebtedness of $5,800.2 million at September 30, 2019. Furthermore,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$5,290.2 million of our obligations at September 30, 2019, are the Senior Notes that have fixed interest rates with maturity dates ranging from one year to 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one-half years. An increase in interest rates could make the financing of any acquisition by GLPI more costly, as well as increase the costs of its variable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debt obligations. Rising interest rates could also limit GLPI’s ability to refinance its debt when it matures or cause GLPI to pay higher interest rates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refinancing and increase interest expense on refinanced indebtedness. GLPI may manage, or hedge, interest rate risks related to its borrowings by means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 However, the provisions of the Code applicable to REITs limit GLPI’s ability to hedge its assets and liabilities.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September 30, 2019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September 30, 2019.</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w w:val="97"/>
              </w:rPr>
              <w:t>10/01/19-</w:t>
            </w:r>
          </w:p>
        </w:tc>
        <w:tc>
          <w:tcPr>
            <w:tcW w:w="26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7"/>
              </w:rPr>
              <w:t>1/01/20-</w:t>
            </w:r>
          </w:p>
        </w:tc>
        <w:tc>
          <w:tcPr>
            <w:tcW w:w="260" w:type="dxa"/>
            <w:vAlign w:val="bottom"/>
          </w:tcPr>
          <w:p>
            <w:pPr>
              <w:spacing w:after="0"/>
              <w:rPr>
                <w:sz w:val="14"/>
                <w:szCs w:val="14"/>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7"/>
              </w:rPr>
              <w:t>1/01/21-</w:t>
            </w:r>
          </w:p>
        </w:tc>
        <w:tc>
          <w:tcPr>
            <w:tcW w:w="22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1/01/22-</w:t>
            </w:r>
          </w:p>
        </w:tc>
        <w:tc>
          <w:tcPr>
            <w:tcW w:w="24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1/01/23-</w:t>
            </w:r>
          </w:p>
        </w:tc>
        <w:tc>
          <w:tcPr>
            <w:tcW w:w="22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Thereafter</w:t>
            </w:r>
          </w:p>
        </w:tc>
        <w:tc>
          <w:tcPr>
            <w:tcW w:w="280" w:type="dxa"/>
            <w:vAlign w:val="bottom"/>
          </w:tcPr>
          <w:p>
            <w:pPr>
              <w:spacing w:after="0"/>
              <w:rPr>
                <w:sz w:val="14"/>
                <w:szCs w:val="14"/>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12/31/19</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12/31/20</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12/31/21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12/31/22</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12/31/23</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9/30/2019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ind w:left="5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14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215,174</w:t>
            </w:r>
          </w:p>
        </w:tc>
        <w:tc>
          <w:tcPr>
            <w:tcW w:w="2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ind w:left="48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4,175,000</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5,290,174</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5,681,846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5"/>
              </w:rPr>
              <w:t>4.88%</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5"/>
              </w:rPr>
              <w:t>4.38%</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5"/>
              </w:rPr>
              <w:t>5.38%</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4.96%</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509,000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503,949</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color w:val="auto"/>
                <w:w w:val="95"/>
              </w:rPr>
              <w:t>3.45%</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color w:val="auto"/>
                <w:w w:val="95"/>
              </w:rPr>
              <w:t>3.38%</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60" w:hanging="552"/>
        <w:spacing w:after="0"/>
        <w:tabs>
          <w:tab w:leader="none" w:pos="5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Estimated rate, reflective of forward LIBOR plus the spread over LIBOR applicable to variable-rate borrowing.</w:t>
      </w:r>
    </w:p>
    <w:p>
      <w:pPr>
        <w:spacing w:after="0" w:line="200" w:lineRule="exact"/>
        <w:rPr>
          <w:rFonts w:ascii="Arial" w:cs="Arial" w:eastAsia="Arial" w:hAnsi="Arial"/>
          <w:sz w:val="22"/>
          <w:szCs w:val="22"/>
          <w:color w:val="auto"/>
          <w:vertAlign w:val="superscript"/>
        </w:rPr>
      </w:pPr>
    </w:p>
    <w:p>
      <w:pPr>
        <w:spacing w:after="0" w:line="210"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2019,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2019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w:t>
      </w:r>
    </w:p>
    <w:p>
      <w:pPr>
        <w:spacing w:after="0" w:line="7" w:lineRule="exact"/>
        <w:rPr>
          <w:sz w:val="20"/>
          <w:szCs w:val="20"/>
          <w:color w:val="auto"/>
        </w:rPr>
      </w:pPr>
    </w:p>
    <w:p>
      <w:pPr>
        <w:ind w:right="260" w:firstLine="8"/>
        <w:spacing w:after="0" w:line="261"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the Company’s principal executive officer and principal financial officer, as appropriate to allow timely decisions regarding required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implemented controls to ensure we had identified and adequately evaluated our lease agreements and properly assessed the impact of ASU 2016-02 on our financial statements to facilitate the adoption of this new guidance on January 1,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30"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680" w:firstLine="648"/>
        <w:spacing w:after="0" w:line="274" w:lineRule="auto"/>
        <w:rPr>
          <w:sz w:val="20"/>
          <w:szCs w:val="20"/>
          <w:color w:val="auto"/>
        </w:rPr>
      </w:pPr>
      <w:r>
        <w:rPr>
          <w:rFonts w:ascii="Arial" w:cs="Arial" w:eastAsia="Arial" w:hAnsi="Arial"/>
          <w:sz w:val="17"/>
          <w:szCs w:val="17"/>
          <w:color w:val="auto"/>
        </w:rPr>
        <w:t>Risk factors that affect our business and financial results are discussed in Part I, "Item 1A. Risk Factors," of our Annual Report. There have been no material changes in our risk factors from those previously disclosed in our</w:t>
      </w:r>
    </w:p>
    <w:p>
      <w:pPr>
        <w:ind w:right="2620"/>
        <w:spacing w:after="0" w:line="271" w:lineRule="auto"/>
        <w:rPr>
          <w:sz w:val="20"/>
          <w:szCs w:val="20"/>
          <w:color w:val="auto"/>
        </w:rPr>
      </w:pPr>
      <w:r>
        <w:rPr>
          <w:rFonts w:ascii="Arial" w:cs="Arial" w:eastAsia="Arial" w:hAnsi="Arial"/>
          <w:sz w:val="17"/>
          <w:szCs w:val="17"/>
          <w:color w:val="auto"/>
        </w:rPr>
        <w:t>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September 30,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30" w:right="27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800" w:type="dxa"/>
            <w:vAlign w:val="bottom"/>
            <w:gridSpan w:val="10"/>
          </w:tcPr>
          <w:p>
            <w:pPr>
              <w:ind w:left="2180"/>
              <w:spacing w:after="0"/>
              <w:rPr>
                <w:sz w:val="20"/>
                <w:szCs w:val="20"/>
                <w:color w:val="auto"/>
              </w:rPr>
            </w:pPr>
            <w:r>
              <w:rPr>
                <w:rFonts w:ascii="Arial" w:cs="Arial" w:eastAsia="Arial" w:hAnsi="Arial"/>
                <w:sz w:val="14"/>
                <w:szCs w:val="14"/>
                <w:b w:val="1"/>
                <w:bCs w:val="1"/>
                <w:color w:val="auto"/>
              </w:rPr>
              <w:t>Description of Exhibit</w:t>
            </w:r>
          </w:p>
        </w:tc>
      </w:tr>
      <w:tr>
        <w:trPr>
          <w:trHeight w:val="472"/>
        </w:trPr>
        <w:tc>
          <w:tcPr>
            <w:tcW w:w="12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60" w:type="dxa"/>
            <w:vAlign w:val="bottom"/>
            <w:tcBorders>
              <w:top w:val="single" w:sz="8" w:color="auto"/>
            </w:tcBorders>
            <w:gridSpan w:val="12"/>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Eighth Supplemental Indenture, dated August 29, 2019, among GLP Capital, L.P. and GLP Financing II, Inc., as issuers, Gaming and</w:t>
              </w:r>
            </w:hyperlink>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8"/>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Leisure Properties, Inc., as parent guarantor, and Wells Fargo Bank, National Association, as trustee, relating to the issuers’ 3.350%</w:t>
              </w:r>
            </w:hyperlink>
          </w:p>
        </w:tc>
        <w:tc>
          <w:tcPr>
            <w:tcW w:w="26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Senior Notes due 2024. (Incorporated by reference to Exhibit 4.3 of the Company's current report on Form 8-K, filed on September 5,</w:t>
              </w:r>
            </w:hyperlink>
          </w:p>
        </w:tc>
        <w:tc>
          <w:tcPr>
            <w:tcW w:w="2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2019).</w:t>
              </w:r>
            </w:hyperlink>
          </w:p>
        </w:tc>
        <w:tc>
          <w:tcPr>
            <w:tcW w:w="1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1260" w:type="dxa"/>
            <w:vAlign w:val="bottom"/>
          </w:tcPr>
          <w:p>
            <w:pPr>
              <w:ind w:left="2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7"/>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Ninth Supplemental Indenture, dated August 29, 2019, among GLP Capital, L.P. and GLP Financing II, Inc., as issuers, Gaming and</w:t>
              </w:r>
            </w:hyperlink>
          </w:p>
        </w:tc>
        <w:tc>
          <w:tcPr>
            <w:tcW w:w="3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Leisure Properties, Inc., as parent guarantor, and Wells Fargo Bank, National Association, as trustee, relating to the issuers’ 4.000%</w:t>
              </w:r>
            </w:hyperlink>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Senior Notes due 2030. (Incorporated by reference to Exhibit 4.4 of the Company's current report on Form 8-K, filed on September 5,</w:t>
              </w:r>
            </w:hyperlink>
          </w:p>
        </w:tc>
        <w:tc>
          <w:tcPr>
            <w:tcW w:w="2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2019).</w:t>
              </w:r>
            </w:hyperlink>
          </w:p>
        </w:tc>
        <w:tc>
          <w:tcPr>
            <w:tcW w:w="1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1260" w:type="dxa"/>
            <w:vAlign w:val="bottom"/>
          </w:tcPr>
          <w:p>
            <w:pPr>
              <w:ind w:left="2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1"/>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Form of 2024 Note. (Incorporated by reference to Exhibit 4.5 and included in Exhibit 4.3 of the Company's current report on Form 8-K,</w:t>
              </w:r>
            </w:hyperlink>
          </w:p>
        </w:tc>
        <w:tc>
          <w:tcPr>
            <w:tcW w:w="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filed on September 5, 2019).</w:t>
              </w:r>
            </w:hyperlink>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260" w:type="dxa"/>
            <w:vAlign w:val="bottom"/>
          </w:tcPr>
          <w:p>
            <w:pPr>
              <w:ind w:left="2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0"/>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2030 Note (Incorporated by reference to Exhibit 4.6 and included in Exhibit 4.4 of the Company's current report on Form 8-K,</w:t>
              </w:r>
            </w:hyperlink>
          </w:p>
        </w:tc>
        <w:tc>
          <w:tcPr>
            <w:tcW w:w="10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filed on September 5, 2019).</w:t>
              </w:r>
            </w:hyperlink>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r>
      <w:tr>
        <w:trPr>
          <w:trHeight w:val="372"/>
        </w:trPr>
        <w:tc>
          <w:tcPr>
            <w:tcW w:w="1260" w:type="dxa"/>
            <w:vAlign w:val="bottom"/>
          </w:tcPr>
          <w:p>
            <w:pPr>
              <w:ind w:left="2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CEO Certification pursuant to Rule 13a-14(a) or 15d-14(a) of the Securities Exchange Act of 1934.</w:t>
              </w:r>
            </w:hyperlink>
          </w:p>
        </w:tc>
        <w:tc>
          <w:tcPr>
            <w:tcW w:w="2680" w:type="dxa"/>
            <w:vAlign w:val="bottom"/>
            <w:gridSpan w:val="8"/>
          </w:tcPr>
          <w:p>
            <w:pPr>
              <w:spacing w:after="0"/>
              <w:rPr>
                <w:sz w:val="24"/>
                <w:szCs w:val="24"/>
                <w:color w:val="auto"/>
              </w:rPr>
            </w:pPr>
          </w:p>
        </w:tc>
      </w:tr>
      <w:tr>
        <w:trPr>
          <w:trHeight w:val="520"/>
        </w:trPr>
        <w:tc>
          <w:tcPr>
            <w:tcW w:w="1260" w:type="dxa"/>
            <w:vAlign w:val="bottom"/>
          </w:tcPr>
          <w:p>
            <w:pPr>
              <w:ind w:left="2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CFO Certification pursuant to Rule 13a-14(a) or 15d-14(a) of the Securities Exchange Act of 1934.</w:t>
              </w:r>
            </w:hyperlink>
          </w:p>
        </w:tc>
        <w:tc>
          <w:tcPr>
            <w:tcW w:w="2700" w:type="dxa"/>
            <w:vAlign w:val="bottom"/>
            <w:gridSpan w:val="9"/>
          </w:tcPr>
          <w:p>
            <w:pPr>
              <w:spacing w:after="0"/>
              <w:rPr>
                <w:sz w:val="24"/>
                <w:szCs w:val="24"/>
                <w:color w:val="auto"/>
              </w:rPr>
            </w:pPr>
          </w:p>
        </w:tc>
      </w:tr>
      <w:tr>
        <w:trPr>
          <w:trHeight w:val="520"/>
        </w:trPr>
        <w:tc>
          <w:tcPr>
            <w:tcW w:w="1260" w:type="dxa"/>
            <w:vAlign w:val="bottom"/>
          </w:tcPr>
          <w:p>
            <w:pPr>
              <w:ind w:left="2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2"/>
          </w:tcPr>
          <w:p>
            <w:pPr>
              <w:spacing w:after="0"/>
              <w:rPr>
                <w:rFonts w:ascii="Arial" w:cs="Arial" w:eastAsia="Arial" w:hAnsi="Arial"/>
                <w:sz w:val="18"/>
                <w:szCs w:val="18"/>
                <w:color w:val="0000FF"/>
                <w:w w:val="97"/>
              </w:rPr>
            </w:pPr>
            <w:hyperlink w:anchor="page58">
              <w:r>
                <w:rPr>
                  <w:rFonts w:ascii="Arial" w:cs="Arial" w:eastAsia="Arial" w:hAnsi="Arial"/>
                  <w:sz w:val="18"/>
                  <w:szCs w:val="18"/>
                  <w:color w:val="0000FF"/>
                  <w:w w:val="97"/>
                </w:rPr>
                <w:t>CEO Certification pursuant to 18 U.S.C. Section 1350, as adopted pursuant to Section 906 of the Sarbanes-Oxley Act of 2002.</w:t>
              </w:r>
            </w:hyperlink>
          </w:p>
        </w:tc>
      </w:tr>
      <w:tr>
        <w:trPr>
          <w:trHeight w:val="520"/>
        </w:trPr>
        <w:tc>
          <w:tcPr>
            <w:tcW w:w="1260" w:type="dxa"/>
            <w:vAlign w:val="bottom"/>
          </w:tcPr>
          <w:p>
            <w:pPr>
              <w:ind w:left="2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CFO Certification pursuant to 18 U.S.C. Section 1350, as adopted pursuant to Section 906 of the Sarbanes-Oxley Act of 2002.</w:t>
              </w:r>
            </w:hyperlink>
          </w:p>
        </w:tc>
        <w:tc>
          <w:tcPr>
            <w:tcW w:w="740" w:type="dxa"/>
            <w:vAlign w:val="bottom"/>
            <w:gridSpan w:val="7"/>
          </w:tcPr>
          <w:p>
            <w:pPr>
              <w:spacing w:after="0"/>
              <w:rPr>
                <w:sz w:val="24"/>
                <w:szCs w:val="24"/>
                <w:color w:val="auto"/>
              </w:rPr>
            </w:pPr>
          </w:p>
        </w:tc>
      </w:tr>
    </w:tbl>
    <w:p>
      <w:pPr>
        <w:spacing w:after="0" w:line="337" w:lineRule="exact"/>
        <w:rPr>
          <w:sz w:val="20"/>
          <w:szCs w:val="20"/>
          <w:color w:val="auto"/>
        </w:rPr>
      </w:pPr>
    </w:p>
    <w:p>
      <w:pPr>
        <w:ind w:left="1380" w:right="60" w:hanging="1183"/>
        <w:spacing w:after="0" w:line="259"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financial information from Gaming and Leisure Properties, Inc.'s Quarterly Report on Form 10-Q for the quarter ended September 30, 2019, formatted in Inline XBRL: (i) Condensed Consolidated Balance Sheets, ii) Condensed Consolidated Statements of Income, (iii) Condensed Consolidated Statements of Changes in Shareholders’ Equity, (iv) Condensed Consolidated Statements of Cash Flows and (v) Notes to the Condensed Consolidated Financial Statements.</w:t>
      </w:r>
    </w:p>
    <w:p>
      <w:pPr>
        <w:spacing w:after="0" w:line="146" w:lineRule="exact"/>
        <w:rPr>
          <w:sz w:val="20"/>
          <w:szCs w:val="20"/>
          <w:color w:val="auto"/>
        </w:rPr>
      </w:pPr>
    </w:p>
    <w:p>
      <w:pPr>
        <w:ind w:left="1380" w:right="420" w:hanging="1183"/>
        <w:spacing w:after="0" w:line="277" w:lineRule="auto"/>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2019,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*Filed or furnished, as applicable,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130" w:right="41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November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Steven T. Snyder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40"/>
          </w:cols>
          <w:pgMar w:left="240" w:top="130" w:right="7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57" w:lineRule="auto"/>
        <w:tabs>
          <w:tab w:leader="none" w:pos="1312" w:val="left"/>
        </w:tabs>
        <w:numPr>
          <w:ilvl w:val="0"/>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November 1, 2019</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 Snyder, certify that:</w:t>
      </w:r>
    </w:p>
    <w:p>
      <w:pPr>
        <w:spacing w:after="0" w:line="225"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80" w:firstLine="656"/>
        <w:spacing w:after="0" w:line="357" w:lineRule="auto"/>
        <w:tabs>
          <w:tab w:leader="none" w:pos="1325"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60" w:hanging="704"/>
        <w:spacing w:after="0"/>
        <w:tabs>
          <w:tab w:leader="none" w:pos="13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November 1, 2019</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Steven T. Snyder</w:t>
            </w:r>
          </w:p>
        </w:tc>
        <w:tc>
          <w:tcPr>
            <w:tcW w:w="300" w:type="dxa"/>
            <w:vAlign w:val="bottom"/>
          </w:tcPr>
          <w:p>
            <w:pPr>
              <w:spacing w:after="0"/>
              <w:rPr>
                <w:sz w:val="18"/>
                <w:szCs w:val="18"/>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88"/>
              </w:rPr>
              <w:t>Name: Steven T. Snyder</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60" w:type="dxa"/>
            <w:vAlign w:val="bottom"/>
            <w:gridSpan w:val="2"/>
          </w:tcPr>
          <w:p>
            <w:pPr>
              <w:spacing w:after="0"/>
              <w:rPr>
                <w:sz w:val="20"/>
                <w:szCs w:val="20"/>
                <w:color w:val="auto"/>
              </w:rPr>
            </w:pPr>
            <w:r>
              <w:rPr>
                <w:rFonts w:ascii="Arial" w:cs="Arial" w:eastAsia="Arial" w:hAnsi="Arial"/>
                <w:sz w:val="18"/>
                <w:szCs w:val="18"/>
                <w:i w:val="1"/>
                <w:iCs w:val="1"/>
                <w:color w:val="auto"/>
                <w:w w:val="98"/>
              </w:rPr>
              <w:t>Chief Financial Officer</w:t>
            </w:r>
          </w:p>
        </w:tc>
      </w:tr>
    </w:tbl>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September 30, 2019,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November 1, 2019</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September 30, 2019, as filed with the Securities and Exchange Commission on the date hereof (the “Report”), I, Steven T. Snyder, Chief Financial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November 1,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1"/>
    </w:lvl>
    <w:lvl w:ilvl="1">
      <w:lvlJc w:val="left"/>
      <w:lvlText w:val="(%2)"/>
      <w:numFmt w:val="decimal"/>
      <w:start w:val="1"/>
    </w:lvl>
  </w:abstractNum>
  <w:abstractNum w:abstractNumId="9">
    <w:nsid w:val="2443A858"/>
    <w:multiLevelType w:val="hybridMultilevel"/>
    <w:lvl w:ilvl="0">
      <w:lvlJc w:val="left"/>
      <w:lvlText w:val="%1."/>
      <w:numFmt w:val="decimal"/>
      <w:start w:val="8"/>
    </w:lvl>
    <w:lvl w:ilvl="1">
      <w:lvlJc w:val="left"/>
      <w:lvlText w:val="%2"/>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0"/>
    </w:lvl>
  </w:abstractNum>
  <w:abstractNum w:abstractNumId="12">
    <w:nsid w:val="75A2A8D4"/>
    <w:multiLevelType w:val="hybridMultilevel"/>
    <w:lvl w:ilvl="0">
      <w:lvlJc w:val="left"/>
      <w:lvlText w:val="(%1)"/>
      <w:numFmt w:val="decimal"/>
      <w:start w:val="2"/>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lowerRoman"/>
      <w:start w:val="2"/>
    </w:lvl>
  </w:abstractNum>
  <w:abstractNum w:abstractNumId="23">
    <w:nsid w:val="3A95F874"/>
    <w:multiLevelType w:val="hybridMultilevel"/>
    <w:lvl w:ilvl="0">
      <w:lvlJc w:val="left"/>
      <w:lvlText w:val="%1"/>
      <w:numFmt w:val="decimal"/>
      <w:start w:val="101"/>
    </w:lvl>
  </w:abstractNum>
  <w:abstractNum w:abstractNumId="24">
    <w:nsid w:val="8138641"/>
    <w:multiLevelType w:val="hybridMultilevel"/>
    <w:lvl w:ilvl="0">
      <w:lvlJc w:val="left"/>
      <w:lvlText w:val="*"/>
      <w:numFmt w:val="bullet"/>
      <w:start w:val="1"/>
    </w:lvl>
    <w:lvl w:ilvl="1">
      <w:lvlJc w:val="left"/>
      <w:lvlText w:val="%2"/>
      <w:numFmt w:val="decimal"/>
      <w:start w:val="104"/>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2"/>
    </w:lvl>
  </w:abstractNum>
  <w:abstractNum w:abstractNumId="28">
    <w:nsid w:val="6CEAF087"/>
    <w:multiLevelType w:val="hybridMultilevel"/>
    <w:lvl w:ilvl="0">
      <w:lvlJc w:val="left"/>
      <w:lvlText w:val="%1."/>
      <w:numFmt w:val="decimal"/>
      <w:start w:val="5"/>
    </w:lvl>
    <w:lvl w:ilvl="1">
      <w:lvlJc w:val="left"/>
      <w:lvlText w:val="(%2)"/>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2"/>
    </w:lvl>
  </w:abstractNum>
  <w:abstractNum w:abstractNumId="32">
    <w:nsid w:val="614FD4A1"/>
    <w:multiLevelType w:val="hybridMultilevel"/>
    <w:lvl w:ilvl="0">
      <w:lvlJc w:val="left"/>
      <w:lvlText w:val="%1."/>
      <w:numFmt w:val="decimal"/>
      <w:start w:val="5"/>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5" Type="http://schemas.openxmlformats.org/officeDocument/2006/relationships/hyperlink" Target="http://www.sec.gov/Archives/edgar/data/1575965/000119312519238989/d796187dex43.htm" TargetMode="External"/><Relationship Id="rId16" Type="http://schemas.openxmlformats.org/officeDocument/2006/relationships/hyperlink" Target="http://www.sec.gov/Archives/edgar/data/1575965/000119312519238989/d79618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2019-12-28T03:35:06Z</dcterms:created>
  <dcterms:modified xsi:type="dcterms:W3CDTF">2019-12-28T03:35:06Z</dcterms:modified>
</cp:coreProperties>
</file>