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2428240</wp:posOffset>
            </wp:positionH>
            <wp:positionV relativeFrom="paragraph">
              <wp:posOffset>124460</wp:posOffset>
            </wp:positionV>
            <wp:extent cx="2286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600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6"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3" w:lineRule="exact"/>
        <w:rPr>
          <w:sz w:val="24"/>
          <w:szCs w:val="24"/>
          <w:color w:val="auto"/>
        </w:rPr>
      </w:pPr>
    </w:p>
    <w:p>
      <w:pPr>
        <w:ind w:left="460" w:hanging="270"/>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001-36124</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Gaming and Leisure Properties,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84" w:lineRule="exact"/>
        <w:rPr>
          <w:sz w:val="24"/>
          <w:szCs w:val="24"/>
          <w:color w:val="auto"/>
        </w:rPr>
      </w:pPr>
    </w:p>
    <w:tbl>
      <w:tblPr>
        <w:tblLayout w:type="fixed"/>
        <w:tblInd w:w="2260" w:type="dxa"/>
        <w:tblCellMar>
          <w:top w:w="0" w:type="dxa"/>
          <w:left w:w="0" w:type="dxa"/>
          <w:bottom w:w="0" w:type="dxa"/>
          <w:right w:w="0" w:type="dxa"/>
        </w:tblCellMar>
      </w:tblPr>
      <w:tr>
        <w:trPr>
          <w:trHeight w:val="212"/>
        </w:trPr>
        <w:tc>
          <w:tcPr>
            <w:tcW w:w="354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2820" w:type="dxa"/>
            <w:vAlign w:val="bottom"/>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w w:val="98"/>
              </w:rPr>
              <w:t>46-2116489</w:t>
            </w:r>
          </w:p>
        </w:tc>
      </w:tr>
      <w:tr>
        <w:trPr>
          <w:trHeight w:val="208"/>
        </w:trPr>
        <w:tc>
          <w:tcPr>
            <w:tcW w:w="3540" w:type="dxa"/>
            <w:vAlign w:val="bottom"/>
          </w:tcPr>
          <w:p>
            <w:pPr>
              <w:jc w:val="center"/>
              <w:ind w:right="15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8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540" w:type="dxa"/>
            <w:vAlign w:val="bottom"/>
          </w:tcPr>
          <w:p>
            <w:pPr>
              <w:jc w:val="center"/>
              <w:ind w:right="15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8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845 Berkshire Blvd., Suite 200</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49" w:lineRule="exact"/>
        <w:rPr>
          <w:sz w:val="24"/>
          <w:szCs w:val="24"/>
          <w:color w:val="auto"/>
        </w:rPr>
      </w:pPr>
    </w:p>
    <w:p>
      <w:pPr>
        <w:jc w:val="right"/>
        <w:ind w:right="348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610 401-2900</w:t>
      </w:r>
    </w:p>
    <w:p>
      <w:pPr>
        <w:spacing w:after="0" w:line="61" w:lineRule="exact"/>
        <w:rPr>
          <w:sz w:val="24"/>
          <w:szCs w:val="24"/>
          <w:color w:val="auto"/>
        </w:rPr>
      </w:pPr>
    </w:p>
    <w:p>
      <w:pPr>
        <w:jc w:val="right"/>
        <w:ind w:right="3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0" w:lineRule="exact"/>
        <w:rPr>
          <w:sz w:val="24"/>
          <w:szCs w:val="24"/>
          <w:color w:val="auto"/>
        </w:rPr>
      </w:pPr>
    </w:p>
    <w:tbl>
      <w:tblPr>
        <w:tblLayout w:type="fixed"/>
        <w:tblInd w:w="980" w:type="dxa"/>
        <w:tblCellMar>
          <w:top w:w="0" w:type="dxa"/>
          <w:left w:w="0" w:type="dxa"/>
          <w:bottom w:w="0" w:type="dxa"/>
          <w:right w:w="0" w:type="dxa"/>
        </w:tblCellMar>
      </w:tblPr>
      <w:tr>
        <w:trPr>
          <w:trHeight w:val="194"/>
        </w:trPr>
        <w:tc>
          <w:tcPr>
            <w:tcW w:w="28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0"/>
        </w:trPr>
        <w:tc>
          <w:tcPr>
            <w:tcW w:w="28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2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color w:val="auto"/>
              </w:rPr>
              <w:t>GLPI</w:t>
            </w:r>
          </w:p>
        </w:tc>
        <w:tc>
          <w:tcPr>
            <w:tcW w:w="300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NASDAQ</w:t>
            </w:r>
          </w:p>
        </w:tc>
      </w:tr>
      <w:tr>
        <w:trPr>
          <w:trHeight w:val="310"/>
        </w:trPr>
        <w:tc>
          <w:tcPr>
            <w:tcW w:w="2880" w:type="dxa"/>
            <w:vAlign w:val="bottom"/>
          </w:tcPr>
          <w:p>
            <w:pPr>
              <w:spacing w:after="0"/>
              <w:rPr>
                <w:sz w:val="24"/>
                <w:szCs w:val="24"/>
                <w:color w:val="auto"/>
              </w:rPr>
            </w:pPr>
          </w:p>
        </w:tc>
        <w:tc>
          <w:tcPr>
            <w:tcW w:w="3420" w:type="dxa"/>
            <w:vAlign w:val="bottom"/>
            <w:gridSpan w:val="5"/>
          </w:tcPr>
          <w:p>
            <w:pPr>
              <w:jc w:val="center"/>
              <w:ind w:left="2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00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000" w:type="dxa"/>
            <w:vAlign w:val="bottom"/>
          </w:tcPr>
          <w:p>
            <w:pPr>
              <w:spacing w:after="0"/>
              <w:rPr>
                <w:sz w:val="18"/>
                <w:szCs w:val="18"/>
                <w:color w:val="auto"/>
              </w:rPr>
            </w:pPr>
          </w:p>
        </w:tc>
      </w:tr>
    </w:tbl>
    <w:p>
      <w:pPr>
        <w:spacing w:after="0" w:line="5" w:lineRule="exact"/>
        <w:rPr>
          <w:sz w:val="24"/>
          <w:szCs w:val="24"/>
          <w:color w:val="auto"/>
        </w:rPr>
      </w:pPr>
    </w:p>
    <w:p>
      <w:pPr>
        <w:ind w:left="540" w:right="2900"/>
        <w:spacing w:after="0" w:line="277"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1" w:lineRule="exact"/>
        <w:rPr>
          <w:sz w:val="24"/>
          <w:szCs w:val="24"/>
          <w:color w:val="auto"/>
        </w:rPr>
      </w:pPr>
    </w:p>
    <w:p>
      <w:pPr>
        <w:ind w:right="100" w:firstLine="526"/>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80" w:firstLine="526"/>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40" w:firstLine="526"/>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2000" w:type="dxa"/>
        <w:tblCellMar>
          <w:top w:w="0" w:type="dxa"/>
          <w:left w:w="0" w:type="dxa"/>
          <w:bottom w:w="0" w:type="dxa"/>
          <w:right w:w="0" w:type="dxa"/>
        </w:tblCellMar>
      </w:tblPr>
      <w:tr>
        <w:trPr>
          <w:trHeight w:val="161"/>
        </w:trPr>
        <w:tc>
          <w:tcPr>
            <w:tcW w:w="172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color w:val="auto"/>
              </w:rPr>
              <w:t>Large accelerated filer</w:t>
            </w:r>
          </w:p>
        </w:tc>
        <w:tc>
          <w:tcPr>
            <w:tcW w:w="112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980" w:type="dxa"/>
            <w:vAlign w:val="bottom"/>
            <w:vMerge w:val="restart"/>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Emerging growth</w:t>
            </w:r>
          </w:p>
        </w:tc>
        <w:tc>
          <w:tcPr>
            <w:tcW w:w="48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9"/>
        </w:trPr>
        <w:tc>
          <w:tcPr>
            <w:tcW w:w="17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company</w:t>
            </w: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72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rPr>
              <w:t>Non-accelerated filer</w:t>
            </w:r>
          </w:p>
        </w:tc>
        <w:tc>
          <w:tcPr>
            <w:tcW w:w="11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6" w:lineRule="exact"/>
        <w:rPr>
          <w:sz w:val="24"/>
          <w:szCs w:val="24"/>
          <w:color w:val="auto"/>
        </w:rPr>
      </w:pPr>
    </w:p>
    <w:p>
      <w:pPr>
        <w:ind w:right="20" w:firstLine="566"/>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7"/>
          <w:szCs w:val="17"/>
          <w:color w:val="auto"/>
        </w:rPr>
        <w:t>☐</w:t>
      </w:r>
    </w:p>
    <w:p>
      <w:pPr>
        <w:spacing w:after="0" w:line="13" w:lineRule="exact"/>
        <w:rPr>
          <w:sz w:val="24"/>
          <w:szCs w:val="24"/>
          <w:color w:val="auto"/>
        </w:rPr>
      </w:pPr>
    </w:p>
    <w:p>
      <w:pPr>
        <w:ind w:right="340" w:firstLine="566"/>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ind w:left="54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85" w:lineRule="exact"/>
        <w:rPr>
          <w:sz w:val="24"/>
          <w:szCs w:val="24"/>
          <w:color w:val="auto"/>
        </w:rPr>
      </w:pPr>
    </w:p>
    <w:p>
      <w:pPr>
        <w:ind w:firstLine="526"/>
        <w:spacing w:after="0" w:line="259" w:lineRule="auto"/>
        <w:rPr>
          <w:sz w:val="20"/>
          <w:szCs w:val="20"/>
          <w:color w:val="auto"/>
        </w:rPr>
      </w:pPr>
      <w:r>
        <w:rPr>
          <w:rFonts w:ascii="Times New Roman" w:cs="Times New Roman" w:eastAsia="Times New Roman" w:hAnsi="Times New Roman"/>
          <w:sz w:val="14"/>
          <w:szCs w:val="14"/>
          <w:color w:val="auto"/>
        </w:rPr>
        <w:t>As of June 30, 2020 (the last business day of the registrant's most recently completed second fiscal quarter), the aggregate market value of the voting common stock held by non-affiliates of the registrant was approximately $7.1 billion. Such aggregate market value was computed by reference to the closing price of the common stock as reported on the NASDAQ Global Select Market on June 30, 2020.</w:t>
      </w:r>
    </w:p>
    <w:p>
      <w:pPr>
        <w:spacing w:after="0" w:line="31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February 16, 2021 was 232,780,891.</w:t>
      </w:r>
    </w:p>
    <w:p>
      <w:pPr>
        <w:spacing w:after="0" w:line="5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right="160" w:firstLine="566"/>
        <w:spacing w:after="0" w:line="278"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2021 annual meeting of shareholders (when it is filed) will be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580" w:type="dxa"/>
            <w:vAlign w:val="bottom"/>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4"/>
        </w:trPr>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6"/>
        </w:trPr>
        <w:tc>
          <w:tcPr>
            <w:tcW w:w="15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4">
              <w:r>
                <w:rPr>
                  <w:rFonts w:ascii="Times New Roman" w:cs="Times New Roman" w:eastAsia="Times New Roman" w:hAnsi="Times New Roman"/>
                  <w:sz w:val="18"/>
                  <w:szCs w:val="18"/>
                  <w:b w:val="1"/>
                  <w:bCs w:val="1"/>
                  <w:u w:val="single" w:color="auto"/>
                  <w:color w:val="0000FF"/>
                </w:rPr>
                <w:t>PART I</w:t>
              </w:r>
            </w:hyperlink>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ITEM 1.</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BUSINESS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ITEM 1A.</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RISK FACTORS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ITEM 1B.</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UNRESOLVED STAFF COMMENTS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ITEM 2.</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PROPERTIES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ITEM 3.</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LEGAL PROCEEDINGS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34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ITEM 4.</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MINE SAFETY DISCLOSURES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34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6">
              <w:r>
                <w:rPr>
                  <w:rFonts w:ascii="Times New Roman" w:cs="Times New Roman" w:eastAsia="Times New Roman" w:hAnsi="Times New Roman"/>
                  <w:sz w:val="18"/>
                  <w:szCs w:val="18"/>
                  <w:b w:val="1"/>
                  <w:bCs w:val="1"/>
                  <w:u w:val="single" w:color="auto"/>
                  <w:color w:val="0000FF"/>
                </w:rPr>
                <w:t>PART II</w:t>
              </w:r>
            </w:hyperlink>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20"/>
              <w:spacing w:after="0" w:line="194" w:lineRule="exact"/>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5.</w:t>
              </w:r>
            </w:hyperlink>
          </w:p>
        </w:tc>
        <w:tc>
          <w:tcPr>
            <w:tcW w:w="8860" w:type="dxa"/>
            <w:vAlign w:val="bottom"/>
            <w:gridSpan w:val="8"/>
          </w:tcPr>
          <w:p>
            <w:pPr>
              <w:spacing w:after="0" w:line="194" w:lineRule="exact"/>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MARKET FOR REGISTRANT'S COMMON EQUITY, RELATED SHAREHOLDER MATTERS AND ISSUER</w:t>
              </w:r>
            </w:hyperlink>
          </w:p>
        </w:tc>
        <w:tc>
          <w:tcPr>
            <w:tcW w:w="7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82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PURCHASES OF EQUITY SECURITIES</w:t>
              </w:r>
            </w:hyperlink>
          </w:p>
        </w:tc>
        <w:tc>
          <w:tcPr>
            <w:tcW w:w="6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7.</w:t>
              </w:r>
            </w:hyperlink>
          </w:p>
        </w:tc>
        <w:tc>
          <w:tcPr>
            <w:tcW w:w="8860" w:type="dxa"/>
            <w:vAlign w:val="bottom"/>
            <w:gridSpan w:val="8"/>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MANAGEMENT'S DISCUSSION AND ANALYSIS OF FINANCIAL CONDITION AND RESULTS OF</w:t>
              </w:r>
            </w:hyperlink>
          </w:p>
        </w:tc>
        <w:tc>
          <w:tcPr>
            <w:tcW w:w="7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w:anchor="page37">
              <w:r>
                <w:rPr>
                  <w:rFonts w:ascii="Times New Roman" w:cs="Times New Roman" w:eastAsia="Times New Roman" w:hAnsi="Times New Roman"/>
                  <w:sz w:val="18"/>
                  <w:szCs w:val="18"/>
                  <w:color w:val="0000FF"/>
                  <w:w w:val="96"/>
                </w:rPr>
                <w:t>OPERATIONS</w:t>
              </w:r>
            </w:hyperlink>
          </w:p>
        </w:tc>
        <w:tc>
          <w:tcPr>
            <w:tcW w:w="6620" w:type="dxa"/>
            <w:vAlign w:val="bottom"/>
            <w:tcBorders>
              <w:top w:val="single" w:sz="8" w:color="0000FF"/>
            </w:tcBorders>
            <w:gridSpan w:val="3"/>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ITEM 7A.</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QUANTITATIVE AND QUALITATIVE DISCLOSURES ABOUT MARKET RISK</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ITEM 8.</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FINANCIAL STATEMENTS AND SUPPLEMENTARY DATA</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59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20"/>
              <w:spacing w:after="0" w:line="194" w:lineRule="exact"/>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9.</w:t>
              </w:r>
            </w:hyperlink>
          </w:p>
        </w:tc>
        <w:tc>
          <w:tcPr>
            <w:tcW w:w="8860" w:type="dxa"/>
            <w:vAlign w:val="bottom"/>
            <w:gridSpan w:val="8"/>
          </w:tcPr>
          <w:p>
            <w:pPr>
              <w:spacing w:after="0" w:line="194"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CHANGES IN AND DISAGREEMENTS WITH ACCOUNTANTS ON ACCOUNTING AND FINANCIAL</w:t>
              </w:r>
            </w:hyperlink>
          </w:p>
        </w:tc>
        <w:tc>
          <w:tcPr>
            <w:tcW w:w="7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79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DISCLOSURE</w:t>
              </w:r>
            </w:hyperlink>
          </w:p>
        </w:tc>
        <w:tc>
          <w:tcPr>
            <w:tcW w:w="80" w:type="dxa"/>
            <w:vAlign w:val="bottom"/>
          </w:tcPr>
          <w:p>
            <w:pPr>
              <w:spacing w:after="0"/>
              <w:rPr>
                <w:sz w:val="13"/>
                <w:szCs w:val="13"/>
                <w:color w:val="auto"/>
              </w:rPr>
            </w:pPr>
          </w:p>
        </w:tc>
        <w:tc>
          <w:tcPr>
            <w:tcW w:w="860" w:type="dxa"/>
            <w:vAlign w:val="bottom"/>
            <w:gridSpan w:val="2"/>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ITEM 9A.</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CONTROLS AND PROCEDURES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104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ITEM 9B.</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OTHER INFORMATION</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106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08">
              <w:r>
                <w:rPr>
                  <w:rFonts w:ascii="Times New Roman" w:cs="Times New Roman" w:eastAsia="Times New Roman" w:hAnsi="Times New Roman"/>
                  <w:sz w:val="18"/>
                  <w:szCs w:val="18"/>
                  <w:b w:val="1"/>
                  <w:bCs w:val="1"/>
                  <w:u w:val="single" w:color="auto"/>
                  <w:color w:val="0000FF"/>
                </w:rPr>
                <w:t>PART III</w:t>
              </w:r>
            </w:hyperlink>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ITEM 10.</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DIRECTORS, EXECUTIVE OFFICERS AND CORPORATE GOVERNANCE</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107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u w:val="single" w:color="auto"/>
                  <w:color w:val="0000FF"/>
                </w:rPr>
                <w:t>ITEM 11</w:t>
              </w:r>
              <w:r>
                <w:rPr>
                  <w:rFonts w:ascii="Times New Roman" w:cs="Times New Roman" w:eastAsia="Times New Roman" w:hAnsi="Times New Roman"/>
                  <w:sz w:val="18"/>
                  <w:szCs w:val="18"/>
                  <w:color w:val="0000FF"/>
                </w:rPr>
                <w:t>.</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EXECUTIVE COMPENSATION</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107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20"/>
              <w:spacing w:after="0" w:line="194" w:lineRule="exact"/>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ITEM 12.</w:t>
              </w:r>
            </w:hyperlink>
          </w:p>
        </w:tc>
        <w:tc>
          <w:tcPr>
            <w:tcW w:w="8860" w:type="dxa"/>
            <w:vAlign w:val="bottom"/>
            <w:gridSpan w:val="8"/>
          </w:tcPr>
          <w:p>
            <w:pPr>
              <w:spacing w:after="0" w:line="194" w:lineRule="exact"/>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SECURITY OWNERSHIP OF CERTAIN BENEFICIAL OWNERS AND MANAGEMENT AND RELATED</w:t>
              </w:r>
            </w:hyperlink>
          </w:p>
        </w:tc>
        <w:tc>
          <w:tcPr>
            <w:tcW w:w="7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107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w:anchor="page109">
              <w:r>
                <w:rPr>
                  <w:rFonts w:ascii="Times New Roman" w:cs="Times New Roman" w:eastAsia="Times New Roman" w:hAnsi="Times New Roman"/>
                  <w:sz w:val="18"/>
                  <w:szCs w:val="18"/>
                  <w:color w:val="0000FF"/>
                  <w:w w:val="98"/>
                </w:rPr>
                <w:t>STOCKHOLDERS MATTERS</w:t>
              </w:r>
            </w:hyperlink>
          </w:p>
        </w:tc>
        <w:tc>
          <w:tcPr>
            <w:tcW w:w="5720" w:type="dxa"/>
            <w:vAlign w:val="bottom"/>
            <w:tcBorders>
              <w:top w:val="single" w:sz="8" w:color="0000FF"/>
            </w:tcBorders>
            <w:gridSpan w:val="4"/>
          </w:tcPr>
          <w:p>
            <w:pPr>
              <w:spacing w:after="0"/>
              <w:rPr>
                <w:sz w:val="13"/>
                <w:szCs w:val="13"/>
                <w:color w:val="auto"/>
              </w:rPr>
            </w:pPr>
          </w:p>
        </w:tc>
        <w:tc>
          <w:tcPr>
            <w:tcW w:w="860" w:type="dxa"/>
            <w:vAlign w:val="bottom"/>
            <w:gridSpan w:val="2"/>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ITEM 13.</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107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ITEM 14.</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PRINCIPAL ACCOUNTING FEES AND SERVICES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107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09">
              <w:r>
                <w:rPr>
                  <w:rFonts w:ascii="Times New Roman" w:cs="Times New Roman" w:eastAsia="Times New Roman" w:hAnsi="Times New Roman"/>
                  <w:sz w:val="18"/>
                  <w:szCs w:val="18"/>
                  <w:b w:val="1"/>
                  <w:bCs w:val="1"/>
                  <w:u w:val="single" w:color="auto"/>
                  <w:color w:val="0000FF"/>
                </w:rPr>
                <w:t>PART IV</w:t>
              </w:r>
            </w:hyperlink>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ITEM 15.</w:t>
              </w:r>
            </w:hyperlink>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EXHIBITS, FINANCIAL STATEMENT SCHEDULES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108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20"/>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ITEM 16.</w:t>
              </w:r>
            </w:hyperlink>
          </w:p>
        </w:tc>
        <w:tc>
          <w:tcPr>
            <w:tcW w:w="8860" w:type="dxa"/>
            <w:vAlign w:val="bottom"/>
            <w:gridSpan w:val="8"/>
            <w:vMerge w:val="restart"/>
          </w:tcPr>
          <w:p>
            <w:pPr>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FORM 10-K SUMMARY</w:t>
              </w:r>
            </w:hyperlink>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8860" w:type="dxa"/>
            <w:vAlign w:val="bottom"/>
            <w:gridSpan w:val="8"/>
            <w:vMerge w:val="continue"/>
          </w:tcPr>
          <w:p>
            <w:pPr>
              <w:spacing w:after="0"/>
              <w:rPr>
                <w:sz w:val="12"/>
                <w:szCs w:val="12"/>
                <w:color w:val="auto"/>
              </w:rPr>
            </w:pPr>
          </w:p>
        </w:tc>
        <w:tc>
          <w:tcPr>
            <w:tcW w:w="7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108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1580" w:type="dxa"/>
            <w:vAlign w:val="bottom"/>
          </w:tcPr>
          <w:p>
            <w:pPr>
              <w:spacing w:after="0"/>
              <w:rPr>
                <w:sz w:val="24"/>
                <w:szCs w:val="24"/>
                <w:color w:val="auto"/>
              </w:rPr>
            </w:pPr>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EXHIBIT INDEX</w:t>
              </w:r>
            </w:hyperlink>
          </w:p>
        </w:tc>
        <w:tc>
          <w:tcPr>
            <w:tcW w:w="7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109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8860" w:type="dxa"/>
            <w:vAlign w:val="bottom"/>
            <w:gridSpan w:val="8"/>
          </w:tcPr>
          <w:p>
            <w:pPr>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SIGNATURES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115</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0"/>
        </w:trPr>
        <w:tc>
          <w:tcPr>
            <w:tcW w:w="1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FACTORS REGARDING FORWARD-LOOKING STATEMENTS</w:t>
      </w:r>
    </w:p>
    <w:p>
      <w:pPr>
        <w:spacing w:after="0" w:line="148" w:lineRule="exact"/>
        <w:rPr>
          <w:sz w:val="20"/>
          <w:szCs w:val="20"/>
          <w:color w:val="auto"/>
        </w:rPr>
      </w:pPr>
    </w:p>
    <w:p>
      <w:pPr>
        <w:ind w:right="120" w:firstLine="445"/>
        <w:spacing w:after="0" w:line="260" w:lineRule="auto"/>
        <w:rPr>
          <w:sz w:val="20"/>
          <w:szCs w:val="20"/>
          <w:color w:val="auto"/>
        </w:rPr>
      </w:pPr>
      <w:r>
        <w:rPr>
          <w:rFonts w:ascii="Times New Roman" w:cs="Times New Roman" w:eastAsia="Times New Roman" w:hAnsi="Times New Roman"/>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14"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28" w:lineRule="exact"/>
        <w:rPr>
          <w:sz w:val="20"/>
          <w:szCs w:val="20"/>
          <w:color w:val="auto"/>
        </w:rPr>
      </w:pPr>
    </w:p>
    <w:p>
      <w:pPr>
        <w:jc w:val="both"/>
        <w:ind w:left="660" w:hanging="329"/>
        <w:spacing w:after="0" w:line="224" w:lineRule="auto"/>
        <w:tabs>
          <w:tab w:leader="none" w:pos="654"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novel coronavirus COVID-19 (including variants thereof, "COVID-19") had, and may continue to have, a significant impact on our tenants' financial conditions and operations. As a result of the outbreak, our casino operations and those of our tenants were forced to close temporarily, as federal, state and local officials undertook various steps to mitigate the spread of infections from COVID-19. Although the majority of our tenants' operations have recommenced operations to strong results and our tenants have improved their liquidity profiles, there can be no assurance whether these encouraging results will continue in future periods, particularly with the potential for continued increased transmission from new strains of COVID-19;</w:t>
      </w:r>
    </w:p>
    <w:p>
      <w:pPr>
        <w:spacing w:after="0" w:line="213" w:lineRule="exact"/>
        <w:rPr>
          <w:rFonts w:ascii="Arial" w:cs="Arial" w:eastAsia="Arial" w:hAnsi="Arial"/>
          <w:sz w:val="22"/>
          <w:szCs w:val="22"/>
          <w:color w:val="auto"/>
        </w:rPr>
      </w:pPr>
    </w:p>
    <w:p>
      <w:pPr>
        <w:ind w:left="660" w:hanging="329"/>
        <w:spacing w:after="0" w:line="220" w:lineRule="auto"/>
        <w:tabs>
          <w:tab w:leader="none" w:pos="654"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that the sharp increase in unemployment levels and uncertainty with respect to the future state of the economy could have on discretionary consumer spending, including on casino operations;</w:t>
      </w:r>
    </w:p>
    <w:p>
      <w:pPr>
        <w:spacing w:after="0" w:line="212" w:lineRule="exact"/>
        <w:rPr>
          <w:rFonts w:ascii="Arial" w:cs="Arial" w:eastAsia="Arial" w:hAnsi="Arial"/>
          <w:sz w:val="22"/>
          <w:szCs w:val="22"/>
          <w:color w:val="auto"/>
        </w:rPr>
      </w:pPr>
    </w:p>
    <w:p>
      <w:pPr>
        <w:ind w:left="660" w:hanging="329"/>
        <w:spacing w:after="0" w:line="220" w:lineRule="auto"/>
        <w:tabs>
          <w:tab w:leader="none" w:pos="654"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current and uncertain future impact of the COVID-19 outbreak, including its effect on the ability or desire of people to gather in large groups (including in casinos), which could impact our financial results, operations, outlooks, plans, goals, growth, cash flows, liquidity, and stock price;</w:t>
      </w:r>
    </w:p>
    <w:p>
      <w:pPr>
        <w:spacing w:after="0" w:line="212" w:lineRule="exact"/>
        <w:rPr>
          <w:rFonts w:ascii="Arial" w:cs="Arial" w:eastAsia="Arial" w:hAnsi="Arial"/>
          <w:sz w:val="22"/>
          <w:szCs w:val="22"/>
          <w:color w:val="auto"/>
        </w:rPr>
      </w:pPr>
    </w:p>
    <w:p>
      <w:pPr>
        <w:ind w:left="660" w:hanging="329"/>
        <w:spacing w:after="0" w:line="220" w:lineRule="auto"/>
        <w:tabs>
          <w:tab w:leader="none" w:pos="654"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unforeseen consequences related to United States government stimulus packages or a failure to mitigate the sharp economic downturn from COVID-19;</w:t>
      </w:r>
    </w:p>
    <w:p>
      <w:pPr>
        <w:spacing w:after="0" w:line="212" w:lineRule="exact"/>
        <w:rPr>
          <w:rFonts w:ascii="Arial" w:cs="Arial" w:eastAsia="Arial" w:hAnsi="Arial"/>
          <w:sz w:val="22"/>
          <w:szCs w:val="22"/>
          <w:color w:val="auto"/>
        </w:rPr>
      </w:pPr>
    </w:p>
    <w:p>
      <w:pPr>
        <w:ind w:left="660" w:hanging="329"/>
        <w:spacing w:after="0" w:line="220" w:lineRule="auto"/>
        <w:tabs>
          <w:tab w:leader="none" w:pos="654"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realize significant value for the real property assets of Tropicana Las Vegas which we acquired from Penn National Gaming, Inc. (NASDAQ: PENN) ("Penn")) in return for $307.5 million of rent credits;</w:t>
      </w:r>
    </w:p>
    <w:p>
      <w:pPr>
        <w:spacing w:after="0" w:line="198" w:lineRule="exact"/>
        <w:rPr>
          <w:rFonts w:ascii="Arial" w:cs="Arial" w:eastAsia="Arial" w:hAnsi="Arial"/>
          <w:sz w:val="22"/>
          <w:szCs w:val="22"/>
          <w:color w:val="auto"/>
        </w:rPr>
      </w:pPr>
    </w:p>
    <w:p>
      <w:pPr>
        <w:ind w:left="660" w:right="200" w:hanging="329"/>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89"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51" w:lineRule="exact"/>
        <w:rPr>
          <w:rFonts w:ascii="Times New Roman" w:cs="Times New Roman" w:eastAsia="Times New Roman" w:hAnsi="Times New Roman"/>
          <w:sz w:val="18"/>
          <w:szCs w:val="18"/>
          <w:color w:val="auto"/>
        </w:rPr>
      </w:pPr>
    </w:p>
    <w:p>
      <w:pPr>
        <w:ind w:left="660" w:right="960" w:hanging="329"/>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89" w:lineRule="exact"/>
        <w:rPr>
          <w:rFonts w:ascii="Times New Roman" w:cs="Times New Roman" w:eastAsia="Times New Roman" w:hAnsi="Times New Roman"/>
          <w:sz w:val="18"/>
          <w:szCs w:val="18"/>
          <w:color w:val="auto"/>
        </w:rPr>
      </w:pPr>
    </w:p>
    <w:p>
      <w:pPr>
        <w:ind w:left="660" w:right="180" w:hanging="329"/>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208" w:lineRule="exact"/>
        <w:rPr>
          <w:rFonts w:ascii="Times New Roman" w:cs="Times New Roman" w:eastAsia="Times New Roman" w:hAnsi="Times New Roman"/>
          <w:sz w:val="18"/>
          <w:szCs w:val="18"/>
          <w:color w:val="auto"/>
        </w:rPr>
      </w:pPr>
    </w:p>
    <w:p>
      <w:pPr>
        <w:ind w:left="660" w:right="140" w:hanging="329"/>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certain asset, income, organizational, distribution, shareholder ownership and other requirements on a continuing basis in order for the Company to maintain its REIT status;</w:t>
      </w:r>
    </w:p>
    <w:p>
      <w:pPr>
        <w:spacing w:after="0" w:line="189" w:lineRule="exact"/>
        <w:rPr>
          <w:rFonts w:ascii="Times New Roman" w:cs="Times New Roman" w:eastAsia="Times New Roman" w:hAnsi="Times New Roman"/>
          <w:sz w:val="18"/>
          <w:szCs w:val="18"/>
          <w:color w:val="auto"/>
        </w:rPr>
      </w:pPr>
    </w:p>
    <w:p>
      <w:pPr>
        <w:ind w:left="660" w:right="380" w:hanging="329"/>
        <w:spacing w:after="0" w:line="26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204" w:lineRule="exact"/>
        <w:rPr>
          <w:rFonts w:ascii="Times New Roman" w:cs="Times New Roman" w:eastAsia="Times New Roman" w:hAnsi="Times New Roman"/>
          <w:sz w:val="18"/>
          <w:szCs w:val="18"/>
          <w:color w:val="auto"/>
        </w:rPr>
      </w:pPr>
    </w:p>
    <w:p>
      <w:pPr>
        <w:ind w:left="660" w:right="700" w:hanging="329"/>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600" w:hanging="329"/>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89"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sufficient cash flows to service our outstanding indebtedness;</w:t>
      </w:r>
    </w:p>
    <w:p>
      <w:pPr>
        <w:spacing w:after="0" w:line="25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access to debt and equity capital markets, including for acquisitions or refinancing due to maturities;</w:t>
      </w:r>
    </w:p>
    <w:p>
      <w:pPr>
        <w:spacing w:after="0" w:line="25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w:t>
      </w:r>
    </w:p>
    <w:p>
      <w:pPr>
        <w:spacing w:after="0" w:line="25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interest rates and the potential phasing out of the London Interbank Offered Rate ("LIBOR") after 2021;</w:t>
      </w:r>
    </w:p>
    <w:p>
      <w:pPr>
        <w:spacing w:after="0" w:line="25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or regional economic conditions;</w:t>
      </w:r>
    </w:p>
    <w:p>
      <w:pPr>
        <w:spacing w:after="0" w:line="25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qualified personnel and our ability to retain our key management personnel;</w:t>
      </w:r>
    </w:p>
    <w:p>
      <w:pPr>
        <w:spacing w:after="0" w:line="251" w:lineRule="exact"/>
        <w:rPr>
          <w:rFonts w:ascii="Times New Roman" w:cs="Times New Roman" w:eastAsia="Times New Roman" w:hAnsi="Times New Roman"/>
          <w:sz w:val="18"/>
          <w:szCs w:val="18"/>
          <w:color w:val="auto"/>
        </w:rPr>
      </w:pPr>
    </w:p>
    <w:p>
      <w:pPr>
        <w:ind w:left="660" w:right="400" w:hanging="329"/>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GLPI's obligation to indemnify Penn and its subsidiaries in certain circumstances if the spin-off transaction described in Part 1 of this Annual Report on Form 10-K fails to be tax-free;</w:t>
      </w:r>
    </w:p>
    <w:p>
      <w:pPr>
        <w:spacing w:after="0" w:line="189" w:lineRule="exact"/>
        <w:rPr>
          <w:rFonts w:ascii="Times New Roman" w:cs="Times New Roman" w:eastAsia="Times New Roman" w:hAnsi="Times New Roman"/>
          <w:sz w:val="18"/>
          <w:szCs w:val="18"/>
          <w:color w:val="auto"/>
        </w:rPr>
      </w:pPr>
    </w:p>
    <w:p>
      <w:pPr>
        <w:ind w:left="660" w:right="20" w:hanging="329"/>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United States tax law and other state, federal or local laws, whether or not specific to real estate, REITs or to the gaming, lodging or hospitality industries;</w:t>
      </w:r>
    </w:p>
    <w:p>
      <w:pPr>
        <w:spacing w:after="0" w:line="189"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w:t>
      </w:r>
    </w:p>
    <w:p>
      <w:pPr>
        <w:spacing w:after="0" w:line="251" w:lineRule="exact"/>
        <w:rPr>
          <w:rFonts w:ascii="Times New Roman" w:cs="Times New Roman" w:eastAsia="Times New Roman" w:hAnsi="Times New Roman"/>
          <w:sz w:val="18"/>
          <w:szCs w:val="18"/>
          <w:color w:val="auto"/>
        </w:rPr>
      </w:pPr>
    </w:p>
    <w:p>
      <w:pPr>
        <w:ind w:left="660" w:right="620" w:hanging="329"/>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or climate events or conditions, natural disasters, acts of terrorism and other international hostilities, war or political instability;</w:t>
      </w:r>
    </w:p>
    <w:p>
      <w:pPr>
        <w:spacing w:after="0" w:line="189" w:lineRule="exact"/>
        <w:rPr>
          <w:rFonts w:ascii="Times New Roman" w:cs="Times New Roman" w:eastAsia="Times New Roman" w:hAnsi="Times New Roman"/>
          <w:sz w:val="18"/>
          <w:szCs w:val="18"/>
          <w:color w:val="auto"/>
        </w:rPr>
      </w:pPr>
    </w:p>
    <w:p>
      <w:pPr>
        <w:ind w:left="660" w:right="200" w:hanging="329"/>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included herein do not reflect what the business, financial position or results of operations of GLPI may be in the future.</w:t>
      </w:r>
    </w:p>
    <w:p>
      <w:pPr>
        <w:spacing w:after="0" w:line="189" w:lineRule="exact"/>
        <w:rPr>
          <w:rFonts w:ascii="Times New Roman" w:cs="Times New Roman" w:eastAsia="Times New Roman" w:hAnsi="Times New Roman"/>
          <w:sz w:val="18"/>
          <w:szCs w:val="18"/>
          <w:color w:val="auto"/>
        </w:rPr>
      </w:pPr>
    </w:p>
    <w:p>
      <w:pPr>
        <w:ind w:left="660" w:right="800" w:hanging="329"/>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real estate business, including potential liability relating to environmental matters and illiquidity of real estate investments; and</w:t>
      </w:r>
    </w:p>
    <w:p>
      <w:pPr>
        <w:spacing w:after="0" w:line="189" w:lineRule="exact"/>
        <w:rPr>
          <w:rFonts w:ascii="Times New Roman" w:cs="Times New Roman" w:eastAsia="Times New Roman" w:hAnsi="Times New Roman"/>
          <w:sz w:val="18"/>
          <w:szCs w:val="18"/>
          <w:color w:val="auto"/>
        </w:rPr>
      </w:pPr>
    </w:p>
    <w:p>
      <w:pPr>
        <w:ind w:left="660" w:hanging="329"/>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in the sections entitled "Risk Factors" and "Management's Discussion and Analysis of Financial Condition and Results of Operations" in this report.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unknown or unpredictable factors may also cause actual results to differ materially from those projected by the forward-looking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these factors are difficult to anticipate and are generally beyond the control of the Company.</w:t>
      </w:r>
    </w:p>
    <w:p>
      <w:pPr>
        <w:spacing w:after="0" w:line="125" w:lineRule="exact"/>
        <w:rPr>
          <w:sz w:val="20"/>
          <w:szCs w:val="20"/>
          <w:color w:val="auto"/>
        </w:rPr>
      </w:pPr>
    </w:p>
    <w:p>
      <w:pPr>
        <w:jc w:val="both"/>
        <w:ind w:firstLine="445"/>
        <w:spacing w:after="0" w:line="265" w:lineRule="auto"/>
        <w:rPr>
          <w:sz w:val="20"/>
          <w:szCs w:val="20"/>
          <w:color w:val="auto"/>
        </w:rPr>
      </w:pPr>
      <w:r>
        <w:rPr>
          <w:rFonts w:ascii="Times New Roman" w:cs="Times New Roman" w:eastAsia="Times New Roman" w:hAnsi="Times New Roman"/>
          <w:sz w:val="18"/>
          <w:szCs w:val="18"/>
          <w:color w:val="auto"/>
        </w:rPr>
        <w:t>You should consider the areas of risk described above, as well as those set forth under the heading "Risk Factors," in connection with considering any forward-looking statements that may be made by the Company generally.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20" w:firstLine="647"/>
        <w:spacing w:after="0" w:line="281" w:lineRule="auto"/>
        <w:rPr>
          <w:sz w:val="20"/>
          <w:szCs w:val="20"/>
          <w:color w:val="auto"/>
        </w:rPr>
      </w:pPr>
      <w:r>
        <w:rPr>
          <w:rFonts w:ascii="Times New Roman" w:cs="Times New Roman" w:eastAsia="Times New Roman" w:hAnsi="Times New Roman"/>
          <w:sz w:val="18"/>
          <w:szCs w:val="18"/>
          <w:color w:val="auto"/>
        </w:rPr>
        <w:t>In this Annual Report on Form 10-K, the terms "we," "us," "our," the "Company" and "GLPI" refer to Gaming and Leisure Properties, Inc. and subsidiaries, unless the context indicates otherwise.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3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1"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 xml:space="preserve">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Louisiana Casino Cruises, Inc. (d/b/a Hollywood Casino Baton Rouge) and Penn Cecil Maryland, Inc. (d/b/a Hollywood Casino Perryville) (which are referred to herein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 w:cs="Times New Roman" w:eastAsia="Times New Roman" w:hAnsi="Times New Roman"/>
          <w:sz w:val="18"/>
          <w:szCs w:val="18"/>
          <w:i w:val="1"/>
          <w:iCs w:val="1"/>
          <w:color w:val="auto"/>
        </w:rPr>
        <w:t>Spinoffs and Reverse Spinoffs</w:t>
      </w:r>
      <w:r>
        <w:rPr>
          <w:rFonts w:ascii="Times New Roman" w:cs="Times New Roman" w:eastAsia="Times New Roman" w:hAnsi="Times New Roman"/>
          <w:sz w:val="18"/>
          <w:szCs w:val="18"/>
          <w:color w:val="auto"/>
        </w:rPr>
        <w:t>. GLPI owns and operates the TRS Properties and holds the real estate of Tropicana Las Vegas through its wholly-owned subsidiary, Tropicana LV, LLC which together with the TRS Properties and GLP Holdings, Inc., is the Company's TRS Segment (the "TRS Segment").</w:t>
      </w:r>
    </w:p>
    <w:p>
      <w:pPr>
        <w:spacing w:after="0" w:line="124" w:lineRule="exact"/>
        <w:rPr>
          <w:sz w:val="20"/>
          <w:szCs w:val="20"/>
          <w:color w:val="auto"/>
        </w:rPr>
      </w:pPr>
    </w:p>
    <w:p>
      <w:pPr>
        <w:ind w:right="40" w:firstLine="445"/>
        <w:spacing w:after="0" w:line="242" w:lineRule="auto"/>
        <w:rPr>
          <w:sz w:val="20"/>
          <w:szCs w:val="20"/>
          <w:color w:val="auto"/>
        </w:rPr>
      </w:pPr>
      <w:r>
        <w:rPr>
          <w:rFonts w:ascii="Times New Roman" w:cs="Times New Roman" w:eastAsia="Times New Roman" w:hAnsi="Times New Roman"/>
          <w:sz w:val="18"/>
          <w:szCs w:val="18"/>
          <w:color w:val="auto"/>
        </w:rPr>
        <w:t>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for the year ended December 31, 2014,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103"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color w:val="auto"/>
        </w:rPr>
        <w:t>GLPI's primary business consists of acquiring, financing, and owning real estate property to be leased to gaming operators in triple-net lease arrangements. Triple-net leases are leases in which the lessee pays rent to the lessor, as well as all taxes, insurance, utilities and maintenance expenses that arise from the use of the property. As of December 31, 2020, GLPI’s portfolio consisted of interests in 48 gaming and related facilities, including the TRS Segment, the real property associated with 33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and the real property associated with the Casino Queen in East St. Louis, Illinois. Penn, Caesars and Boyd are leading, diversified, multi-jurisdictional owners and managers of gaming and pari-mutual properties and established gaming providers with strong financial performance. These facilities, including our corporate headquarters building, are geographically diversified across 16 states and contain approximately 24.3 million square feet. As of December 31, 2020, the Company's properties were 100% occupied. We expect to continue growing our portfolio by pursuing opportunities to acquire additional gaming facilities to lease to gaming operators under prudent terms.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Properties and Leases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 Master Lease, Amended Pinnacle Master Lease, Boyd Master Lease and Belterra Park Lease</w:t>
      </w:r>
    </w:p>
    <w:p>
      <w:pPr>
        <w:spacing w:after="0" w:line="146" w:lineRule="exact"/>
        <w:rPr>
          <w:sz w:val="20"/>
          <w:szCs w:val="20"/>
          <w:color w:val="auto"/>
        </w:rPr>
      </w:pPr>
    </w:p>
    <w:p>
      <w:pPr>
        <w:ind w:firstLine="445"/>
        <w:spacing w:after="0" w:line="260" w:lineRule="auto"/>
        <w:rPr>
          <w:sz w:val="20"/>
          <w:szCs w:val="20"/>
          <w:color w:val="auto"/>
        </w:rPr>
      </w:pPr>
      <w:r>
        <w:rPr>
          <w:rFonts w:ascii="Times New Roman" w:cs="Times New Roman" w:eastAsia="Times New Roman" w:hAnsi="Times New Roman"/>
          <w:sz w:val="18"/>
          <w:szCs w:val="18"/>
          <w:color w:val="auto"/>
        </w:rPr>
        <w:t>As a result of the Spin-Off, GLPI owns substantially all of Penn's former real property assets (as of the consummation of the Spin-Off) and leases back most of those assets to Penn for use by its subsidiaries pursuant to a unitary master lease (the "Penn Master Lease"). The Penn Master Lease is a triple-net operating lease, the term of which expires October 31, 2033, with no purchase option, followed by three remaining 5-year renewal options (exercisable by the tenant) on the same terms and conditions.</w:t>
      </w:r>
    </w:p>
    <w:p>
      <w:pPr>
        <w:spacing w:after="0" w:line="114" w:lineRule="exact"/>
        <w:rPr>
          <w:sz w:val="20"/>
          <w:szCs w:val="20"/>
          <w:color w:val="auto"/>
        </w:rPr>
      </w:pPr>
    </w:p>
    <w:p>
      <w:pPr>
        <w:ind w:right="100" w:firstLine="445"/>
        <w:spacing w:after="0" w:line="239" w:lineRule="auto"/>
        <w:rPr>
          <w:sz w:val="20"/>
          <w:szCs w:val="20"/>
          <w:color w:val="auto"/>
        </w:rPr>
      </w:pPr>
      <w:r>
        <w:rPr>
          <w:rFonts w:ascii="Times New Roman" w:cs="Times New Roman" w:eastAsia="Times New Roman" w:hAnsi="Times New Roman"/>
          <w:sz w:val="18"/>
          <w:szCs w:val="18"/>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 property.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Meadows Lease</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real estate assets of the Meadows Racetrack and Casino (the "Meadows") are leased to Penn under a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Caesars Master Lease</w:t>
      </w:r>
    </w:p>
    <w:p>
      <w:pPr>
        <w:spacing w:after="0" w:line="240"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18"/>
          <w:szCs w:val="18"/>
          <w:color w:val="auto"/>
        </w:rPr>
        <w:t>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19"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7"/>
          <w:szCs w:val="17"/>
          <w:color w:val="auto"/>
        </w:rPr>
        <w:t>On June 15, 2020, the Company entered into an agreement to amend and restate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regulatory approvals and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subject to regulatory approvals and the satisfaction of certain conditions, and (vii) provide certain relief under the operating, capital expenditure and financial covenants thereunder in the event of facility closures due to pandemics, governmental restrictions and certain other instances of</w:t>
      </w:r>
    </w:p>
    <w:p>
      <w:pPr>
        <w:spacing w:after="0" w:line="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unavoidable delay. The Amended and Restated Caesars Master Lease became effective on July 23, 2020 when all of the necessary regulatory approvals were received and notice periods were satisfied. On December 18, 2020, Caesars transferred to the Company the real estate assets of the Waterloo and Bettendorf in exchange for the transfer by the Company to Caesars of the real property assets of the Tropicana Evansville and a cash payment of $5.7</w:t>
      </w:r>
    </w:p>
    <w:p>
      <w:pPr>
        <w:spacing w:after="0" w:line="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million. The Waterloo and Bettendorf facilities were added to the Amended and Restated Caesars Master Lease and the annual rent increased by approximately $520,000.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Lumière Place Lease</w:t>
      </w:r>
    </w:p>
    <w:p>
      <w:pPr>
        <w:spacing w:after="0" w:line="240"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w:t>
      </w:r>
    </w:p>
    <w:p>
      <w:pPr>
        <w:spacing w:after="0" w:line="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own the Lumière Place property in satisfaction of the CZR loan. On September 29, 2020, the transaction closed and we entered into a new triple net lease with Caesars (the "Lumière Place Lease") the initial term of which expires on October 31, 2033 with four separate renewal options of five years each, exercisable at the tenant's option. The Lumière Place Lease rent is subject to an annual escalator of up to 2% if certain rent coverage ratio thresholds are met.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Tropicana Las Vegas</w:t>
      </w:r>
    </w:p>
    <w:p>
      <w:pPr>
        <w:spacing w:after="0" w:line="227" w:lineRule="exact"/>
        <w:rPr>
          <w:sz w:val="20"/>
          <w:szCs w:val="20"/>
          <w:color w:val="auto"/>
        </w:rPr>
      </w:pPr>
    </w:p>
    <w:p>
      <w:pPr>
        <w:jc w:val="both"/>
        <w:ind w:firstLine="445"/>
        <w:spacing w:after="0" w:line="265" w:lineRule="auto"/>
        <w:rPr>
          <w:sz w:val="20"/>
          <w:szCs w:val="20"/>
          <w:color w:val="auto"/>
        </w:rPr>
      </w:pPr>
      <w:r>
        <w:rPr>
          <w:rFonts w:ascii="Times New Roman" w:cs="Times New Roman" w:eastAsia="Times New Roman" w:hAnsi="Times New Roman"/>
          <w:sz w:val="18"/>
          <w:szCs w:val="18"/>
          <w:color w:val="auto"/>
        </w:rPr>
        <w:t>On April 16, 2020, the Company and certain of its subsidiaries closed on its previously announced transaction to acquire the real property associated with the Tropicana Las Vegas Casino Hotel Resort ("Tropicana Las Vegas") from Penn in exchange for rent credits of $307.5 million, which were applied against future rent obligations due under the parties' existing leases during 2020. This asset has been placed in the Company's TRS Segment.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Morgantown Lease</w:t>
      </w:r>
    </w:p>
    <w:p>
      <w:pPr>
        <w:spacing w:after="0" w:line="240" w:lineRule="exact"/>
        <w:rPr>
          <w:sz w:val="20"/>
          <w:szCs w:val="20"/>
          <w:color w:val="auto"/>
        </w:rPr>
      </w:pPr>
    </w:p>
    <w:p>
      <w:pPr>
        <w:jc w:val="both"/>
        <w:ind w:firstLine="445"/>
        <w:spacing w:after="0" w:line="217" w:lineRule="auto"/>
        <w:rPr>
          <w:sz w:val="20"/>
          <w:szCs w:val="20"/>
          <w:color w:val="auto"/>
        </w:rPr>
      </w:pPr>
      <w:r>
        <w:rPr>
          <w:rFonts w:ascii="Times New Roman" w:cs="Times New Roman" w:eastAsia="Times New Roman" w:hAnsi="Times New Roman"/>
          <w:sz w:val="18"/>
          <w:szCs w:val="18"/>
          <w:color w:val="auto"/>
        </w:rPr>
        <w:t>On October 1, 2020, the Company and Penn closed on their previously announced transaction whereby GLPI acquired the land under Penn's gaming facility under construction in Morgantown, Pennsylvania in exchange for $30.0 million in rent credits that were fully utilized by Penn in the fourth quarter of 2020. The Company is leasing the land back to an affiliate of Penn for an initial annual rent of $3.0 million, provided, however, that (i) on the opening date and on each anniversary thereafter the rent shall be increased by 1.5% annually (on a prorated basis in for the remainder of the lease year in which the gaming facility opens) for each of the following three lease years and (ii) commencing on the fourth anniversary of the opening date and for each anniversary thereafter, (a) if the Consumer Price Index ("the CPI") increase is at least 0.5% for any lease year, the rent for such lease year shall increase by 1.25% of rent as of the immediately preceding lease year, and (b) if the CPI increase is less than 0.5% for such lease year, then the rent shall not increase for such lease year (the "Morgantown Lease").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Bally's Master Lease</w:t>
      </w:r>
    </w:p>
    <w:p>
      <w:pPr>
        <w:spacing w:after="0" w:line="213" w:lineRule="exact"/>
        <w:rPr>
          <w:sz w:val="20"/>
          <w:szCs w:val="20"/>
          <w:color w:val="auto"/>
        </w:rPr>
      </w:pPr>
    </w:p>
    <w:p>
      <w:pPr>
        <w:jc w:val="both"/>
        <w:ind w:firstLine="445"/>
        <w:spacing w:after="0" w:line="236" w:lineRule="auto"/>
        <w:rPr>
          <w:sz w:val="20"/>
          <w:szCs w:val="20"/>
          <w:color w:val="auto"/>
        </w:rPr>
      </w:pPr>
      <w:r>
        <w:rPr>
          <w:rFonts w:ascii="Times New Roman" w:cs="Times New Roman" w:eastAsia="Times New Roman" w:hAnsi="Times New Roman"/>
          <w:sz w:val="18"/>
          <w:szCs w:val="18"/>
          <w:color w:val="auto"/>
        </w:rPr>
        <w:t>On October 27, 2020, the Company entered into a series of definitive agreements pursuant to which a subsidiary of Twin River Worldwide Holdings, Inc. (now doing business as Bally's Corporation (NYSE: BALY) ("Bally's")), will acquire 100% of the equity interests in the Caesars subsidiary that currently operates Tropicana Evansville and the Company will reacquire the real property assets of Tropicana Evansville from Caesars for a cash purchase</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price of approximately $340.0 million. In addition, the Company entered into a real estate purchase agreement with Bally's pursuant to which the Company will purchase the real estate assets of the Dover Downs Hotel &amp; Casino, located in Dover, Delaware, which is currently owned and operated by Bally's, for</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cash purchase price of approximately $144.0 million. At the closing of the transactions, which is expected in mid-2021, subject to regulatory approvals, the Tropicana Evansville and Dover Downs Hotel and Casino facilities will be added to a new master lease between the Company and Bally's (the “Bally's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Master Lease”). The Company anticipates that the Bally's Master Lease will have an initial term of 15 years, with no purchase option, followed by four five-year renewal options (exercisable by the tenant) on the same terms and conditions. Rent under the Bally's Master Lease will be $40.0 million annually and is subject to an annual escalator of up to 2% determined in relation to the annual increase in the Consumer Price Index.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Queen Lease and Casino Queen Master Lease</w:t>
      </w:r>
    </w:p>
    <w:p>
      <w:pPr>
        <w:spacing w:after="0" w:line="25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Finally, GLPI leases the Casino Queen property in East St. Louis back to its operators on a triple-net basis on terms similar to those in the Penn Master Lease (the "Casino Queen Lease"). On November 25, 2020, the Company entered into a definitive agreement to sell the operations of its Hollywood Casino Baton Rouge to Casino Queen for $28.2 million. The Company will retain ownership of all real estate assets at Hollywood Casino Baton Rouge and will simultaneously enter into a master lease with Casino Queen, which will include the Casino Queen property in East St. Louis that is currently leased by us to them and the Hollywood Casino Baton Rouge facility (the "Casino Queen Master Lease"). The initial annual cash rent on the retained real estate will be approximately $21.4 million and the lease will have an initial term of 15 years with four 5 year renewal options.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 side development project that is in process and the rent under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Casino Queen Master Lease will be adjusted upon delivery to reflect a yield of 8.25% on GLPI's project costs. The transaction is subject to customary closing conditions and regulatory approvals and is expected to close in the second half of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Hollywood Casino Perryville Lease</w:t>
      </w:r>
    </w:p>
    <w:p>
      <w:pPr>
        <w:spacing w:after="0" w:line="25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On December 11, 2020, Penn agreed to purchase from the Company the operations of our Hollywood Casino Perryville, located in Perryville, Maryland, for $31.1 million, with the closing of such purchase, subject to regulatory approvals, expected to occur during calendar year 2021 on a date selected by Penn with reasonable prior notice to the Company unless otherwise agreed by both parties. Upon closing, the Company will lease the real estate of the Perryville facility to Penn pursuant to a lease providing for initial annual rent on the retained real estate of $7.77 million, $5.83 million of which will be subject to escalation provisions beginning in the second lease year through the fourth lease year and shall increase by 1.50% and then to 1.25% for the remaining lease term. The escalation provisions beginning in the fifth lease year are subject to CPI being at least 0.5% for the preceding lease year (the "Hollywood Casino Perryville Lease").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5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 the first quarter of 2020, COVID-19 became a global pandemic. Responses to the COVID-19 outbreak in the United States included mandates from federal, state, and/or local authorities requiring temporary closures of, or imposed limitations, on the operations of non-essential businesses. All of the Company's tenants' casino operations, in addition to the Company's two TRS Properties, were closed in mid-March. Our properties began reopening at limited capacity in May and by early July nearly all had resumed operations at limited capacity. However, in the fourth quarter, increased spread of COVID-19 led some jurisdictions to impose temporary closures once again. As of the date of this filing, only one of our tenants' properties is closed.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Status</w:t>
      </w:r>
    </w:p>
    <w:p>
      <w:pPr>
        <w:spacing w:after="0" w:line="15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for the year ended December 31, 2014,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provisions of the Code, we also would be disqualified from re-electing to be taxed as a REIT for the four taxable years following the year in which we failed to qualify to be taxed as a REIT.</w:t>
      </w:r>
    </w:p>
    <w:p>
      <w:pPr>
        <w:spacing w:after="0" w:line="119" w:lineRule="exact"/>
        <w:rPr>
          <w:sz w:val="20"/>
          <w:szCs w:val="20"/>
          <w:color w:val="auto"/>
        </w:rPr>
      </w:pPr>
    </w:p>
    <w:p>
      <w:pPr>
        <w:ind w:right="380" w:firstLine="445"/>
        <w:spacing w:after="0" w:line="281" w:lineRule="auto"/>
        <w:rPr>
          <w:sz w:val="20"/>
          <w:szCs w:val="20"/>
          <w:color w:val="auto"/>
        </w:rPr>
      </w:pPr>
      <w:r>
        <w:rPr>
          <w:rFonts w:ascii="Times New Roman" w:cs="Times New Roman" w:eastAsia="Times New Roman" w:hAnsi="Times New Roman"/>
          <w:sz w:val="18"/>
          <w:szCs w:val="18"/>
          <w:color w:val="auto"/>
        </w:rPr>
        <w:t>Our TRS Segment is able to engage in activities resulting in income that is not qualifying income for a REIT. As a result, certain activities of the Company which occur within our TRS Segment are subject to federal and state income taxes.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Tenants</w:t>
      </w:r>
    </w:p>
    <w:p>
      <w:pPr>
        <w:spacing w:after="0" w:line="159" w:lineRule="exact"/>
        <w:rPr>
          <w:sz w:val="20"/>
          <w:szCs w:val="20"/>
          <w:color w:val="auto"/>
        </w:rPr>
      </w:pPr>
    </w:p>
    <w:p>
      <w:pPr>
        <w:ind w:right="40" w:firstLine="647"/>
        <w:spacing w:after="0" w:line="258" w:lineRule="auto"/>
        <w:rPr>
          <w:sz w:val="20"/>
          <w:szCs w:val="20"/>
          <w:color w:val="auto"/>
        </w:rPr>
      </w:pPr>
      <w:r>
        <w:rPr>
          <w:rFonts w:ascii="Times New Roman" w:cs="Times New Roman" w:eastAsia="Times New Roman" w:hAnsi="Times New Roman"/>
          <w:sz w:val="18"/>
          <w:szCs w:val="18"/>
          <w:color w:val="auto"/>
        </w:rPr>
        <w:t>As of December 31, 2020, 33 of the Company’s real estate investment properties were leased to subsidiaries of Penn under the Penn Master Lease, the Amended Pinnacle Master Lease, the Meadows Lease and the Morgantown Lease, 7 of the Company's real estate investment properties were leased to subsidiaries of Caesars under the Amended and Restated Caesars Master Lease and the Lumière Place Lease and 4 of the Company's real estate investment properties were leased to subsidiaries of Boyd under the Boyd Master Lease and the Belterra Park Lease. We also lease a single real estate investment property to Casino Queen pursuant to the Casino Queen Lease.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53" w:lineRule="exact"/>
        <w:rPr>
          <w:sz w:val="20"/>
          <w:szCs w:val="20"/>
          <w:color w:val="auto"/>
        </w:rPr>
      </w:pPr>
    </w:p>
    <w:p>
      <w:pPr>
        <w:ind w:right="100" w:firstLine="647"/>
        <w:spacing w:after="0" w:line="280" w:lineRule="auto"/>
        <w:rPr>
          <w:sz w:val="20"/>
          <w:szCs w:val="20"/>
          <w:color w:val="auto"/>
        </w:rPr>
      </w:pPr>
      <w:r>
        <w:rPr>
          <w:rFonts w:ascii="Times New Roman" w:cs="Times New Roman" w:eastAsia="Times New Roman" w:hAnsi="Times New Roman"/>
          <w:sz w:val="17"/>
          <w:szCs w:val="17"/>
          <w:color w:val="auto"/>
        </w:rPr>
        <w:t>The obligations under the Penn and Amended Pinnacle Master Leases, as well as the Meadows Lease and Morgantown Lease, are guaranteed by Penn and, with respect to each lease, jointly and severally by Penn's subsidiaries that occupy and operate the facilities covered by such lease. Similarly, the obligations under the Amended and Restated Caesars Master Lease are jointly and severally guaranteed by Caesars and by most of Caesars's subsidiaries that occupy and operate the facilities leased under the Amended and Restated Caesars Master Lease. The obligations under the Boyd Master Leases are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jointly and severally guaranteed by Boyd's subsidiaries that occupy and operate the facilities leased under the Boyd Master Lease.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w:t>
      </w:r>
    </w:p>
    <w:p>
      <w:pPr>
        <w:spacing w:after="0" w:line="253" w:lineRule="exact"/>
        <w:rPr>
          <w:sz w:val="20"/>
          <w:szCs w:val="20"/>
          <w:color w:val="auto"/>
        </w:rPr>
      </w:pPr>
    </w:p>
    <w:p>
      <w:pPr>
        <w:ind w:firstLine="647"/>
        <w:spacing w:after="0" w:line="255" w:lineRule="auto"/>
        <w:rPr>
          <w:sz w:val="20"/>
          <w:szCs w:val="20"/>
          <w:color w:val="auto"/>
        </w:rPr>
      </w:pPr>
      <w:r>
        <w:rPr>
          <w:rFonts w:ascii="Times New Roman" w:cs="Times New Roman" w:eastAsia="Times New Roman" w:hAnsi="Times New Roman"/>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prospectively adjusted, subject to certain floors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that equals $22.9 million annually due to Penn's 2019 purchase of a competing facility, the Greektown Casino Hotel in Detroit, Michigan.</w:t>
      </w:r>
    </w:p>
    <w:p>
      <w:pPr>
        <w:spacing w:after="0" w:line="213" w:lineRule="exact"/>
        <w:rPr>
          <w:sz w:val="20"/>
          <w:szCs w:val="20"/>
          <w:color w:val="auto"/>
        </w:rPr>
      </w:pPr>
    </w:p>
    <w:p>
      <w:pPr>
        <w:ind w:right="40" w:firstLine="647"/>
        <w:spacing w:after="0" w:line="276" w:lineRule="auto"/>
        <w:rPr>
          <w:sz w:val="20"/>
          <w:szCs w:val="20"/>
          <w:color w:val="auto"/>
        </w:rPr>
      </w:pPr>
      <w:r>
        <w:rPr>
          <w:rFonts w:ascii="Times New Roman" w:cs="Times New Roman" w:eastAsia="Times New Roman" w:hAnsi="Times New Roman"/>
          <w:sz w:val="17"/>
          <w:szCs w:val="17"/>
          <w:color w:val="auto"/>
        </w:rPr>
        <w:t>Similar to the Penn Master Lease, the Amended Pinnacle Master Lease and Boyd Master Lease both include fixed components, a portion of which is subject to an annual 2% escalator if certain rent coverage ratio thresholds are met and a component that is based on the performance of the facilities, which is prospectively adjusted, subject to certain floors (namely the Bossier City Boomtown property in the Amended Pinnacle Master Lease due to Penn's acquisition of a competing facility, Margaritaville Resort Casino), every two years to an amount equal to 4% of the average annual net revenues of all facilities under the Amended Pinnacle Master Lease and Boyd Master Lease during the preceding two years in excess of contractual baselines.</w:t>
      </w:r>
    </w:p>
    <w:p>
      <w:pPr>
        <w:spacing w:after="0" w:line="238"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09"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209" w:lineRule="exact"/>
        <w:rPr>
          <w:sz w:val="20"/>
          <w:szCs w:val="20"/>
          <w:color w:val="auto"/>
        </w:rPr>
      </w:pPr>
    </w:p>
    <w:p>
      <w:pPr>
        <w:ind w:right="40" w:firstLine="647"/>
        <w:spacing w:after="0" w:line="260" w:lineRule="auto"/>
        <w:rPr>
          <w:sz w:val="20"/>
          <w:szCs w:val="20"/>
          <w:color w:val="auto"/>
        </w:rPr>
      </w:pPr>
      <w:r>
        <w:rPr>
          <w:rFonts w:ascii="Times New Roman" w:cs="Times New Roman" w:eastAsia="Times New Roman" w:hAnsi="Times New Roman"/>
          <w:sz w:val="18"/>
          <w:szCs w:val="18"/>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an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209" w:lineRule="exact"/>
        <w:rPr>
          <w:sz w:val="20"/>
          <w:szCs w:val="20"/>
          <w:color w:val="auto"/>
        </w:rPr>
      </w:pPr>
    </w:p>
    <w:p>
      <w:pPr>
        <w:ind w:right="60" w:firstLine="647"/>
        <w:spacing w:after="0" w:line="281" w:lineRule="auto"/>
        <w:rPr>
          <w:sz w:val="20"/>
          <w:szCs w:val="20"/>
          <w:color w:val="auto"/>
        </w:rPr>
      </w:pPr>
      <w:r>
        <w:rPr>
          <w:rFonts w:ascii="Times New Roman" w:cs="Times New Roman" w:eastAsia="Times New Roman" w:hAnsi="Times New Roman"/>
          <w:sz w:val="18"/>
          <w:szCs w:val="18"/>
          <w:color w:val="auto"/>
        </w:rPr>
        <w:t>The Amended and Restated Caesars Master Lease became effective on July 23, 2020, and among other things, changed the rental terms to become entirely fixed in nature, with the majority being subject to fixed escalations beginning in the 5th lease year as previously discussed.</w:t>
      </w:r>
    </w:p>
    <w:p>
      <w:pPr>
        <w:spacing w:after="0" w:line="190" w:lineRule="exact"/>
        <w:rPr>
          <w:sz w:val="20"/>
          <w:szCs w:val="20"/>
          <w:color w:val="auto"/>
        </w:rPr>
      </w:pPr>
    </w:p>
    <w:p>
      <w:pPr>
        <w:ind w:right="340" w:firstLine="647"/>
        <w:spacing w:after="0" w:line="265" w:lineRule="auto"/>
        <w:rPr>
          <w:sz w:val="20"/>
          <w:szCs w:val="20"/>
          <w:color w:val="auto"/>
        </w:rPr>
      </w:pPr>
      <w:r>
        <w:rPr>
          <w:rFonts w:ascii="Times New Roman" w:cs="Times New Roman" w:eastAsia="Times New Roman" w:hAnsi="Times New Roman"/>
          <w:sz w:val="18"/>
          <w:szCs w:val="18"/>
          <w:color w:val="auto"/>
        </w:rPr>
        <w:t>As previously discussed, on September 29, 2020, we entered into the Lumière Place Lease with Caesars the initial term of which expires on October 31, 2033 with four separate renewal options of five years each, exercisable at the tenant's option. The Lumière Place Lease rent is subject to an annual escalator of up to 2% if certain rent coverage ratio thresholds are met.</w:t>
      </w:r>
    </w:p>
    <w:p>
      <w:pPr>
        <w:spacing w:after="0" w:line="177" w:lineRule="exact"/>
        <w:rPr>
          <w:sz w:val="20"/>
          <w:szCs w:val="20"/>
          <w:color w:val="auto"/>
        </w:rPr>
      </w:pPr>
    </w:p>
    <w:p>
      <w:pPr>
        <w:ind w:right="40" w:firstLine="647"/>
        <w:spacing w:after="0" w:line="255" w:lineRule="auto"/>
        <w:rPr>
          <w:sz w:val="20"/>
          <w:szCs w:val="20"/>
          <w:color w:val="auto"/>
        </w:rPr>
      </w:pPr>
      <w:r>
        <w:rPr>
          <w:rFonts w:ascii="Times New Roman" w:cs="Times New Roman" w:eastAsia="Times New Roman" w:hAnsi="Times New Roman"/>
          <w:sz w:val="18"/>
          <w:szCs w:val="18"/>
          <w:color w:val="auto"/>
        </w:rPr>
        <w:t>On October 1, 2020, the Company acquired the underlying land at Penn's development facility in Morgantown, Pennsylvania in exchange for $30.0 million in rent credits and entered into the Morgantown Lease whereby the Company is leasing the underlying land back to an affiliate of Penn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w:t>
      </w:r>
    </w:p>
    <w:p>
      <w:pPr>
        <w:spacing w:after="0" w:line="213" w:lineRule="exact"/>
        <w:rPr>
          <w:sz w:val="20"/>
          <w:szCs w:val="20"/>
          <w:color w:val="auto"/>
        </w:rPr>
      </w:pPr>
    </w:p>
    <w:p>
      <w:pPr>
        <w:ind w:right="320" w:firstLine="647"/>
        <w:spacing w:after="0" w:line="281" w:lineRule="auto"/>
        <w:rPr>
          <w:sz w:val="20"/>
          <w:szCs w:val="20"/>
          <w:color w:val="auto"/>
        </w:rPr>
      </w:pPr>
      <w:r>
        <w:rPr>
          <w:rFonts w:ascii="Times New Roman" w:cs="Times New Roman" w:eastAsia="Times New Roman" w:hAnsi="Times New Roman"/>
          <w:sz w:val="18"/>
          <w:szCs w:val="18"/>
          <w:color w:val="auto"/>
        </w:rPr>
        <w:t>Furthermore, the Company's master leases provide for a floor on the percentage rent described above, should the Company's tenants acquire or commence operating a competing facility within a restricted area (typically 60 miles from 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rent, as triple-net lessees, all of the Company's tenants are required to pay the following executory costs: (1) all facility maintenance,</w:t>
      </w:r>
    </w:p>
    <w:p>
      <w:pPr>
        <w:spacing w:after="0" w:line="27" w:lineRule="exact"/>
        <w:rPr>
          <w:sz w:val="20"/>
          <w:szCs w:val="20"/>
          <w:color w:val="auto"/>
        </w:rPr>
      </w:pPr>
    </w:p>
    <w:p>
      <w:pPr>
        <w:jc w:val="both"/>
        <w:ind w:right="40"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required in connection with the leased properties and the business conducted on the leased properties, including coverage of the landlord's interests, (3) taxes and other impositions levied on or with respect to the leased properties, (other than taxes on the income of the lessor), and (4) all utilities and other services necessary or appropriate for the leased properties and the business conducted on the leased properties.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Leases</w:t>
      </w:r>
    </w:p>
    <w:p>
      <w:pPr>
        <w:spacing w:after="0" w:line="146" w:lineRule="exact"/>
        <w:rPr>
          <w:sz w:val="20"/>
          <w:szCs w:val="20"/>
          <w:color w:val="auto"/>
        </w:rPr>
      </w:pPr>
    </w:p>
    <w:p>
      <w:pPr>
        <w:ind w:firstLine="445"/>
        <w:spacing w:after="0" w:line="260" w:lineRule="auto"/>
        <w:rPr>
          <w:sz w:val="20"/>
          <w:szCs w:val="20"/>
          <w:color w:val="auto"/>
        </w:rPr>
      </w:pPr>
      <w:r>
        <w:rPr>
          <w:rFonts w:ascii="Times New Roman" w:cs="Times New Roman" w:eastAsia="Times New Roman" w:hAnsi="Times New Roman"/>
          <w:sz w:val="18"/>
          <w:szCs w:val="18"/>
          <w:color w:val="auto"/>
        </w:rPr>
        <w:t>Our tenants do not have the ability to terminate their obligations under our long-term tenant leases prior to the expiration of the initial term without the Company's consent. If our long-term tenant leases are terminated prior to their initial expiration other than with our consent, our tenants may be liable for damages and incur charges such as continued payment of rent through the end of the lease term and maintenance costs for the leased property. All of our tenant leases contain a limited number of renewal options which may be exercised at our tenants' option.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Features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certain features of our properties as of December 31,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Approx.</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3"/>
                <w:szCs w:val="13"/>
                <w:b w:val="1"/>
                <w:bCs w:val="1"/>
                <w:color w:val="auto"/>
                <w:w w:val="96"/>
              </w:rPr>
              <w:t>Property</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Leased</w:t>
            </w:r>
          </w:p>
        </w:tc>
        <w:tc>
          <w:tcPr>
            <w:tcW w:w="64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Hotel</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740" w:type="dxa"/>
            <w:vAlign w:val="bottom"/>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3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Tenant/Lease Agreement</w:t>
            </w:r>
          </w:p>
        </w:tc>
        <w:tc>
          <w:tcPr>
            <w:tcW w:w="108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3"/>
                <w:szCs w:val="13"/>
                <w:b w:val="1"/>
                <w:bCs w:val="1"/>
                <w:color w:val="auto"/>
                <w:w w:val="95"/>
              </w:rPr>
              <w:t>Square</w:t>
            </w:r>
          </w:p>
        </w:tc>
        <w:tc>
          <w:tcPr>
            <w:tcW w:w="8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3180" w:type="dxa"/>
            <w:vAlign w:val="bottom"/>
            <w:gridSpan w:val="2"/>
            <w:vMerge w:val="continue"/>
          </w:tcPr>
          <w:p>
            <w:pPr>
              <w:spacing w:after="0"/>
              <w:rPr>
                <w:sz w:val="15"/>
                <w:szCs w:val="15"/>
                <w:color w:val="auto"/>
              </w:rPr>
            </w:pPr>
          </w:p>
        </w:tc>
        <w:tc>
          <w:tcPr>
            <w:tcW w:w="108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3"/>
                <w:szCs w:val="13"/>
                <w:b w:val="1"/>
                <w:bCs w:val="1"/>
                <w:color w:val="auto"/>
                <w:w w:val="90"/>
              </w:rPr>
              <w:t xml:space="preserve">Footage </w:t>
            </w:r>
            <w:r>
              <w:rPr>
                <w:rFonts w:ascii="Times New Roman" w:cs="Times New Roman" w:eastAsia="Times New Roman" w:hAnsi="Times New Roman"/>
                <w:sz w:val="16"/>
                <w:szCs w:val="16"/>
                <w:b w:val="1"/>
                <w:bCs w:val="1"/>
                <w:color w:val="auto"/>
                <w:w w:val="90"/>
                <w:vertAlign w:val="superscript"/>
              </w:rPr>
              <w:t>(1)</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Acreage</w:t>
            </w:r>
          </w:p>
        </w:tc>
        <w:tc>
          <w:tcPr>
            <w:tcW w:w="96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3"/>
                <w:szCs w:val="13"/>
                <w:b w:val="1"/>
                <w:bCs w:val="1"/>
                <w:color w:val="auto"/>
                <w:w w:val="91"/>
              </w:rPr>
              <w:t xml:space="preserve">Acreage </w:t>
            </w:r>
            <w:r>
              <w:rPr>
                <w:rFonts w:ascii="Times New Roman" w:cs="Times New Roman" w:eastAsia="Times New Roman" w:hAnsi="Times New Roman"/>
                <w:sz w:val="16"/>
                <w:szCs w:val="16"/>
                <w:b w:val="1"/>
                <w:bCs w:val="1"/>
                <w:color w:val="auto"/>
                <w:w w:val="91"/>
                <w:vertAlign w:val="superscript"/>
              </w:rPr>
              <w:t>(2)</w:t>
            </w: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Rooms</w:t>
            </w:r>
          </w:p>
        </w:tc>
        <w:tc>
          <w:tcPr>
            <w:tcW w:w="0" w:type="dxa"/>
            <w:vAlign w:val="bottom"/>
          </w:tcPr>
          <w:p>
            <w:pPr>
              <w:spacing w:after="0"/>
              <w:rPr>
                <w:sz w:val="1"/>
                <w:szCs w:val="1"/>
                <w:color w:val="auto"/>
              </w:rPr>
            </w:pPr>
          </w:p>
        </w:tc>
      </w:tr>
      <w:tr>
        <w:trPr>
          <w:trHeight w:val="18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Tenant Occupied Properties</w:t>
            </w:r>
          </w:p>
        </w:tc>
        <w:tc>
          <w:tcPr>
            <w:tcW w:w="1740" w:type="dxa"/>
            <w:vAlign w:val="bottom"/>
            <w:tcBorders>
              <w:top w:val="single" w:sz="8" w:color="auto"/>
            </w:tcBorders>
            <w:shd w:val="clear" w:color="auto" w:fill="CCEEFF"/>
          </w:tcPr>
          <w:p>
            <w:pPr>
              <w:spacing w:after="0"/>
              <w:rPr>
                <w:sz w:val="15"/>
                <w:szCs w:val="15"/>
                <w:color w:val="auto"/>
              </w:rPr>
            </w:pPr>
          </w:p>
        </w:tc>
        <w:tc>
          <w:tcPr>
            <w:tcW w:w="3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Hollywood Casino Lawrenceburg</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Lawrenceburg, IN</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634,000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Hollywood Casino Aurora</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Aurora, IL</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222,189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Hollywood Casino Joliet</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Joliet, IL</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322,446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Argosy Casino Alton</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Alton, IL</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124,569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Hollywood Casino Toledo</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Toledo, OH</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285,335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Hollywood Casino Columbus</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Columbus, OH</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354,075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Hollywood Casino at Charles Town Races</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Town, WV</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511,249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36"/>
        </w:trPr>
        <w:tc>
          <w:tcPr>
            <w:tcW w:w="28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Hollywood Casino at Penn National Race</w:t>
            </w:r>
          </w:p>
        </w:tc>
        <w:tc>
          <w:tcPr>
            <w:tcW w:w="1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Grantville, PA</w:t>
            </w:r>
          </w:p>
        </w:tc>
        <w:tc>
          <w:tcPr>
            <w:tcW w:w="31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451,758</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Course</w:t>
            </w:r>
          </w:p>
        </w:tc>
        <w:tc>
          <w:tcPr>
            <w:tcW w:w="1740" w:type="dxa"/>
            <w:vAlign w:val="bottom"/>
            <w:vMerge w:val="continue"/>
            <w:shd w:val="clear" w:color="auto" w:fill="CCEEFF"/>
          </w:tcPr>
          <w:p>
            <w:pPr>
              <w:spacing w:after="0"/>
              <w:rPr>
                <w:sz w:val="16"/>
                <w:szCs w:val="16"/>
                <w:color w:val="auto"/>
              </w:rPr>
            </w:pPr>
          </w:p>
        </w:tc>
        <w:tc>
          <w:tcPr>
            <w:tcW w:w="31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 Resort</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Henderson, NV</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910,173</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Hollywood Casino Bangor</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Bangor, ME</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257,085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Zia Park Casino </w:t>
            </w:r>
            <w:r>
              <w:rPr>
                <w:rFonts w:ascii="Times New Roman" w:cs="Times New Roman" w:eastAsia="Times New Roman" w:hAnsi="Times New Roman"/>
                <w:sz w:val="18"/>
                <w:szCs w:val="18"/>
                <w:color w:val="auto"/>
                <w:vertAlign w:val="superscript"/>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Hobbs, NM</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Hollywood Casino Gulf Coast</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Bay St. Louis, MS</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425,920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Argosy Casino Riverside</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Riverside, MO</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450,397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Hollywood Casino Tunica</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Tunica, MS</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315,831</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Boomtown Biloxi</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Biloxi, MS</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134,800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Hollywood Casino St. Louis</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Maryland Heights, MO</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645,270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Hollywood Gaming at Dayton Raceway</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Dayton, OH</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191,037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8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Hollywood Gaming at Mahoning Valley Race</w:t>
            </w:r>
          </w:p>
        </w:tc>
        <w:tc>
          <w:tcPr>
            <w:tcW w:w="1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Youngstown, OH</w:t>
            </w:r>
          </w:p>
        </w:tc>
        <w:tc>
          <w:tcPr>
            <w:tcW w:w="31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177,448</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Course</w:t>
            </w:r>
          </w:p>
        </w:tc>
        <w:tc>
          <w:tcPr>
            <w:tcW w:w="1740" w:type="dxa"/>
            <w:vAlign w:val="bottom"/>
            <w:vMerge w:val="continue"/>
            <w:shd w:val="clear" w:color="auto" w:fill="CCEEFF"/>
          </w:tcPr>
          <w:p>
            <w:pPr>
              <w:spacing w:after="0"/>
              <w:rPr>
                <w:sz w:val="16"/>
                <w:szCs w:val="16"/>
                <w:color w:val="auto"/>
              </w:rPr>
            </w:pPr>
          </w:p>
        </w:tc>
        <w:tc>
          <w:tcPr>
            <w:tcW w:w="31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1st Jackpot Casino</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Tunica, MS</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Penn/Penn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78,941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Ameristar Black Hawk</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Black Hawk, CO</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775,744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Ameristar East Chicago</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Chicago, IN</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509,867</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4"/>
                <w:szCs w:val="14"/>
                <w:color w:val="auto"/>
              </w:rPr>
              <w:t xml:space="preserve">Ameristar Council Bluffs </w:t>
            </w:r>
            <w:r>
              <w:rPr>
                <w:rFonts w:ascii="Times New Roman" w:cs="Times New Roman" w:eastAsia="Times New Roman" w:hAnsi="Times New Roman"/>
                <w:sz w:val="18"/>
                <w:szCs w:val="18"/>
                <w:color w:val="auto"/>
                <w:vertAlign w:val="superscript"/>
              </w:rPr>
              <w:t>(3)</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Council Bluffs, IA</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312,047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L'Auberge Baton Rouge</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Baton Rouge, LA</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436,461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Boomtown Bossier City</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Bossier City, LA</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281,747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L'Auberge Lake Charles</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Lake Charles, LA</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1,014,497</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Boomtown New Orleans</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Orleans, LA</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278,227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Ameristar Vicksburg</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Vicksburg, MS</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298,006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River City Casino and Hotel</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 Louis, MO</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431,226</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Jackpot Properties </w:t>
            </w:r>
            <w:r>
              <w:rPr>
                <w:rFonts w:ascii="Times New Roman" w:cs="Times New Roman" w:eastAsia="Times New Roman" w:hAnsi="Times New Roman"/>
                <w:sz w:val="18"/>
                <w:szCs w:val="18"/>
                <w:color w:val="auto"/>
                <w:vertAlign w:val="superscript"/>
              </w:rPr>
              <w:t>(4)</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Jackpot, NV</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419,800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Plainridge Park Casino</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Plainville, MA</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Penn/Amended Pinnacle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196,473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The Meadows Racetrack and Casino </w:t>
            </w:r>
            <w:r>
              <w:rPr>
                <w:rFonts w:ascii="Times New Roman" w:cs="Times New Roman" w:eastAsia="Times New Roman" w:hAnsi="Times New Roman"/>
                <w:sz w:val="18"/>
                <w:szCs w:val="18"/>
                <w:color w:val="auto"/>
                <w:vertAlign w:val="superscript"/>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Washington, PA</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Penn/Meadows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417,921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Hollywood Casino Morgantown</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Morgantown, PA</w:t>
            </w:r>
          </w:p>
        </w:tc>
        <w:tc>
          <w:tcPr>
            <w:tcW w:w="3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Penn/Morgantown Lease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Casino Queen</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St. Louis, IL</w:t>
            </w:r>
          </w:p>
        </w:tc>
        <w:tc>
          <w:tcPr>
            <w:tcW w:w="3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Casino Queen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330,502</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Belterra Casino Resort</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Florence, IN</w:t>
            </w:r>
          </w:p>
        </w:tc>
        <w:tc>
          <w:tcPr>
            <w:tcW w:w="3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Boyd/Boyd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782,393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Ameristar Kansas City</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Kansas City, MO</w:t>
            </w:r>
          </w:p>
        </w:tc>
        <w:tc>
          <w:tcPr>
            <w:tcW w:w="3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Boyd/Boyd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763,939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Ameristar St. Charles</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 Charles, MO</w:t>
            </w:r>
          </w:p>
        </w:tc>
        <w:tc>
          <w:tcPr>
            <w:tcW w:w="3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Boyd/Boyd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1,272,938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Belterra Park Gaming &amp; Entertainment Center</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Cincinnati, OH</w:t>
            </w:r>
          </w:p>
        </w:tc>
        <w:tc>
          <w:tcPr>
            <w:tcW w:w="3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Boyd/Belterra Park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372,650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Tropicana Atlantic City</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Atlantic City, NJ</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Caesars/Amended Caesars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4,232,018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Tropicana Laughlin</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Laughlin, NV</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Caesars/Amended Caesars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936,453</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Isle Casino Hotel Bettendorf</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Bettendorf, IA</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Caesars/Amended Caesars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738,905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Isle Casino Hotel Waterloo</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Waterloo, IA</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Caesars/Amended Caesars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287,436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Trop Casino Greenville</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Greenville, MS</w:t>
            </w:r>
          </w:p>
        </w:tc>
        <w:tc>
          <w:tcPr>
            <w:tcW w:w="3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Caesars/Amended Caesars Master Lease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94,017</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Belle of Baton Rouge</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Baton Rouge, LA</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Caesars/Amended Caesars Master Lease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386,398</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Lumiere Place</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 Louis, MO</w:t>
            </w:r>
          </w:p>
        </w:tc>
        <w:tc>
          <w:tcPr>
            <w:tcW w:w="3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Caesars/Lumiere Place Lease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807,407</w:t>
            </w: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81"/>
        </w:trPr>
        <w:tc>
          <w:tcPr>
            <w:tcW w:w="2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22,978,662</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788.0</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Properties</w:t>
            </w:r>
          </w:p>
        </w:tc>
        <w:tc>
          <w:tcPr>
            <w:tcW w:w="248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9"/>
        </w:trPr>
        <w:tc>
          <w:tcPr>
            <w:tcW w:w="244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Other owned buildings and land </w:t>
            </w:r>
            <w:r>
              <w:rPr>
                <w:rFonts w:ascii="Times New Roman" w:cs="Times New Roman" w:eastAsia="Times New Roman" w:hAnsi="Times New Roman"/>
                <w:sz w:val="18"/>
                <w:szCs w:val="18"/>
                <w:color w:val="auto"/>
                <w:vertAlign w:val="superscript"/>
              </w:rPr>
              <w:t>(5)</w:t>
            </w:r>
          </w:p>
        </w:tc>
        <w:tc>
          <w:tcPr>
            <w:tcW w:w="2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various</w:t>
            </w:r>
          </w:p>
        </w:tc>
        <w:tc>
          <w:tcPr>
            <w:tcW w:w="282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4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8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TRS Segment</w:t>
            </w:r>
          </w:p>
        </w:tc>
        <w:tc>
          <w:tcPr>
            <w:tcW w:w="24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Hollywood Casino Baton Rouge</w:t>
            </w:r>
          </w:p>
        </w:tc>
        <w:tc>
          <w:tcPr>
            <w:tcW w:w="2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Baton Rouge, LA</w:t>
            </w:r>
          </w:p>
        </w:tc>
        <w:tc>
          <w:tcPr>
            <w:tcW w:w="2820" w:type="dxa"/>
            <w:vAlign w:val="bottom"/>
            <w:shd w:val="clear" w:color="auto" w:fill="CCEEFF"/>
          </w:tcPr>
          <w:p>
            <w:pPr>
              <w:jc w:val="center"/>
              <w:ind w:right="348"/>
              <w:spacing w:after="0"/>
              <w:rPr>
                <w:sz w:val="20"/>
                <w:szCs w:val="20"/>
                <w:color w:val="auto"/>
              </w:rPr>
            </w:pPr>
            <w:r>
              <w:rPr>
                <w:rFonts w:ascii="Times New Roman" w:cs="Times New Roman" w:eastAsia="Times New Roman" w:hAnsi="Times New Roman"/>
                <w:sz w:val="14"/>
                <w:szCs w:val="14"/>
                <w:color w:val="auto"/>
              </w:rPr>
              <w:t>GLPI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95,318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Hollywood Casino Perryville</w:t>
            </w:r>
          </w:p>
        </w:tc>
        <w:tc>
          <w:tcPr>
            <w:tcW w:w="2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Perryville, MD</w:t>
            </w:r>
          </w:p>
        </w:tc>
        <w:tc>
          <w:tcPr>
            <w:tcW w:w="282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rPr>
              <w:t>GLPI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97,961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4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4"/>
                <w:szCs w:val="14"/>
                <w:color w:val="auto"/>
              </w:rPr>
              <w:t xml:space="preserve">Tropicana Las Vegas </w:t>
            </w:r>
            <w:r>
              <w:rPr>
                <w:rFonts w:ascii="Times New Roman" w:cs="Times New Roman" w:eastAsia="Times New Roman" w:hAnsi="Times New Roman"/>
                <w:sz w:val="18"/>
                <w:szCs w:val="18"/>
                <w:color w:val="auto"/>
                <w:vertAlign w:val="superscript"/>
              </w:rPr>
              <w:t>(6)</w:t>
            </w:r>
          </w:p>
        </w:tc>
        <w:tc>
          <w:tcPr>
            <w:tcW w:w="2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Las Vegas, NV</w:t>
            </w:r>
          </w:p>
        </w:tc>
        <w:tc>
          <w:tcPr>
            <w:tcW w:w="2820" w:type="dxa"/>
            <w:vAlign w:val="bottom"/>
            <w:shd w:val="clear" w:color="auto" w:fill="CCEEFF"/>
          </w:tcPr>
          <w:p>
            <w:pPr>
              <w:jc w:val="center"/>
              <w:ind w:right="348"/>
              <w:spacing w:after="0"/>
              <w:rPr>
                <w:sz w:val="20"/>
                <w:szCs w:val="20"/>
                <w:color w:val="auto"/>
              </w:rPr>
            </w:pPr>
            <w:r>
              <w:rPr>
                <w:rFonts w:ascii="Times New Roman" w:cs="Times New Roman" w:eastAsia="Times New Roman" w:hAnsi="Times New Roman"/>
                <w:sz w:val="14"/>
                <w:szCs w:val="14"/>
                <w:color w:val="auto"/>
                <w:w w:val="99"/>
              </w:rPr>
              <w:t>Penn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1,148,212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r>
      <w:tr>
        <w:trPr>
          <w:trHeight w:val="181"/>
        </w:trPr>
        <w:tc>
          <w:tcPr>
            <w:tcW w:w="244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1,341,491</w:t>
            </w:r>
          </w:p>
        </w:tc>
        <w:tc>
          <w:tcPr>
            <w:tcW w:w="1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w:t>
            </w:r>
          </w:p>
        </w:tc>
      </w:tr>
      <w:tr>
        <w:trPr>
          <w:trHeight w:val="209"/>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8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24,343,553</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788.0</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14,163</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3785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Square footage includes air-conditioned space and excludes parking garages and barns.</w:t>
      </w:r>
    </w:p>
    <w:p>
      <w:pPr>
        <w:spacing w:after="0" w:line="251" w:lineRule="exact"/>
        <w:rPr>
          <w:sz w:val="20"/>
          <w:szCs w:val="20"/>
          <w:color w:val="auto"/>
        </w:rPr>
      </w:pPr>
    </w:p>
    <w:p>
      <w:pPr>
        <w:ind w:left="20" w:right="60" w:hanging="12"/>
        <w:spacing w:after="0" w:line="281" w:lineRule="auto"/>
        <w:rPr>
          <w:sz w:val="20"/>
          <w:szCs w:val="20"/>
          <w:color w:val="auto"/>
        </w:rPr>
      </w:pPr>
      <w:r>
        <w:rPr>
          <w:rFonts w:ascii="Times New Roman" w:cs="Times New Roman" w:eastAsia="Times New Roman" w:hAnsi="Times New Roman"/>
          <w:sz w:val="18"/>
          <w:szCs w:val="18"/>
          <w:color w:val="auto"/>
        </w:rPr>
        <w:t>Leased acreage reflects land subject to leases with third-parties and includes land on which certain of the current facilities and ancillary supporting structures are located as well as parking lots and access rights.</w:t>
      </w:r>
    </w:p>
    <w:p>
      <w:pPr>
        <w:spacing w:after="0" w:line="19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ind w:left="660" w:right="20" w:hanging="652"/>
        <w:spacing w:after="0" w:line="229" w:lineRule="auto"/>
        <w:tabs>
          <w:tab w:leader="none" w:pos="26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properties include hotels not owned by the Company. Square footage and rooms associated with properties not owned by GLPI are excluded from the table above.</w:t>
      </w:r>
    </w:p>
    <w:p>
      <w:pPr>
        <w:sectPr>
          <w:pgSz w:w="11900" w:h="16838" w:orient="portrait"/>
          <w:cols w:equalWidth="0" w:num="1">
            <w:col w:w="11240"/>
          </w:cols>
          <w:pgMar w:left="320" w:top="126"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Encompasses two gaming properties in Jackpot, Nevada: Cactus Pete's and The Horseshu.</w:t>
      </w:r>
    </w:p>
    <w:p>
      <w:pPr>
        <w:spacing w:after="0" w:line="2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includes our corporate headquarters building and undeveloped land the Company owns at locations other than its tenant occupied properties.</w:t>
      </w:r>
    </w:p>
    <w:p>
      <w:pPr>
        <w:spacing w:after="0" w:line="200" w:lineRule="exact"/>
        <w:rPr>
          <w:sz w:val="20"/>
          <w:szCs w:val="20"/>
          <w:color w:val="auto"/>
        </w:rPr>
      </w:pPr>
    </w:p>
    <w:p>
      <w:pPr>
        <w:sectPr>
          <w:pgSz w:w="11900" w:h="16838" w:orient="portrait"/>
          <w:cols w:equalWidth="0" w:num="2">
            <w:col w:w="140" w:space="120"/>
            <w:col w:w="10980"/>
          </w:cols>
          <w:pgMar w:left="320" w:top="126" w:right="339" w:bottom="1440" w:gutter="0" w:footer="0" w:header="0"/>
          <w:type w:val="continuous"/>
        </w:sectPr>
      </w:pPr>
    </w:p>
    <w:p>
      <w:pPr>
        <w:spacing w:after="0" w:line="36" w:lineRule="exact"/>
        <w:rPr>
          <w:sz w:val="20"/>
          <w:szCs w:val="20"/>
          <w:color w:val="auto"/>
        </w:rPr>
      </w:pPr>
    </w:p>
    <w:p>
      <w:pPr>
        <w:jc w:val="both"/>
        <w:ind w:left="660" w:right="60" w:hanging="652"/>
        <w:spacing w:after="0" w:line="238" w:lineRule="auto"/>
        <w:tabs>
          <w:tab w:leader="none" w:pos="32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acquired the real property associated with Tropicana Las Vegas from Penn in exchange for $307.5 million of rent credits in April 2020. The property is operated by an affiliate of Penn pursuant to a triple net lease for nominal rent for the earlier of two years (subject to three one-year extensions at the Company's option) or until the Tropicana Las Vegas is sold. See Note 7 in the Notes to the Consolidated Financial Statements for further details.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1" w:lineRule="exact"/>
        <w:rPr>
          <w:sz w:val="20"/>
          <w:szCs w:val="20"/>
          <w:color w:val="auto"/>
        </w:rPr>
      </w:pPr>
    </w:p>
    <w:p>
      <w:pPr>
        <w:ind w:right="100" w:firstLine="445"/>
        <w:spacing w:after="0" w:line="260" w:lineRule="auto"/>
        <w:rPr>
          <w:sz w:val="20"/>
          <w:szCs w:val="20"/>
          <w:color w:val="auto"/>
        </w:rPr>
      </w:pPr>
      <w:r>
        <w:rPr>
          <w:rFonts w:ascii="Times New Roman" w:cs="Times New Roman" w:eastAsia="Times New Roman" w:hAnsi="Times New Roman"/>
          <w:sz w:val="18"/>
          <w:szCs w:val="18"/>
          <w:color w:val="auto"/>
        </w:rPr>
        <w:t>We compete for additional real property investments with other REITs, including two other publicly traded gaming focused REITs, MGM Growth Properties LLC and VICI Properties Inc., investment companies, private equity and hedge fund investors, sovereign funds, lenders, gaming companies and other investors. Some of our competitors are significantly larger and have greater financial resources and lower costs of capital than we have, making it more challenging to identify and successfully capitalize on acquisition opportunities that meet our investment objectives.</w:t>
      </w:r>
    </w:p>
    <w:p>
      <w:pPr>
        <w:spacing w:after="0" w:line="114"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In addition, revenues from our gaming properties are dependent on the ability of our gaming tenants and operators to compete with other gaming operators. The gaming industry is characterized by an increasingly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U.S. In a broader sense, our gaming tenants and operators face competition from all manner of leisure and entertainment activities, including: shopping, athletic events, television and movies, concerts and travel. Legalized gaming is currently permitted in various forms throughout the U.S., in several Canadian provinces and on various lands taken into trust for the benefit of certain Native Americans in the U.S. and Canada. In addition, established gaming jurisdictions could award additional gaming licenses or permit the expansion or relocation of existing gaming operations. New, relocated or expanded operations by other persons may increase competition for our gaming tenants and could have a material adverse impact on our gaming tenants and operators and us as landlord. Finally, the imposition of smoking bans and/or higher gaming tax rates have a significant impact on our gaming tenants' ability to compete with facilities in nearby jurisdictions.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59"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 xml:space="preserve">Consistent with how our Chief Operating Decision Maker (as such term is defined in ASC 280 -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reviews and assesses our financial performance, we have two reportable segments, GLP Capital, L.P. (a wholly-owned subsidiary of GLPI through which GLPI owns substantially all of its real estate assets) ("GLP Capital") and the TRS Segment. The GLP Capital reportable segment consists of the leased real property and represents the majority of our business. The TRS Segment consists of Hollywood Casino Perryville, Hollywood Casino Baton Rouge and Tropicana Las Vegas. See "Item 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and "Item 8—Financial Statements and Supplementary Data— Note 19—Segment Information" for further information with respect to the Company's segments.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8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M. Carlino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29"/>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Brandon J. Moore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Desiree A. Burke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Accounting Officer and Treasurer</w:t>
            </w:r>
          </w:p>
        </w:tc>
      </w:tr>
      <w:tr>
        <w:trPr>
          <w:trHeight w:val="229"/>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Demchyk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Investment Officer</w:t>
            </w: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L. Ladany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Development Officer</w:t>
            </w:r>
          </w:p>
        </w:tc>
      </w:tr>
    </w:tbl>
    <w:p>
      <w:pPr>
        <w:spacing w:after="0" w:line="207" w:lineRule="exact"/>
        <w:rPr>
          <w:sz w:val="20"/>
          <w:szCs w:val="20"/>
          <w:color w:val="auto"/>
        </w:rPr>
      </w:pPr>
    </w:p>
    <w:p>
      <w:pPr>
        <w:ind w:right="20" w:firstLine="44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Peter M. Carlino. </w:t>
      </w:r>
      <w:r>
        <w:rPr>
          <w:rFonts w:ascii="Times New Roman" w:cs="Times New Roman" w:eastAsia="Times New Roman" w:hAnsi="Times New Roman"/>
          <w:sz w:val="18"/>
          <w:szCs w:val="18"/>
          <w:color w:val="auto"/>
        </w:rPr>
        <w:t>Mr. Carlino has been the Company's Chairman and Chief Executive Officer since the Company's inception in November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Carlino was the founder of Penn and served as its Chief Executive Officer from 1994 through October 2013. Mr. Carlino also served as the Chairman of the Board of Directors of Penn from April 1994 through May 28, 2019. Mr. Carlino continues to serve as Chairman Emeritus on Penn's Board of Directors and has served in such position since June 2019. Mr. Carlino has served as the Chairman of the Board of Directors and as Chief Executive Officer for Penn, and now the Company, collectively for over 25 years.</w:t>
      </w:r>
    </w:p>
    <w:p>
      <w:pPr>
        <w:spacing w:after="0" w:line="110" w:lineRule="exact"/>
        <w:rPr>
          <w:sz w:val="20"/>
          <w:szCs w:val="20"/>
          <w:color w:val="auto"/>
        </w:rPr>
      </w:pPr>
    </w:p>
    <w:p>
      <w:pPr>
        <w:ind w:right="16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Brandon J. Moore. </w:t>
      </w:r>
      <w:r>
        <w:rPr>
          <w:rFonts w:ascii="Times New Roman" w:cs="Times New Roman" w:eastAsia="Times New Roman" w:hAnsi="Times New Roman"/>
          <w:sz w:val="18"/>
          <w:szCs w:val="18"/>
          <w:color w:val="auto"/>
        </w:rPr>
        <w:t>Mr. Moore is our Executive Vice President, General Counsel and Secretary. Mr. Moore joined the Company in January 2014.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he served as Penn's Vice President, Senior Corporate Counsel from March 2010 where he was a member of the legal team responsible for a variety of transactional, regulatory and general legal matters. Prior to joining Penn, Mr. Moore was with Ballard Spahr LLP, where he provided advanced legal counsel to clients on matters including merger and acquisition transactions, debt and equity financings, and various other matters.</w:t>
      </w:r>
    </w:p>
    <w:p>
      <w:pPr>
        <w:spacing w:after="0" w:line="107" w:lineRule="exact"/>
        <w:rPr>
          <w:sz w:val="20"/>
          <w:szCs w:val="20"/>
          <w:color w:val="auto"/>
        </w:rPr>
      </w:pPr>
    </w:p>
    <w:p>
      <w:pPr>
        <w:ind w:right="20" w:firstLine="44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Desiree A. Burke. </w:t>
      </w:r>
      <w:r>
        <w:rPr>
          <w:rFonts w:ascii="Times New Roman" w:cs="Times New Roman" w:eastAsia="Times New Roman" w:hAnsi="Times New Roman"/>
          <w:sz w:val="18"/>
          <w:szCs w:val="18"/>
          <w:color w:val="auto"/>
        </w:rPr>
        <w:t>Ms. Burke is our Senior Vice President, Chief Accounting Officer and Treasurer. She joined the Company in April 2014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Vice President and Chief Accounting Officer. Previously, Ms. Burke served as Penn's Vice President and Chief Accounting Officer from November 2009. Additionally, she served as Penn's Vice President and Corporate Controller from November 2005 to October 2009. Prior to her time at Penn National Gaming, Inc., Ms. Burke was the Executive Vice President/Director of Financial Reporting and Control for MBNA America Bank, N.A. She joined MBNA in 1994 and held positions of ascending responsibility in the finance department during her tenure. Ms. Burke is a CPA.</w:t>
      </w:r>
    </w:p>
    <w:p>
      <w:pPr>
        <w:spacing w:after="0" w:line="97" w:lineRule="exact"/>
        <w:rPr>
          <w:sz w:val="20"/>
          <w:szCs w:val="20"/>
          <w:color w:val="auto"/>
        </w:rPr>
      </w:pPr>
    </w:p>
    <w:p>
      <w:pPr>
        <w:ind w:right="260" w:firstLine="44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Matthew Demchyk. </w:t>
      </w:r>
      <w:r>
        <w:rPr>
          <w:rFonts w:ascii="Times New Roman" w:cs="Times New Roman" w:eastAsia="Times New Roman" w:hAnsi="Times New Roman"/>
          <w:sz w:val="18"/>
          <w:szCs w:val="18"/>
          <w:color w:val="auto"/>
        </w:rPr>
        <w:t>Mr. Demchyk became our Senior Vice President, Chief Investment Officer in January 2021 in which he leads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strategy and is responsible for capital allocation. Mr. Demchyk joined the Company in February 2019 as our Senior Vice President of Investments. Previously, he served as Portfolio Manager of Real Estate Securities at Millennium Partners for nine years. Prior to joining Millennium Partners, he managed a portfolio of REIT equity securities at Carlson Capital and served as Assistant Portfolio Manager at CenterSquare Investment Management, a leading REIT dedicated asset manager. Mr. Demchyk is a CFA Charterholder.</w:t>
      </w:r>
    </w:p>
    <w:p>
      <w:pPr>
        <w:spacing w:after="0" w:line="110" w:lineRule="exact"/>
        <w:rPr>
          <w:sz w:val="20"/>
          <w:szCs w:val="20"/>
          <w:color w:val="auto"/>
        </w:rPr>
      </w:pPr>
    </w:p>
    <w:p>
      <w:pPr>
        <w:ind w:right="40" w:firstLine="44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Steven L. Ladany. </w:t>
      </w:r>
      <w:r>
        <w:rPr>
          <w:rFonts w:ascii="Times New Roman" w:cs="Times New Roman" w:eastAsia="Times New Roman" w:hAnsi="Times New Roman"/>
          <w:sz w:val="18"/>
          <w:szCs w:val="18"/>
          <w:color w:val="auto"/>
        </w:rPr>
        <w:t>Mr. Ladany became our Senior Vice President, Chief Development Officer in January 2021 and leads the Company's ongoing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acquisition and development efforts. Mr. Ladany joined the Company in September 2014 as Vice President, Finance and served in that role until March 2019, when he was promoted to Senior Vice President, Finance. Prior to joining the Company, Mr. Ladany served as a Vice President at Revel Casino Hotel, a regional gaming property currently known as Ocean Casino Resort, and as a Vice President at J.P. Morgan in the Syndicated and Leveraged Finance group within the firm's investment banking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4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7"/>
          <w:szCs w:val="17"/>
          <w:color w:val="auto"/>
        </w:rPr>
        <w:t>We elected to be treated as a REIT on our 2014 U.S. federal income tax return and we, together with an indirect wholly-owned subsidiary of the Company, GLP Holdings, Inc., jointly elected to treat each of GLP Holdings, Inc., Louisiana Casino Cruises, Inc. and Penn Cecil Maryland, Inc. as a "taxable REIT subsidiary" ("TRS") effective on the first day of the first taxable year of GLPI as a REIT. In addition, during 2020, the Company and Tropicana LV, LLC, a wholly owned subsidiary of the Company, elected to treat Tropicana LV, LLC as a TRS. We intend to continue to be organized and to operate in a manner that will permit us to qualify as a REIT. Qualification and taxation as a REIT depends on our ability to meet on a continuing basis, through actual operating results, distribution levels, and diversity of stock ownership, various qualification requirements imposed upon REITs by the Code. Our ability to qualify to be taxed as a REIT also requires that we satisfy certain tests, some of which depend upon the fair market values of assets that we own directly or indirectly. The material qualification requirements are summarized below. Such values may not be susceptible to a precise determination. Accordingly, no assurance can be given that the actual results of our operations for any taxable year will satisfy such requirements for qualification and taxation as a REIT. Additionally, while we intend to operate so that we continue to qualify to be taxed as a REIT, no assurance can be given that the Internal Revenue Service (the "IRS") will not challenge our qualification, or that we will be able to operate in accordance with the REIT requirements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REITs in General</w:t>
      </w:r>
    </w:p>
    <w:p>
      <w:pPr>
        <w:spacing w:after="0" w:line="159"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As a REIT, generally we will be entitled to a deduction for dividends that we pay and therefore will not be subject to U.S. federal corporate income tax on our net REIT taxable income that is currently distributed to our shareholders. This treatment substantially eliminates the "double taxation" at the corporate and shareholder levels that generally results from an investment in a C corporation. A "C corporation" is a corporation that generally is required to pay tax at the corporate level. Double taxation means taxation once at the corporate level when income is earned and once again at the shareholder level when the income is distributed. In general, the income that we generate is taxed only at the shareholder level upon a distribution of dividends to our shareholders. We will nonetheless be subject to U.S. federal tax in the following circumstances:</w:t>
      </w:r>
    </w:p>
    <w:p>
      <w:pPr>
        <w:spacing w:after="0" w:line="105" w:lineRule="exact"/>
        <w:rPr>
          <w:sz w:val="20"/>
          <w:szCs w:val="20"/>
          <w:color w:val="auto"/>
        </w:rPr>
      </w:pPr>
    </w:p>
    <w:p>
      <w:pPr>
        <w:ind w:left="820" w:hanging="489"/>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taxed at regular corporate rates on any undistributed net taxable income, including undistributed net capital gains.</w:t>
      </w:r>
    </w:p>
    <w:p>
      <w:pPr>
        <w:spacing w:after="0" w:line="251" w:lineRule="exact"/>
        <w:rPr>
          <w:rFonts w:ascii="Times New Roman" w:cs="Times New Roman" w:eastAsia="Times New Roman" w:hAnsi="Times New Roman"/>
          <w:sz w:val="18"/>
          <w:szCs w:val="18"/>
          <w:color w:val="auto"/>
        </w:rPr>
      </w:pPr>
    </w:p>
    <w:p>
      <w:pPr>
        <w:ind w:left="820" w:right="100" w:hanging="489"/>
        <w:spacing w:after="0" w:line="281"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tax years that began prior to January 1, 2018, we may be subject to the "alternative minimum tax" on our items of tax preference, including any deductions of net operating losses.</w:t>
      </w:r>
    </w:p>
    <w:p>
      <w:pPr>
        <w:spacing w:after="0" w:line="189" w:lineRule="exact"/>
        <w:rPr>
          <w:rFonts w:ascii="Times New Roman" w:cs="Times New Roman" w:eastAsia="Times New Roman" w:hAnsi="Times New Roman"/>
          <w:sz w:val="18"/>
          <w:szCs w:val="18"/>
          <w:color w:val="auto"/>
        </w:rPr>
      </w:pPr>
    </w:p>
    <w:p>
      <w:pPr>
        <w:ind w:left="820" w:right="80" w:hanging="489"/>
        <w:spacing w:after="0" w:line="281"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spacing w:after="0" w:line="189" w:lineRule="exact"/>
        <w:rPr>
          <w:rFonts w:ascii="Times New Roman" w:cs="Times New Roman" w:eastAsia="Times New Roman" w:hAnsi="Times New Roman"/>
          <w:sz w:val="18"/>
          <w:szCs w:val="18"/>
          <w:color w:val="auto"/>
        </w:rPr>
      </w:pPr>
    </w:p>
    <w:p>
      <w:pPr>
        <w:ind w:left="820" w:right="20" w:hanging="489"/>
        <w:spacing w:after="0" w:line="260"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w:t>
      </w:r>
    </w:p>
    <w:p>
      <w:pPr>
        <w:spacing w:after="0" w:line="208" w:lineRule="exact"/>
        <w:rPr>
          <w:rFonts w:ascii="Times New Roman" w:cs="Times New Roman" w:eastAsia="Times New Roman" w:hAnsi="Times New Roman"/>
          <w:sz w:val="18"/>
          <w:szCs w:val="18"/>
          <w:color w:val="auto"/>
        </w:rPr>
      </w:pPr>
    </w:p>
    <w:p>
      <w:pPr>
        <w:ind w:left="820" w:right="120" w:hanging="489"/>
        <w:spacing w:after="0" w:line="265"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204" w:lineRule="exact"/>
        <w:rPr>
          <w:rFonts w:ascii="Times New Roman" w:cs="Times New Roman" w:eastAsia="Times New Roman" w:hAnsi="Times New Roman"/>
          <w:sz w:val="18"/>
          <w:szCs w:val="18"/>
          <w:color w:val="auto"/>
        </w:rPr>
      </w:pPr>
    </w:p>
    <w:p>
      <w:pPr>
        <w:ind w:left="820" w:right="200" w:hanging="489"/>
        <w:spacing w:after="0" w:line="258"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w:t>
      </w:r>
    </w:p>
    <w:p>
      <w:pPr>
        <w:spacing w:after="0" w:line="208" w:lineRule="exact"/>
        <w:rPr>
          <w:rFonts w:ascii="Times New Roman" w:cs="Times New Roman" w:eastAsia="Times New Roman" w:hAnsi="Times New Roman"/>
          <w:sz w:val="18"/>
          <w:szCs w:val="18"/>
          <w:color w:val="auto"/>
        </w:rPr>
      </w:pPr>
    </w:p>
    <w:p>
      <w:pPr>
        <w:ind w:left="820" w:right="20" w:hanging="489"/>
        <w:spacing w:after="0" w:line="260"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820" w:right="360" w:hanging="489"/>
        <w:spacing w:after="0" w:line="281"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w:t>
      </w:r>
    </w:p>
    <w:p>
      <w:pPr>
        <w:spacing w:after="0" w:line="189"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tax may be imposed on transactions between us and a TRS that do not reflect arm's-length terms.</w:t>
      </w:r>
    </w:p>
    <w:p>
      <w:pPr>
        <w:spacing w:after="0" w:line="251" w:lineRule="exact"/>
        <w:rPr>
          <w:rFonts w:ascii="Times New Roman" w:cs="Times New Roman" w:eastAsia="Times New Roman" w:hAnsi="Times New Roman"/>
          <w:sz w:val="18"/>
          <w:szCs w:val="18"/>
          <w:color w:val="auto"/>
        </w:rPr>
      </w:pPr>
    </w:p>
    <w:p>
      <w:pPr>
        <w:ind w:left="820" w:right="20" w:hanging="489"/>
        <w:spacing w:after="0" w:line="258"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five-year period following their acquisition from the subchapter C corporation.</w:t>
      </w:r>
    </w:p>
    <w:p>
      <w:pPr>
        <w:spacing w:after="0" w:line="208"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of our TRS Segment will generally be subject to U.S. federal, state and corporate income tax.</w:t>
      </w:r>
    </w:p>
    <w:p>
      <w:pPr>
        <w:spacing w:after="0" w:line="157" w:lineRule="exact"/>
        <w:rPr>
          <w:sz w:val="20"/>
          <w:szCs w:val="20"/>
          <w:color w:val="auto"/>
        </w:rPr>
      </w:pPr>
    </w:p>
    <w:p>
      <w:pPr>
        <w:ind w:right="120" w:firstLine="445"/>
        <w:spacing w:after="0" w:line="281" w:lineRule="auto"/>
        <w:rPr>
          <w:sz w:val="20"/>
          <w:szCs w:val="20"/>
          <w:color w:val="auto"/>
        </w:rPr>
      </w:pPr>
      <w:r>
        <w:rPr>
          <w:rFonts w:ascii="Times New Roman" w:cs="Times New Roman" w:eastAsia="Times New Roman" w:hAnsi="Times New Roman"/>
          <w:sz w:val="18"/>
          <w:szCs w:val="18"/>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Qualification—General</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Code defines a REIT as a corporation, trust or association:</w:t>
      </w:r>
    </w:p>
    <w:p>
      <w:pPr>
        <w:spacing w:after="0" w:line="157" w:lineRule="exact"/>
        <w:rPr>
          <w:sz w:val="20"/>
          <w:szCs w:val="20"/>
          <w:color w:val="auto"/>
        </w:rPr>
      </w:pPr>
    </w:p>
    <w:p>
      <w:pPr>
        <w:ind w:left="820" w:hanging="489"/>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spacing w:after="0" w:line="143"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evidenced by transferable shares, or by transferable certificates of beneficial interest;</w:t>
      </w:r>
    </w:p>
    <w:p>
      <w:pPr>
        <w:spacing w:after="0" w:line="157"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its election to be subject to tax as a REIT;</w:t>
      </w:r>
    </w:p>
    <w:p>
      <w:pPr>
        <w:spacing w:after="0" w:line="157"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neither a financial institution nor an insurance company subject to specific provisions of the Code;</w:t>
      </w:r>
    </w:p>
    <w:p>
      <w:pPr>
        <w:spacing w:after="0" w:line="143"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held by 100 or more persons;</w:t>
      </w:r>
    </w:p>
    <w:p>
      <w:pPr>
        <w:spacing w:after="0" w:line="157" w:lineRule="exact"/>
        <w:rPr>
          <w:rFonts w:ascii="Times New Roman" w:cs="Times New Roman" w:eastAsia="Times New Roman" w:hAnsi="Times New Roman"/>
          <w:sz w:val="18"/>
          <w:szCs w:val="18"/>
          <w:color w:val="auto"/>
        </w:rPr>
      </w:pPr>
    </w:p>
    <w:p>
      <w:pPr>
        <w:ind w:left="820" w:right="180" w:hanging="489"/>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95"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meets other tests described below, including with respect to the nature of its income and assets.</w:t>
      </w:r>
    </w:p>
    <w:p>
      <w:pPr>
        <w:spacing w:after="0" w:line="144"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2014). Our charter provides restrictions regarding the ownership and transfers of our stock, which are intended to assist us in satisfying the stock ownership requirements described in conditions (5) and (6) above. These restrictions, however, may not ensure that we will, in all cases, be able to satisfy the share ownership requirements described in conditions (5) and (6) above. If we fail to satisfy these share ownership requirements, except as provided in the next sentence, our status as a REIT will terminate. If, however, we comply with the rules contained in the applicable Treasury regulations that require us to ascertain the actual ownership of our shares and we do not know, or would not have known through the exercise of reasonable diligence, that we failed to meet the requirements described in condition (6) above, we will be treated as having met this requirement.</w:t>
      </w:r>
    </w:p>
    <w:p>
      <w:pPr>
        <w:spacing w:after="0" w:line="119"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upon request by the Company, a shareholder fails or refuses to comply with the demands, such holder will be required by Treasury regulations to submit a statement with his, her or its tax return disclosing the actual ownership of our stock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Qualified REIT Subsidiaries</w:t>
      </w:r>
    </w:p>
    <w:p>
      <w:pPr>
        <w:spacing w:after="0" w:line="25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 subsidiary" (discussed below). In applying the requirements described herein, all of our "qualified REIT subsidiaries" will be ignored, and all assets, liabilities 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Taxable REIT Subsidiaries</w:t>
      </w:r>
    </w:p>
    <w:p>
      <w:pPr>
        <w:spacing w:after="0" w:line="146"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general, we may jointly elect with a subsidiary corporation, whether or not wholly-owned, to treat such subsidiary corporation as a TRS. We generally may not own more than 10% of the securities of a taxable corporation, as measured by voting power or value, unless we and such corporation elect to treat such corporation as a TRS. The separate existence of a TRS is not ignored for U.S. federal income tax purposes. Accordingly, a TRS generally is subject to corporate income tax on its earnings, which may reduce the cash flow that we and our subsidiaries generate in the aggregate and may reduce our ability to make distributions to our shareholders.</w:t>
      </w:r>
    </w:p>
    <w:p>
      <w:pPr>
        <w:spacing w:after="0" w:line="115"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We are not treated as holding the assets of a TRS or as receiving any income that the subsidiary earns. Rather, the stock issued by the TRS to us is an asset in our hands, and we treat the dividends paid to us, if any, as income. This treatment can affect our income and asset test calculations, as described below. Because we do not include the assets and income of TRSs on a look-through basis in determining our compliance with the REIT requirements, we may use such entities to undertake indirectly activities that the REIT rules might otherwise preclude us from doing directly or through pass-through subsidiaries. For example, we may use a TRS to perform services or conduct activities that give rise to certain categories of income or to conduct activities that, if conducted by us directly, would be treated in our hands as prohibited transactions.</w:t>
      </w:r>
    </w:p>
    <w:p>
      <w:pPr>
        <w:spacing w:after="0" w:line="118" w:lineRule="exact"/>
        <w:rPr>
          <w:sz w:val="20"/>
          <w:szCs w:val="20"/>
          <w:color w:val="auto"/>
        </w:rPr>
      </w:pPr>
    </w:p>
    <w:p>
      <w:pPr>
        <w:ind w:right="460" w:firstLine="445"/>
        <w:spacing w:after="0" w:line="281" w:lineRule="auto"/>
        <w:rPr>
          <w:sz w:val="20"/>
          <w:szCs w:val="20"/>
          <w:color w:val="auto"/>
        </w:rPr>
      </w:pPr>
      <w:r>
        <w:rPr>
          <w:rFonts w:ascii="Times New Roman" w:cs="Times New Roman" w:eastAsia="Times New Roman" w:hAnsi="Times New Roman"/>
          <w:sz w:val="18"/>
          <w:szCs w:val="18"/>
          <w:color w:val="auto"/>
        </w:rPr>
        <w:t>The TRS rules impose a 100% excise tax on transactions between a TRS and its parent REIT or the REIT's tenants that are not conducted on an arm's-length basis. We intend that all of our transactions with our TRS, if any, will be conducted on an arm's-length basis.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Tests</w:t>
      </w:r>
    </w:p>
    <w:p>
      <w:pPr>
        <w:spacing w:after="0" w:line="15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(but not including certain debt instruments of publicly offered REITs that are not secured by mortgages on real property),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19" w:lineRule="exact"/>
        <w:rPr>
          <w:sz w:val="20"/>
          <w:szCs w:val="20"/>
          <w:color w:val="auto"/>
        </w:rPr>
      </w:pPr>
    </w:p>
    <w:p>
      <w:pPr>
        <w:ind w:right="540" w:firstLine="405"/>
        <w:spacing w:after="0" w:line="281" w:lineRule="auto"/>
        <w:rPr>
          <w:sz w:val="20"/>
          <w:szCs w:val="20"/>
          <w:color w:val="auto"/>
        </w:rPr>
      </w:pPr>
      <w:r>
        <w:rPr>
          <w:rFonts w:ascii="Times New Roman" w:cs="Times New Roman" w:eastAsia="Times New Roman" w:hAnsi="Times New Roman"/>
          <w:sz w:val="18"/>
          <w:szCs w:val="18"/>
          <w:color w:val="auto"/>
        </w:rPr>
        <w:t>Rents received by a REIT will qualify as "rents from real property" in satisfying the gross income requirements described above only if several conditions are met.</w:t>
      </w:r>
    </w:p>
    <w:p>
      <w:pPr>
        <w:spacing w:after="0" w:line="190" w:lineRule="exact"/>
        <w:rPr>
          <w:sz w:val="20"/>
          <w:szCs w:val="20"/>
          <w:color w:val="auto"/>
        </w:rPr>
      </w:pPr>
    </w:p>
    <w:p>
      <w:pPr>
        <w:ind w:left="660" w:right="300" w:hanging="329"/>
        <w:spacing w:after="0" w:line="26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w:t>
      </w:r>
    </w:p>
    <w:p>
      <w:pPr>
        <w:spacing w:after="0" w:line="204" w:lineRule="exact"/>
        <w:rPr>
          <w:rFonts w:ascii="Times New Roman" w:cs="Times New Roman" w:eastAsia="Times New Roman" w:hAnsi="Times New Roman"/>
          <w:sz w:val="18"/>
          <w:szCs w:val="18"/>
          <w:color w:val="auto"/>
        </w:rPr>
      </w:pPr>
    </w:p>
    <w:p>
      <w:pPr>
        <w:ind w:left="660" w:right="100" w:hanging="329"/>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Rents received from a tenant will not qualify as "rents from real property" in satisfying the gross income tests if the REIT, or a direct or indirect owner of 10% or more of the REIT, directly or constructively, owns 10% or more of such tenant (a "Related Party Tenant"). However, rental payments from a taxable REIT subsidiary will qualify as rents from real property even if we own more than 10% of the total value or combined voting power of the taxable REIT subsidiary if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of the Code, and certain other conditions are satisfied.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220" w:hanging="329"/>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attributable to personal property leased in connection with a lease of real property will not qualify as "rents from real property" if such rent exceeds 15% of the total rent received under the lease.</w:t>
      </w:r>
    </w:p>
    <w:p>
      <w:pPr>
        <w:spacing w:after="0" w:line="189" w:lineRule="exact"/>
        <w:rPr>
          <w:rFonts w:ascii="Times New Roman" w:cs="Times New Roman" w:eastAsia="Times New Roman" w:hAnsi="Times New Roman"/>
          <w:sz w:val="18"/>
          <w:szCs w:val="18"/>
          <w:color w:val="auto"/>
        </w:rPr>
      </w:pPr>
    </w:p>
    <w:p>
      <w:pPr>
        <w:ind w:left="660" w:hanging="329"/>
        <w:spacing w:after="0" w:line="25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 generally must not operate or manage the property or furnish or render services to tenants, except through an "independent contractor" who is adequately compensated and from whom the REIT derives no income, or through a taxable REIT subsidiary.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 a property (valued at no less than 150% of the direct costs of performing such services) is 1% or less of the total income derived from the property, then all rental income except the non-customary service income will qualify as "rents from real property." A taxable REIT subsidiary may provide services (including noncustomary services) to a REIT’s tenants without "tainting" any of the rental income received by the REIT, and will be able to manage or operate properties for third parties and generally engage in other activities unrelated to real estate.</w:t>
      </w:r>
    </w:p>
    <w:p>
      <w:pPr>
        <w:spacing w:after="0" w:line="213"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do not anticipate receiving rent that is based in whole or in part on the income or profits of any person (except by reason of being based on a fixed percentage or percentages of gross receipts or sales consistent with the rules described above). Our former parent, Penn, received a private letter ruling from the IRS that concluded certain rental formulas under the Penn Master Lease will not cause any amounts received under the Penn Master Lease to be treated as other than rents from real property. While we do not expect to seek similar rulings for additional leases we enter into that have substantially similar terms as the Penn Master Lease, we intend to treat amounts received under those leases consistent with the conclusions in the ruling, though there can be no assurance that the IRS will not challenge such treatment. We also do not anticipate receiving more than a de minimis amount of rents from any Related Party Tenant or rents attributable to personal property leased in connection with real property that will exceed 15% of the total rents received with respect to such real property. We may receive certain types of income that will not qualify under the 75% or 95% gross income tests. In particular, dividends received from a taxable REIT subsidiary will not qualify under the 75% test. We believe, however, that the aggregate amount of such items and other non-qualifying income in any taxable year will not cause GLPI to exceed the limits on non-qualifying income under either the 75% or 95% gross income tests.</w:t>
      </w:r>
    </w:p>
    <w:p>
      <w:pPr>
        <w:spacing w:after="0" w:line="121" w:lineRule="exact"/>
        <w:rPr>
          <w:sz w:val="20"/>
          <w:szCs w:val="20"/>
          <w:color w:val="auto"/>
        </w:rPr>
      </w:pPr>
    </w:p>
    <w:p>
      <w:pPr>
        <w:ind w:right="20" w:firstLine="445"/>
        <w:spacing w:after="0" w:line="260" w:lineRule="auto"/>
        <w:rPr>
          <w:sz w:val="20"/>
          <w:szCs w:val="20"/>
          <w:color w:val="auto"/>
        </w:rPr>
      </w:pPr>
      <w:r>
        <w:rPr>
          <w:rFonts w:ascii="Times New Roman" w:cs="Times New Roman" w:eastAsia="Times New Roman" w:hAnsi="Times New Roman"/>
          <w:sz w:val="18"/>
          <w:szCs w:val="18"/>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or qualified REIT subsidiary, however, will be qualifying income for purposes of both the 95% and 75% gross income tests.</w:t>
      </w:r>
    </w:p>
    <w:p>
      <w:pPr>
        <w:spacing w:after="0" w:line="101" w:lineRule="exact"/>
        <w:rPr>
          <w:sz w:val="20"/>
          <w:szCs w:val="20"/>
          <w:color w:val="auto"/>
        </w:rPr>
      </w:pPr>
    </w:p>
    <w:p>
      <w:pPr>
        <w:ind w:firstLine="445"/>
        <w:spacing w:after="0" w:line="272" w:lineRule="auto"/>
        <w:rPr>
          <w:sz w:val="20"/>
          <w:szCs w:val="20"/>
          <w:color w:val="auto"/>
        </w:rPr>
      </w:pPr>
      <w:r>
        <w:rPr>
          <w:rFonts w:ascii="Times New Roman" w:cs="Times New Roman" w:eastAsia="Times New Roman" w:hAnsi="Times New Roman"/>
          <w:sz w:val="17"/>
          <w:szCs w:val="17"/>
          <w:color w:val="auto"/>
        </w:rPr>
        <w:t>We believe that we have and will continue to be in compliance with these gross income tests. 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w:t>
      </w:r>
    </w:p>
    <w:p>
      <w:pPr>
        <w:spacing w:after="0" w:line="1" w:lineRule="exact"/>
        <w:rPr>
          <w:sz w:val="20"/>
          <w:szCs w:val="20"/>
          <w:color w:val="auto"/>
        </w:rPr>
      </w:pPr>
    </w:p>
    <w:p>
      <w:pPr>
        <w:ind w:right="40" w:firstLine="8"/>
        <w:spacing w:after="0" w:line="252"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the Code imposes a tax based upon the amount by which we fail to satisfy the particular gross income test.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Tests</w:t>
      </w:r>
    </w:p>
    <w:p>
      <w:pPr>
        <w:spacing w:after="0" w:line="15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At the close of each calendar quarter, we must also satisfy five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 in real property and, for taxable years that began or after January 1, 2016, personal property leased with real property if the rents attributable to the personal property would be rents from real property under the income tests discussed above), interests in mortgages on real property or on interests in real property, shares in other qualifying REITs, and stock or debt instruments held for less than one year purchased with the proceeds from an offering of shares of our stock or certain debt and, for tax years that began on or after January 1, 2016, debt instruments issued by publicly offered REITs. Assets that do not qualify for purposes of the 75% asset test are subject to the additional asset tests described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Second, the value of any one issuer's securities that we own may not exceed 5% of the value of our total assets.</w:t>
      </w:r>
    </w:p>
    <w:p>
      <w:pPr>
        <w:spacing w:after="0" w:line="144"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The safe harbor under which certain types of securities are disregarded for purposes of the 10% value limitation includes (1) straight debt securities (including straight debt securities that provide for certain contingent payments); (2) any loan to an individual or an estate; (3) any rental agreement described in Section 467 of the Code, other than with a "related person"; (4) any obligation to pay rents from real property; (5) certain securities issued by a 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 least 75% of the partnership’s gross income is from sources that would qualify for the 75% REIT gross income test; and (c) any debt instrument issued by a partnership is not treated as a security to the extent of the REIT’s interest as a partner in the partnership.</w:t>
      </w:r>
    </w:p>
    <w:p>
      <w:pPr>
        <w:spacing w:after="0" w:line="128" w:lineRule="exact"/>
        <w:rPr>
          <w:sz w:val="20"/>
          <w:szCs w:val="20"/>
          <w:color w:val="auto"/>
        </w:rPr>
      </w:pPr>
    </w:p>
    <w:p>
      <w:pPr>
        <w:ind w:right="120" w:firstLine="445"/>
        <w:spacing w:after="0" w:line="281" w:lineRule="auto"/>
        <w:rPr>
          <w:sz w:val="20"/>
          <w:szCs w:val="20"/>
          <w:color w:val="auto"/>
        </w:rPr>
      </w:pPr>
      <w:r>
        <w:rPr>
          <w:rFonts w:ascii="Times New Roman" w:cs="Times New Roman" w:eastAsia="Times New Roman" w:hAnsi="Times New Roman"/>
          <w:sz w:val="18"/>
          <w:szCs w:val="18"/>
          <w:color w:val="auto"/>
        </w:rPr>
        <w:t>Fourth, the aggregate value of all securities of TRSs that we hold, together with other non-qualified assets (such as furniture and equipment or other tangible personal property, or non-real estate securities) may not, in the aggregate, exceed 20% of the value of our total assets.</w:t>
      </w:r>
    </w:p>
    <w:p>
      <w:pPr>
        <w:spacing w:after="0" w:line="95" w:lineRule="exact"/>
        <w:rPr>
          <w:sz w:val="20"/>
          <w:szCs w:val="20"/>
          <w:color w:val="auto"/>
        </w:rPr>
      </w:pPr>
    </w:p>
    <w:p>
      <w:pPr>
        <w:ind w:right="200" w:firstLine="445"/>
        <w:spacing w:after="0" w:line="281" w:lineRule="auto"/>
        <w:rPr>
          <w:sz w:val="20"/>
          <w:szCs w:val="20"/>
          <w:color w:val="auto"/>
        </w:rPr>
      </w:pPr>
      <w:r>
        <w:rPr>
          <w:rFonts w:ascii="Times New Roman" w:cs="Times New Roman" w:eastAsia="Times New Roman" w:hAnsi="Times New Roman"/>
          <w:sz w:val="18"/>
          <w:szCs w:val="18"/>
          <w:color w:val="auto"/>
        </w:rPr>
        <w:t>Fifth, not more than 25% of the value of our gross assets may be represented by debt instruments of publicly offered REITs that are not secured by mortgages on real property or interests in real property.</w:t>
      </w:r>
    </w:p>
    <w:p>
      <w:pPr>
        <w:spacing w:after="0" w:line="82"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requirements was not wholly or partly caused by an acquisition of non-qualifying assets, but instead arose from changes in the relative market values of our assets. If the condition described in (ii) was not satisfied, we still could avoid disqualification by eliminating any discrepancy within 30 days after the close of the calendar quarter in which it arose or by making use of the relief provisions described above.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violations of the 10% and 5% asset tests, a REIT may maintain its qualification despite a violation of such requirements if</w:t>
      </w:r>
    </w:p>
    <w:p>
      <w:pPr>
        <w:spacing w:after="0" w:line="29" w:lineRule="exact"/>
        <w:rPr>
          <w:sz w:val="20"/>
          <w:szCs w:val="20"/>
          <w:color w:val="auto"/>
        </w:rPr>
      </w:pPr>
    </w:p>
    <w:p>
      <w:pPr>
        <w:ind w:firstLine="8"/>
        <w:spacing w:after="0" w:line="255"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117"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Even if we did not qualify for the foregoing relief provisions, one additional provision allows a REIT which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(currently 21%) and (iv) the REIT either disposes of the assets causing the failure within six months after the last day of the quarter in which it identifies the failure, or otherwise satisfies the relevant asset tests within that time frame.</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that we have been and will continue to be in compliance with the asset tests described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Distribution Requirements</w:t>
      </w:r>
    </w:p>
    <w:p>
      <w:pPr>
        <w:spacing w:after="0" w:line="159" w:lineRule="exact"/>
        <w:rPr>
          <w:sz w:val="20"/>
          <w:szCs w:val="20"/>
          <w:color w:val="auto"/>
        </w:rPr>
      </w:pPr>
    </w:p>
    <w:p>
      <w:pPr>
        <w:ind w:right="100" w:firstLine="445"/>
        <w:spacing w:after="0" w:line="281" w:lineRule="auto"/>
        <w:rPr>
          <w:sz w:val="20"/>
          <w:szCs w:val="20"/>
          <w:color w:val="auto"/>
        </w:rPr>
      </w:pPr>
      <w:r>
        <w:rPr>
          <w:rFonts w:ascii="Times New Roman" w:cs="Times New Roman" w:eastAsia="Times New Roman" w:hAnsi="Times New Roman"/>
          <w:sz w:val="18"/>
          <w:szCs w:val="18"/>
          <w:color w:val="auto"/>
        </w:rPr>
        <w:t>In order to qualify to be taxed as a REIT, we are required to distribute dividends, other than capital gain dividends, to our shareholders in an amount at least equal to:</w:t>
      </w:r>
    </w:p>
    <w:p>
      <w:pPr>
        <w:spacing w:after="0" w:line="82" w:lineRule="exact"/>
        <w:rPr>
          <w:sz w:val="20"/>
          <w:szCs w:val="20"/>
          <w:color w:val="auto"/>
        </w:rPr>
      </w:pPr>
    </w:p>
    <w:p>
      <w:pPr>
        <w:ind w:left="1140" w:hanging="485"/>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251" w:lineRule="exact"/>
        <w:rPr>
          <w:rFonts w:ascii="Times New Roman" w:cs="Times New Roman" w:eastAsia="Times New Roman" w:hAnsi="Times New Roman"/>
          <w:sz w:val="18"/>
          <w:szCs w:val="18"/>
          <w:color w:val="auto"/>
        </w:rPr>
      </w:pPr>
    </w:p>
    <w:p>
      <w:pPr>
        <w:ind w:left="1520" w:hanging="379"/>
        <w:spacing w:after="0"/>
        <w:tabs>
          <w:tab w:leader="none" w:pos="15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computed without regard to our net capital gains and the deduction for dividends paid; and</w:t>
      </w:r>
    </w:p>
    <w:p>
      <w:pPr>
        <w:spacing w:after="0" w:line="251" w:lineRule="exact"/>
        <w:rPr>
          <w:rFonts w:ascii="Times New Roman" w:cs="Times New Roman" w:eastAsia="Times New Roman" w:hAnsi="Times New Roman"/>
          <w:sz w:val="18"/>
          <w:szCs w:val="18"/>
          <w:color w:val="auto"/>
        </w:rPr>
      </w:pPr>
    </w:p>
    <w:p>
      <w:pPr>
        <w:ind w:left="1520" w:hanging="379"/>
        <w:spacing w:after="0"/>
        <w:tabs>
          <w:tab w:leader="none" w:pos="15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after tax net income, if any, from foreclosure property (as described below); 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1140" w:right="420" w:hanging="485"/>
        <w:spacing w:after="0" w:line="281" w:lineRule="auto"/>
        <w:tabs>
          <w:tab w:leader="none" w:pos="11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sum of specified items of non-cash income over 5% of our REIT taxable income, computed without regard to our net capital gain and the deduction for dividends paid.</w:t>
      </w:r>
    </w:p>
    <w:p>
      <w:pPr>
        <w:spacing w:after="0" w:line="9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pro rata among all outstanding shares of stock within a particular class and (ii) in accordance with any preferences among different classes of stock as set forth in our organizational documents. Given our status as a "publicly offered REIT" (within the meaning of the Code), the preferential dividend rules do not apply to us for taxable years beginning after December 31, 2014.</w:t>
      </w:r>
    </w:p>
    <w:p>
      <w:pPr>
        <w:spacing w:after="0" w:line="106"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(i) the amounts of capital gain dividends that we designated and that they include in their taxable income, minus (ii) the tax that we paid on their behalf with respect to that income.</w:t>
      </w:r>
    </w:p>
    <w:p>
      <w:pPr>
        <w:spacing w:after="0" w:line="118" w:lineRule="exact"/>
        <w:rPr>
          <w:sz w:val="20"/>
          <w:szCs w:val="20"/>
          <w:color w:val="auto"/>
        </w:rPr>
      </w:pPr>
    </w:p>
    <w:p>
      <w:pPr>
        <w:ind w:firstLine="445"/>
        <w:spacing w:after="0" w:line="281" w:lineRule="auto"/>
        <w:rPr>
          <w:sz w:val="20"/>
          <w:szCs w:val="20"/>
          <w:color w:val="auto"/>
        </w:rPr>
      </w:pPr>
      <w:r>
        <w:rPr>
          <w:rFonts w:ascii="Times New Roman" w:cs="Times New Roman" w:eastAsia="Times New Roman" w:hAnsi="Times New Roman"/>
          <w:sz w:val="18"/>
          <w:szCs w:val="18"/>
          <w:color w:val="auto"/>
        </w:rPr>
        <w:t>To the extent that in the future we may have available net operating losses carried forward from prior tax years, such losses may reduce the amount of distributions that we must make in order to comply with the REIT distribution requirements.</w:t>
      </w:r>
    </w:p>
    <w:p>
      <w:pPr>
        <w:spacing w:after="0" w:line="95" w:lineRule="exact"/>
        <w:rPr>
          <w:sz w:val="20"/>
          <w:szCs w:val="20"/>
          <w:color w:val="auto"/>
        </w:rPr>
      </w:pPr>
    </w:p>
    <w:p>
      <w:pPr>
        <w:ind w:right="140" w:firstLine="445"/>
        <w:spacing w:after="0" w:line="260" w:lineRule="auto"/>
        <w:rPr>
          <w:sz w:val="20"/>
          <w:szCs w:val="20"/>
          <w:color w:val="auto"/>
        </w:rPr>
      </w:pPr>
      <w:r>
        <w:rPr>
          <w:rFonts w:ascii="Times New Roman" w:cs="Times New Roman" w:eastAsia="Times New Roman" w:hAnsi="Times New Roman"/>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10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w:t>
      </w:r>
    </w:p>
    <w:p>
      <w:pPr>
        <w:spacing w:after="0" w:line="119"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115" w:lineRule="exact"/>
        <w:rPr>
          <w:sz w:val="20"/>
          <w:szCs w:val="20"/>
          <w:color w:val="auto"/>
        </w:rPr>
      </w:pPr>
    </w:p>
    <w:p>
      <w:pPr>
        <w:ind w:right="20" w:firstLine="445"/>
        <w:spacing w:after="0" w:line="260" w:lineRule="auto"/>
        <w:rPr>
          <w:sz w:val="20"/>
          <w:szCs w:val="20"/>
          <w:color w:val="auto"/>
        </w:rPr>
      </w:pPr>
      <w:r>
        <w:rPr>
          <w:rFonts w:ascii="Times New Roman" w:cs="Times New Roman" w:eastAsia="Times New Roman" w:hAnsi="Times New Roman"/>
          <w:sz w:val="18"/>
          <w:szCs w:val="18"/>
          <w:color w:val="auto"/>
        </w:rPr>
        <w:t>For purposes of the 90% distribution requirement and excise tax described above, any distribution must be paid in the taxable year to which they relate, or in the following taxable year if such distributions are declared in October, November or December of the taxable year, are payable to shareholders of record on a specified date in any such month, and are actually paid before the end of January of the following year. Such distributions are treated as both paid by us and received by our shareholders on December 31 of the year in which they are declared.</w:t>
      </w:r>
    </w:p>
    <w:p>
      <w:pPr>
        <w:spacing w:after="0" w:line="101" w:lineRule="exact"/>
        <w:rPr>
          <w:sz w:val="20"/>
          <w:szCs w:val="20"/>
          <w:color w:val="auto"/>
        </w:rPr>
      </w:pPr>
    </w:p>
    <w:p>
      <w:pPr>
        <w:ind w:right="200" w:firstLine="405"/>
        <w:spacing w:after="0" w:line="260" w:lineRule="auto"/>
        <w:rPr>
          <w:sz w:val="20"/>
          <w:szCs w:val="20"/>
          <w:color w:val="auto"/>
        </w:rPr>
      </w:pPr>
      <w:r>
        <w:rPr>
          <w:rFonts w:ascii="Times New Roman" w:cs="Times New Roman" w:eastAsia="Times New Roman" w:hAnsi="Times New Roman"/>
          <w:sz w:val="18"/>
          <w:szCs w:val="18"/>
          <w:color w:val="auto"/>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spacing w:after="0" w:line="209" w:lineRule="exact"/>
        <w:rPr>
          <w:sz w:val="20"/>
          <w:szCs w:val="20"/>
          <w:color w:val="auto"/>
        </w:rPr>
      </w:pPr>
    </w:p>
    <w:p>
      <w:pPr>
        <w:ind w:right="320" w:firstLine="405"/>
        <w:spacing w:after="0" w:line="265" w:lineRule="auto"/>
        <w:rPr>
          <w:sz w:val="20"/>
          <w:szCs w:val="20"/>
          <w:color w:val="auto"/>
        </w:rPr>
      </w:pPr>
      <w:r>
        <w:rPr>
          <w:rFonts w:ascii="Times New Roman" w:cs="Times New Roman" w:eastAsia="Times New Roman" w:hAnsi="Times New Roman"/>
          <w:sz w:val="18"/>
          <w:szCs w:val="18"/>
          <w:color w:val="auto"/>
        </w:rPr>
        <w:t>We believe that we have satisfied the annual distribution requirements for the year ended December 31, 2020. Although we intend to satisfy the annual distribution requirements to continue to qualify as a REIT for the year ending December 31, 2021 and thereafter, economic, market, legal, tax or other considerations could limit our ability to meet those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Failure to Qualify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firstLine="445"/>
        <w:spacing w:after="0" w:line="265" w:lineRule="auto"/>
        <w:rPr>
          <w:sz w:val="20"/>
          <w:szCs w:val="20"/>
          <w:color w:val="auto"/>
        </w:rPr>
      </w:pPr>
      <w:r>
        <w:rPr>
          <w:rFonts w:ascii="Times New Roman" w:cs="Times New Roman" w:eastAsia="Times New Roman" w:hAnsi="Times New Roman"/>
          <w:sz w:val="18"/>
          <w:szCs w:val="18"/>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w:t>
      </w:r>
      <w:r>
        <w:rPr>
          <w:rFonts w:ascii="Times New Roman" w:cs="Times New Roman" w:eastAsia="Times New Roman" w:hAnsi="Times New Roman"/>
          <w:sz w:val="18"/>
          <w:szCs w:val="18"/>
          <w:i w:val="1"/>
          <w:iCs w:val="1"/>
          <w:color w:val="auto"/>
        </w:rPr>
        <w:t>Income Tests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Asset Tests</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would be taxable as regular corporate dividends. Such dividends paid to U.S. shareholders that are individuals, trusts and estates may be taxable at the preferential income tax rates (i.e., currently the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Legislative or Other Actions Affecting REITs</w:t>
      </w:r>
    </w:p>
    <w:p>
      <w:pPr>
        <w:spacing w:after="0" w:line="159" w:lineRule="exact"/>
        <w:rPr>
          <w:sz w:val="20"/>
          <w:szCs w:val="20"/>
          <w:color w:val="auto"/>
        </w:rPr>
      </w:pPr>
    </w:p>
    <w:p>
      <w:pPr>
        <w:ind w:right="180" w:firstLine="445"/>
        <w:spacing w:after="0" w:line="260" w:lineRule="auto"/>
        <w:rPr>
          <w:sz w:val="20"/>
          <w:szCs w:val="20"/>
          <w:color w:val="auto"/>
        </w:rPr>
      </w:pPr>
      <w:r>
        <w:rPr>
          <w:rFonts w:ascii="Times New Roman" w:cs="Times New Roman" w:eastAsia="Times New Roman" w:hAnsi="Times New Roman"/>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Changes to the U.S. federal tax laws and interpretations thereof could adversely affect an investment in our common stock.</w:t>
      </w:r>
    </w:p>
    <w:p>
      <w:pPr>
        <w:spacing w:after="0" w:line="101" w:lineRule="exact"/>
        <w:rPr>
          <w:sz w:val="20"/>
          <w:szCs w:val="20"/>
          <w:color w:val="auto"/>
        </w:rPr>
      </w:pPr>
    </w:p>
    <w:p>
      <w:pPr>
        <w:ind w:right="20" w:firstLine="647"/>
        <w:spacing w:after="0" w:line="251" w:lineRule="auto"/>
        <w:rPr>
          <w:sz w:val="20"/>
          <w:szCs w:val="20"/>
          <w:color w:val="auto"/>
        </w:rPr>
      </w:pPr>
      <w:r>
        <w:rPr>
          <w:rFonts w:ascii="Times New Roman" w:cs="Times New Roman" w:eastAsia="Times New Roman" w:hAnsi="Times New Roman"/>
          <w:sz w:val="17"/>
          <w:szCs w:val="17"/>
          <w:color w:val="auto"/>
        </w:rPr>
        <w:t>On December 22, 2017, H.R. 1, known as the Act to provide for reconciliation pursuant to titles II and V of the concurrent resolution on the budget for fiscal year 2018 (the "Tax Cuts and Jobs Act") was signed into law. The Tax Cuts and Jobs Act makes significant changes to the U.S. federal income taxation of individuals and corporations,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 backs and allow unused net operating losses to be carried forward indefinitely, (iv) expand the ability of businesses to deduct the cost of certain property investments in the year in which the property is purchased, and (v) generally lower tax rates for individuals and other noncorporate taxpayers, while limiting deductions such as miscellaneous itemized deductions and state and local tax deductions. In addition, the Tax Cuts and Jobs Act limits the deduction for net interest expense incurred by a business to 30% of the "adjusted taxable income" of the taxpayer. The Coronavirus Aid, Relief, and Economic Stability Act increased the limitation to 50% of “adjusted taxable income” for tax years beginning in 2019 and 2020. The limitation on the interest expense deduction does not apply to certain small-business taxpayers or electing real property trades or businesses, such as any real property development, redevelopment, construction, reconstruction, acquisition, conversion, rental, operation, management, leasing, or brokerage trade or business. Making the election to be treated as a real property trade or business requires the electing real property trade or business to depreciate non-residential real property, residential rental property, and qualified improvement property over a longer period using the alternative depreciation system. We have not yet elected out of the new interest expense limitation.</w:t>
      </w:r>
    </w:p>
    <w:p>
      <w:pPr>
        <w:spacing w:after="0" w:line="206" w:lineRule="exact"/>
        <w:rPr>
          <w:sz w:val="20"/>
          <w:szCs w:val="20"/>
          <w:color w:val="auto"/>
        </w:rPr>
      </w:pPr>
    </w:p>
    <w:p>
      <w:pPr>
        <w:ind w:firstLine="647"/>
        <w:spacing w:after="0" w:line="281" w:lineRule="auto"/>
        <w:rPr>
          <w:sz w:val="20"/>
          <w:szCs w:val="20"/>
          <w:color w:val="auto"/>
        </w:rPr>
      </w:pPr>
      <w:r>
        <w:rPr>
          <w:rFonts w:ascii="Times New Roman" w:cs="Times New Roman" w:eastAsia="Times New Roman" w:hAnsi="Times New Roman"/>
          <w:sz w:val="18"/>
          <w:szCs w:val="18"/>
          <w:color w:val="auto"/>
        </w:rPr>
        <w:t>The effect of the Tax Cuts and Jobs Act is highly uncertain, both in terms of its direct effect on the taxation of holders of our common stock and its indirect effect on the value of our assets or market conditions generally.</w:t>
      </w:r>
    </w:p>
    <w:p>
      <w:pPr>
        <w:spacing w:after="0" w:line="190" w:lineRule="exact"/>
        <w:rPr>
          <w:sz w:val="20"/>
          <w:szCs w:val="20"/>
          <w:color w:val="auto"/>
        </w:rPr>
      </w:pPr>
    </w:p>
    <w:p>
      <w:pPr>
        <w:ind w:right="20" w:firstLine="647"/>
        <w:spacing w:after="0" w:line="265" w:lineRule="auto"/>
        <w:rPr>
          <w:sz w:val="20"/>
          <w:szCs w:val="20"/>
          <w:color w:val="auto"/>
        </w:rPr>
      </w:pPr>
      <w:r>
        <w:rPr>
          <w:rFonts w:ascii="Times New Roman" w:cs="Times New Roman" w:eastAsia="Times New Roman" w:hAnsi="Times New Roman"/>
          <w:sz w:val="18"/>
          <w:szCs w:val="18"/>
          <w:color w:val="auto"/>
        </w:rPr>
        <w:t>Shareholders are urged to consult with their own tax advisors with respect to the impact that the Tax Cuts and Jobs Act and other legislation may have on their investment and the status of legislative, regulatory or administrative developments and proposals and their potential effect on their investment in our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1" w:lineRule="exact"/>
        <w:rPr>
          <w:sz w:val="20"/>
          <w:szCs w:val="20"/>
          <w:color w:val="auto"/>
        </w:rPr>
      </w:pPr>
    </w:p>
    <w:p>
      <w:pPr>
        <w:jc w:val="both"/>
        <w:ind w:right="20" w:firstLine="445"/>
        <w:spacing w:after="0" w:line="280" w:lineRule="auto"/>
        <w:rPr>
          <w:sz w:val="20"/>
          <w:szCs w:val="20"/>
          <w:color w:val="auto"/>
        </w:rPr>
      </w:pPr>
      <w:r>
        <w:rPr>
          <w:rFonts w:ascii="Times New Roman" w:cs="Times New Roman" w:eastAsia="Times New Roman" w:hAnsi="Times New Roman"/>
          <w:sz w:val="17"/>
          <w:szCs w:val="17"/>
          <w:color w:val="auto"/>
        </w:rPr>
        <w:t>The ownership, operation, and management of, and provision of certain products and services to, gaming and racing facilities are subject to pervasive regulation.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procedures to ensure that participants in the gaming industry, including landlords and other suppliers, meet certain standards of character and fitness. In addition, gaming laws require gaming industry participants to:</w:t>
      </w:r>
    </w:p>
    <w:p>
      <w:pPr>
        <w:spacing w:after="0" w:line="82" w:lineRule="exact"/>
        <w:rPr>
          <w:sz w:val="20"/>
          <w:szCs w:val="20"/>
          <w:color w:val="auto"/>
        </w:rPr>
      </w:pPr>
    </w:p>
    <w:p>
      <w:pPr>
        <w:ind w:left="820" w:hanging="489"/>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unsuitable individuals and organizations have no role in gaming operations, including suppliers, and in some cases, landowners;</w:t>
      </w:r>
    </w:p>
    <w:p>
      <w:pPr>
        <w:spacing w:after="0" w:line="251"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designed to prevent cheating and fraudulent practices;</w:t>
      </w:r>
    </w:p>
    <w:p>
      <w:pPr>
        <w:spacing w:after="0" w:line="251"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responsible accounting practices and procedures;</w:t>
      </w:r>
    </w:p>
    <w:p>
      <w:pPr>
        <w:spacing w:after="0" w:line="251" w:lineRule="exact"/>
        <w:rPr>
          <w:rFonts w:ascii="Times New Roman" w:cs="Times New Roman" w:eastAsia="Times New Roman" w:hAnsi="Times New Roman"/>
          <w:sz w:val="18"/>
          <w:szCs w:val="18"/>
          <w:color w:val="auto"/>
        </w:rPr>
      </w:pPr>
    </w:p>
    <w:p>
      <w:pPr>
        <w:ind w:left="820" w:right="460" w:hanging="489"/>
        <w:spacing w:after="0" w:line="28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effective controls over their financial practices, including establishment of minimum procedures for internal fiscal affairs and the safeguarding of assets and revenues;</w:t>
      </w:r>
    </w:p>
    <w:p>
      <w:pPr>
        <w:spacing w:after="0" w:line="189"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systems for reliable record keeping;</w:t>
      </w:r>
    </w:p>
    <w:p>
      <w:pPr>
        <w:spacing w:after="0" w:line="251"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periodic reports with gaming regulators;</w:t>
      </w:r>
    </w:p>
    <w:p>
      <w:pPr>
        <w:spacing w:after="0" w:line="251"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contracts and financial transactions are commercially reasonable, reflect fair market value and are arms-length transactions; and</w:t>
      </w:r>
    </w:p>
    <w:p>
      <w:pPr>
        <w:spacing w:after="0" w:line="251" w:lineRule="exact"/>
        <w:rPr>
          <w:rFonts w:ascii="Times New Roman" w:cs="Times New Roman" w:eastAsia="Times New Roman" w:hAnsi="Times New Roman"/>
          <w:sz w:val="18"/>
          <w:szCs w:val="18"/>
          <w:color w:val="auto"/>
        </w:rPr>
      </w:pPr>
    </w:p>
    <w:p>
      <w:pPr>
        <w:ind w:left="820" w:hanging="489"/>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programs to promote responsible gaming.</w:t>
      </w:r>
    </w:p>
    <w:p>
      <w:pPr>
        <w:spacing w:after="0" w:line="157"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These regulations impact our business in three important ways: (1) our ownership and operation of the TRS Properties; (2) our ownership of land and buildings in which gaming activities are operated by third party tenants pursuant to long-term leases; and (3) the operations of our gaming tenants. Our ownership and operation of the TRS Properties subject GLPI, its subsidiaries and its officers and directors to the jurisdiction of the gaming regulatory agencies in Louisiana and Maryland. Further, many gaming and racing regulatory agencies in the jurisdictions in which our gaming tenants operate require GLPI and its affiliates to maintain a license as a key business entity, principal affiliate, business entity, qualifier, operator or supplier because of its status as landlord, including Colorado, Illinois, Indiana, Massachusetts, Mississippi, Missouri, New Jersey, Ohio and Pennsylvania.</w:t>
      </w:r>
    </w:p>
    <w:p>
      <w:pPr>
        <w:spacing w:after="0" w:line="11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businesses and those operated by our tenants are subject to various federal, state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1" w:lineRule="exact"/>
        <w:rPr>
          <w:sz w:val="20"/>
          <w:szCs w:val="20"/>
          <w:color w:val="auto"/>
        </w:rPr>
      </w:pPr>
    </w:p>
    <w:p>
      <w:pPr>
        <w:ind w:right="40" w:firstLine="445"/>
        <w:spacing w:after="0" w:line="265" w:lineRule="auto"/>
        <w:rPr>
          <w:sz w:val="20"/>
          <w:szCs w:val="20"/>
          <w:color w:val="auto"/>
        </w:rPr>
      </w:pPr>
      <w:r>
        <w:rPr>
          <w:rFonts w:ascii="Times New Roman" w:cs="Times New Roman" w:eastAsia="Times New Roman" w:hAnsi="Times New Roman"/>
          <w:sz w:val="18"/>
          <w:szCs w:val="18"/>
          <w:color w:val="auto"/>
        </w:rPr>
        <w:t>We have comprehensive liability, property and business interruption insurance at our TRS Properties. In regards to our properties subject to triple-net leases, the lease agreements require our tenants to procure and maintain their own comprehensive liability, property and business interruption insurance policies, including protection for our insurable interests as the landlord.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48"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Our triple-net leases obligate the tenants thereunder to comply with applicable environmental laws and to indemnify us if their noncompliance results in losses or claims against us, and we expect that any future leases will include the same provisions for other operators. An operator's failure to comply could result in fines and penalties or the requirement to undertake corrective actions which may result in significant costs to the operator and thus adversely affect their ability to meet their obligations to us.</w:t>
      </w:r>
    </w:p>
    <w:p>
      <w:pPr>
        <w:spacing w:after="0" w:line="11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Pursuant to U.S.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provide for joint and several liability unless the harm is divisible and there is a reasonable basis for allocation of responsibility. We also may be liable under certain of these laws for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damage that occurred prior to our ownership of a property or at a site where we or our tenants sent wastes for disposal. The failure to properly remediate a property could result in fines or sanctions and may also adversely affect our ability to lease, sell or rent the property or to borrow funds using the property as collateral.</w:t>
      </w:r>
    </w:p>
    <w:p>
      <w:pPr>
        <w:spacing w:after="0" w:line="96" w:lineRule="exact"/>
        <w:rPr>
          <w:sz w:val="20"/>
          <w:szCs w:val="20"/>
          <w:color w:val="auto"/>
        </w:rPr>
      </w:pPr>
    </w:p>
    <w:p>
      <w:pPr>
        <w:ind w:firstLine="445"/>
        <w:spacing w:after="0" w:line="260" w:lineRule="auto"/>
        <w:rPr>
          <w:sz w:val="20"/>
          <w:szCs w:val="20"/>
          <w:color w:val="auto"/>
        </w:rPr>
      </w:pPr>
      <w:r>
        <w:rPr>
          <w:rFonts w:ascii="Times New Roman" w:cs="Times New Roman" w:eastAsia="Times New Roman" w:hAnsi="Times New Roman"/>
          <w:sz w:val="18"/>
          <w:szCs w:val="18"/>
          <w:color w:val="auto"/>
        </w:rPr>
        <w:t>In connection with the ownership of our real property, we could be legally responsible for environmental liabilities or costs relating to a release of hazardous substances or other regulated materials at or emanating from such property. In order to assess the potential for such liability, we conduct routine due diligence of environmental conditions prior to acquisition. We are not aware of any environmental issues that are expected to have a material impact on the operations of any of our properties.</w:t>
      </w:r>
    </w:p>
    <w:p>
      <w:pPr>
        <w:spacing w:after="0" w:line="114" w:lineRule="exact"/>
        <w:rPr>
          <w:sz w:val="20"/>
          <w:szCs w:val="20"/>
          <w:color w:val="auto"/>
        </w:rPr>
      </w:pPr>
    </w:p>
    <w:p>
      <w:pPr>
        <w:ind w:right="20" w:firstLine="445"/>
        <w:spacing w:after="0" w:line="269" w:lineRule="auto"/>
        <w:rPr>
          <w:sz w:val="20"/>
          <w:szCs w:val="20"/>
          <w:color w:val="auto"/>
        </w:rPr>
      </w:pPr>
      <w:r>
        <w:rPr>
          <w:rFonts w:ascii="Times New Roman" w:cs="Times New Roman" w:eastAsia="Times New Roman" w:hAnsi="Times New Roman"/>
          <w:sz w:val="17"/>
          <w:szCs w:val="17"/>
          <w:color w:val="auto"/>
        </w:rPr>
        <w:t>Pursuant to the Penn Master Lease and a Separation and Distribution Agreement between Penn and GLPI, any liability arising from or relating to environmental liabilities arising from the businesses and operations of Penn's real property holdings prior to the Spin-Off (other than any liability arising from or relating to the operation or ownership of the TRS Properties and except to the extent first discovered after the end of the term of the Penn Master Lease) was retained by Penn and Penn will indemnify GLPI (and its subsidiaries, directors, officers, employees and agents and certain other related parties) against any losses arising from or relating to such environmental liabilities. Similarly, pursuant to a Separation and Distribution Agreement originally between Pinnacle's operating company and GLPI (as successor to Pinnacle Entertainment), any liability arising from or relating to environmental liabilities arising from the business and operations of Pinnacle's real property holdings prior to the Company's acquisition of the majority of Pinnacle's real property assets (except to the extent first discovered after the end of the term of the Amended Pinnacle Master Lease) was retained by Pinnacle and Pinnacle will indemnify GLPI (and its subsidiaries, directors, officers, employees and agents and certain other related parties) against any losses arising from or relating to such environmental liabilities. Effective October 15, 2018, Penn assumed all obligations of Pinnacle pursuant to a merger of Pinnacle with and into a subsidiary of Penn. There can be no assurance that Penn will be able to fully satisfy these indemnification obligations. Moreover, even if we ultimately succeed in recovering from Penn any amounts for which we are held liable, we may be temporarily required to bear these losses.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at GLPI</w:t>
      </w:r>
    </w:p>
    <w:p>
      <w:pPr>
        <w:spacing w:after="0" w:line="242" w:lineRule="exact"/>
        <w:rPr>
          <w:sz w:val="20"/>
          <w:szCs w:val="20"/>
          <w:color w:val="auto"/>
        </w:rPr>
      </w:pPr>
    </w:p>
    <w:p>
      <w:pPr>
        <w:ind w:right="40" w:firstLine="405"/>
        <w:spacing w:after="0" w:line="245" w:lineRule="auto"/>
        <w:rPr>
          <w:sz w:val="20"/>
          <w:szCs w:val="20"/>
          <w:color w:val="auto"/>
        </w:rPr>
      </w:pPr>
      <w:r>
        <w:rPr>
          <w:rFonts w:ascii="Times New Roman" w:cs="Times New Roman" w:eastAsia="Times New Roman" w:hAnsi="Times New Roman"/>
          <w:sz w:val="18"/>
          <w:szCs w:val="18"/>
          <w:color w:val="auto"/>
        </w:rPr>
        <w:t>We believe that environmental and community stewardship is an integral component of growing shareholder value and we are committed to fostering a corporate culture that encourages and seeks the betterment of the Company and the communities in which we operate or conduct business. With this in mind, we endeavor to integrate environmental, social and governance (ESG) practices that create long-term economic value for our shareholders, employees and other constituents.</w:t>
      </w:r>
    </w:p>
    <w:p>
      <w:pPr>
        <w:spacing w:after="0" w:line="20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We have initiated an ESG strategy to further understand the environmental impact of our leased properties, as well as an undertaking of Greenhouse Gas inventory at our own corporate headquarters.</w:t>
      </w:r>
    </w:p>
    <w:p>
      <w:pPr>
        <w:spacing w:after="0" w:line="18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strive to maintain a corporate environment that fosters a sense of community and well-being and that encourages our employees to focus on their long-term success along with the long-term success of the Company.</w:t>
      </w:r>
    </w:p>
    <w:p>
      <w:pPr>
        <w:spacing w:after="0" w:line="188"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We promote sustainable practices and environmental stewardship throughout the organization, with a particular emphasis on energy efficiency, recycling, indoor environmental quality and environmental awareness.</w:t>
      </w:r>
    </w:p>
    <w:p>
      <w:pPr>
        <w:spacing w:after="0" w:line="188" w:lineRule="exact"/>
        <w:rPr>
          <w:sz w:val="20"/>
          <w:szCs w:val="20"/>
          <w:color w:val="auto"/>
        </w:rPr>
      </w:pPr>
    </w:p>
    <w:p>
      <w:pPr>
        <w:ind w:right="200" w:firstLine="405"/>
        <w:spacing w:after="0"/>
        <w:rPr>
          <w:sz w:val="20"/>
          <w:szCs w:val="20"/>
          <w:color w:val="auto"/>
        </w:rPr>
      </w:pPr>
      <w:r>
        <w:rPr>
          <w:rFonts w:ascii="Times New Roman" w:cs="Times New Roman" w:eastAsia="Times New Roman" w:hAnsi="Times New Roman"/>
          <w:sz w:val="18"/>
          <w:szCs w:val="18"/>
          <w:color w:val="auto"/>
        </w:rPr>
        <w:t>The Leased properties in our portfolio are leased to gaming operators in triple-net lease arrangements, meaning each gaming operator is ultimately responsible for maintaining the buildings including controlling its energy usage and the implementation of environmentally sustainable practices. We are committed to promoting awareness, influencing and engaging with our tenants where possible, regarding sustainability practices and environmentally beneficial energy solutions. Many of our tenants have implemented similar efficiency and conservation measures in recent capital expenditure projects, including cost-saving indoor and outdoor LED lighting retrofits, installation of guest room occupancy-based thermostats, building management systems upgrades, and installation of electronic vehicle charging stations.</w:t>
      </w:r>
    </w:p>
    <w:p>
      <w:pPr>
        <w:spacing w:after="0" w:line="21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Recognizing that sustainability is a journey, we are committed to continuous improvement and will strive to engage and communicate with our key stakeholders as we make progress on our ESG stewardship.</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4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As of December 31, 2020, we had 560 full and part-time employees. Substantially all of these employees are employed at Hollywood Casino Baton Rouge and Hollywood Casino Perryville. We strive to maintain a corporate environment that fosters a sense of community and well-being and that encourages our employees to focus on their long-term success along with the long-term success of the Company. We offer, among other things, competitive and balanced compensation programs on par with those of our peers and competitors that include well-rounded healthcare, prescription drug and disability insurance benefits for our employees and their families, participation in a 401(k) plan, with a matching contribution by the Company, competitive paid time-off benefits, a parental leave program that applies to both women and men and an employee assistance plan that provides professional support, access to special programs and certain resources to our employees experiencing personal, work, financial or family related issues.</w:t>
      </w:r>
    </w:p>
    <w:p>
      <w:pPr>
        <w:spacing w:after="0" w:line="213" w:lineRule="exact"/>
        <w:rPr>
          <w:sz w:val="20"/>
          <w:szCs w:val="20"/>
          <w:color w:val="auto"/>
        </w:rPr>
      </w:pPr>
    </w:p>
    <w:p>
      <w:pPr>
        <w:ind w:right="580"/>
        <w:spacing w:after="0" w:line="265" w:lineRule="auto"/>
        <w:rPr>
          <w:sz w:val="20"/>
          <w:szCs w:val="20"/>
          <w:color w:val="auto"/>
        </w:rPr>
      </w:pPr>
      <w:r>
        <w:rPr>
          <w:rFonts w:ascii="Times New Roman" w:cs="Times New Roman" w:eastAsia="Times New Roman" w:hAnsi="Times New Roman"/>
          <w:sz w:val="18"/>
          <w:szCs w:val="18"/>
          <w:color w:val="auto"/>
        </w:rPr>
        <w:t>We are passionate about developing and growing our talent. We devote substantial efforts to retaining, motivating and supporting our employees by providing access to such benefits and opportunities as tuition reimbursement, professional development reimbursement and internal growth and advancement. We created a Leadership Academy to cultivate management and leadership skills to empower our employees to succeed.</w:t>
      </w:r>
    </w:p>
    <w:p>
      <w:pPr>
        <w:spacing w:after="0" w:line="20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We view providing our employees with a healthy and safe working environment as essential. Our goal is to reduce the potential for injury or illness by maintaining safe working conditions, such as providing proper tools and training to all employees. Our corporate headquarters and Hollywood Casino Baton Rouge and Hollywood Casino Perryville are smoke-free environments. Additionally, we offer resources to our employees to encourage healthy habits, such as tobacco cessation and health coaches for those employees with certain chronic conditions, including but not limited to diabetes and asthma.</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believe that maintaining and promoting a diverse and inclusive workplace where every employee feels valued and respected is essential for us to grow as a company. As such, we are focused on cultivating a diverse and inclusive culture where our employees can freely bring diverse perspectives and varied experiences to work. We seek to hire and retain highly talented employees and empower those employees to create value for our shareholders. In our employee recruitment and selection process and operation of our business, we adhere to equal employment policies and provide annual trainings on diversity and inclusion. We employ, train and refresh our employees in accordance with our nondiscriminatory, inclusive practices and policies implemented to prevent discrimination and protect our employees, customers and stakeholders from offensive and harmful behaviors.</w:t>
      </w:r>
    </w:p>
    <w:p>
      <w:pPr>
        <w:spacing w:after="0" w:line="2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recognize and respect the freedom of employees to exercise their lawful rights and free association and collective bargaining. Certain of our employees at Hollywood Casino Perryville are currently represented by labor unions. The Seafarers Entertainment and Allied Trade Union represents 129 of our employees under an agreement that expires in January 2032. Additionally, United Industrial Service Transportation Professional and Government Workers of North America and Local No. 27 United Food and Commercial Workers represent certain employees under collective bargaining agreements that expire in 2021 and 2033, respectively, neither of which represents more than 50 of our employees at Hollywood Casino Perryville. We value the relationships we have with not only those employees but their representation as well. We believe our relations with its employees are good.</w:t>
      </w:r>
    </w:p>
    <w:p>
      <w:pPr>
        <w:spacing w:after="0" w:line="3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ind w:right="80" w:firstLine="445"/>
        <w:spacing w:after="0" w:line="260" w:lineRule="auto"/>
        <w:rPr>
          <w:sz w:val="20"/>
          <w:szCs w:val="20"/>
          <w:color w:val="auto"/>
        </w:rPr>
      </w:pPr>
      <w:r>
        <w:rPr>
          <w:rFonts w:ascii="Times New Roman" w:cs="Times New Roman" w:eastAsia="Times New Roman" w:hAnsi="Times New Roman"/>
          <w:sz w:val="18"/>
          <w:szCs w:val="18"/>
          <w:color w:val="auto"/>
        </w:rPr>
        <w:t>For more information about us, visit our website at www.glpropinc.com. The contents of our website are not part of this Annual Report on Form 10-K. Our electronic filings with the SEC (including all annual reports on Form 10-K and Form 10-K/A, quarterly reports on Form 10-Q and Form 10-Q/A, and current reports on Form 8-K, and any amendments to these reports), including the exhibits, are available free of charge through our website as soon as reasonably practicable after we electronically file them with or furnish them to the SEC.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Business</w:t>
      </w:r>
    </w:p>
    <w:p>
      <w:pPr>
        <w:spacing w:after="0" w:line="15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majority of our revenues are dependent on Penn and its subsidiaries until we further diversify our portfolio. Any event that has a material adverse effect on Penn’s business, financial position or results of operations may have a material adverse effect on our business, financial position or results of operations.</w:t>
      </w:r>
    </w:p>
    <w:p>
      <w:pPr>
        <w:spacing w:after="0" w:line="201" w:lineRule="exact"/>
        <w:rPr>
          <w:sz w:val="20"/>
          <w:szCs w:val="20"/>
          <w:color w:val="auto"/>
        </w:rPr>
      </w:pPr>
    </w:p>
    <w:p>
      <w:pPr>
        <w:ind w:right="60" w:firstLine="647"/>
        <w:spacing w:after="0" w:line="254" w:lineRule="auto"/>
        <w:rPr>
          <w:sz w:val="20"/>
          <w:szCs w:val="20"/>
          <w:color w:val="auto"/>
        </w:rPr>
      </w:pPr>
      <w:r>
        <w:rPr>
          <w:rFonts w:ascii="Times New Roman" w:cs="Times New Roman" w:eastAsia="Times New Roman" w:hAnsi="Times New Roman"/>
          <w:sz w:val="18"/>
          <w:szCs w:val="18"/>
          <w:color w:val="auto"/>
        </w:rPr>
        <w:t>The majority of our revenue is based on the revenue derived under our master leases with subsidiaries of Penn. Because these master leases are triple-net leases, we depend on Penn to operate the properties that we own in a manner that generates revenues sufficient to allow Penn to meet its obligations to us, including payment of rent and all insurance, taxes, utilities and maintenance and repair expenses, and to indemnify, defend and hold us harmless from and against various claims, litigation and liabilities arising in connection with its business. There can be no assurance that Penn will have sufficient assets, income or access to financing to enable it to satisfy its payment obligations to us under the master leases. The ability of Penn to fulfill its obligations depends, in part, upon the overall profitability of its gaming operations and, other than limited contractual protections afforded to us as a landlord, we have no control over Penn or its operations. The inability or unwillingness of Penn to meet its subsidiaries’ rent obligations and other obligations under the master leases may materially and adversely affect our business, financial position or results of operations, including our ability to pay dividends to our shareholders.</w:t>
      </w:r>
    </w:p>
    <w:p>
      <w:pPr>
        <w:spacing w:after="0" w:line="213" w:lineRule="exact"/>
        <w:rPr>
          <w:sz w:val="20"/>
          <w:szCs w:val="20"/>
          <w:color w:val="auto"/>
        </w:rPr>
      </w:pPr>
    </w:p>
    <w:p>
      <w:pPr>
        <w:ind w:right="120" w:firstLine="647"/>
        <w:spacing w:after="0" w:line="276" w:lineRule="auto"/>
        <w:rPr>
          <w:sz w:val="20"/>
          <w:szCs w:val="20"/>
          <w:color w:val="auto"/>
        </w:rPr>
      </w:pPr>
      <w:r>
        <w:rPr>
          <w:rFonts w:ascii="Times New Roman" w:cs="Times New Roman" w:eastAsia="Times New Roman" w:hAnsi="Times New Roman"/>
          <w:sz w:val="17"/>
          <w:szCs w:val="17"/>
          <w:color w:val="auto"/>
        </w:rPr>
        <w:t>Due to our dependence on rental payments from Penn as a significant source of revenue, we may be limited in our ability to enforce our rights under the master leases. Failure by Penn to comply with the terms of its master leases or to comply with the gaming regulations to which the leased properties are subject could require us to find another lessee for such leased property. In such event, we may be unable to locate a suitable lessee at similar rental rates or at all, which would have the effect of reducing our rental revenues. Likewise, our financial position may be materially weakened if Penn failed to renew or extend any master lease as such lease expires and we are unable to lease or re-lease our properties on economically favorable terms.</w:t>
      </w:r>
    </w:p>
    <w:p>
      <w:pPr>
        <w:spacing w:after="0" w:line="197" w:lineRule="exact"/>
        <w:rPr>
          <w:sz w:val="20"/>
          <w:szCs w:val="20"/>
          <w:color w:val="auto"/>
        </w:rPr>
      </w:pPr>
    </w:p>
    <w:p>
      <w:pPr>
        <w:jc w:val="both"/>
        <w:ind w:right="120" w:firstLine="647"/>
        <w:spacing w:after="0" w:line="265" w:lineRule="auto"/>
        <w:rPr>
          <w:sz w:val="20"/>
          <w:szCs w:val="20"/>
          <w:color w:val="auto"/>
        </w:rPr>
      </w:pPr>
      <w:r>
        <w:rPr>
          <w:rFonts w:ascii="Times New Roman" w:cs="Times New Roman" w:eastAsia="Times New Roman" w:hAnsi="Times New Roman"/>
          <w:sz w:val="18"/>
          <w:szCs w:val="18"/>
          <w:color w:val="auto"/>
        </w:rPr>
        <w:t>Any event that has a material adverse effect on Penn’s business, financial position or results of operations could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investments in, and acquisitions or development of, additional properties may be unsuccessful or fail to meet our expectations.</w:t>
      </w:r>
    </w:p>
    <w:p>
      <w:pPr>
        <w:spacing w:after="0" w:line="148" w:lineRule="exact"/>
        <w:rPr>
          <w:sz w:val="20"/>
          <w:szCs w:val="20"/>
          <w:color w:val="auto"/>
        </w:rPr>
      </w:pPr>
    </w:p>
    <w:p>
      <w:pPr>
        <w:ind w:right="80" w:firstLine="647"/>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industry and face competition from other REITs (including other gaming-focused REITs), investment companies, private equity and hedge fund investors, sovereign funds, lenders, gaming companies (including gaming companies considering REIT structures) and other investors, some of whom are significantly larger and have greater resources and lower costs of capital. Increased competition may make it more challenging to identify and successfully capitalize on acquisition opportunities that meet our investment objectives. If we cannot identify and purchase a sufficient number of investment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 and completing proposed acquisitions may be adversely impacted. Furthermore, fluctuations in the price of our common stock may impact our ability to finance additional acquisitions through the issuance of common stock and/or cause significant dilution.</w:t>
      </w:r>
    </w:p>
    <w:p>
      <w:pPr>
        <w:spacing w:after="0" w:line="124"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18"/>
          <w:szCs w:val="18"/>
          <w:color w:val="auto"/>
        </w:rPr>
        <w:t>Investments in and acquisitions of gaming properties and other properties we might seek to acquire entail risks associated with real estate investments, including that the investment's performance will fail to meet expectations or that the tenant,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11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gaming industry and may be susceptible to the risks associated with it, which could materially adversely affect our business, financial position or results of operations.</w:t>
      </w:r>
    </w:p>
    <w:p>
      <w:pPr>
        <w:spacing w:after="0" w:line="77" w:lineRule="exact"/>
        <w:rPr>
          <w:sz w:val="20"/>
          <w:szCs w:val="20"/>
          <w:color w:val="auto"/>
        </w:rPr>
      </w:pPr>
    </w:p>
    <w:p>
      <w:pPr>
        <w:ind w:right="340" w:firstLine="647"/>
        <w:spacing w:after="0" w:line="258" w:lineRule="auto"/>
        <w:rPr>
          <w:sz w:val="20"/>
          <w:szCs w:val="20"/>
          <w:color w:val="auto"/>
        </w:rPr>
      </w:pPr>
      <w:r>
        <w:rPr>
          <w:rFonts w:ascii="Times New Roman" w:cs="Times New Roman" w:eastAsia="Times New Roman" w:hAnsi="Times New Roman"/>
          <w:sz w:val="18"/>
          <w:szCs w:val="18"/>
          <w:color w:val="auto"/>
        </w:rPr>
        <w:t>As the owner and landlord of gaming facilities, we are impacted by the risks associated with the gaming industry. Therefore, our success is to some degree dependent on the gaming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gaming business may have a greater adverse effect on our revenues than if we owned a more diversified real estate portfolio, particularly because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a component of the rent under our leases is based, over time, on the revenue of the gaming facilities operated by our tenants. Decreases in discretionary consumer spending brought about by weakened general economic conditions such as, but not limited to, high unemployment levels, higher income taxes, low levels of consumer confidence, weakness in the housing market, cultural and demographic changes, and increased stock market volatility may negatively impact our revenues and operating cash flow.</w:t>
      </w:r>
    </w:p>
    <w:p>
      <w:pPr>
        <w:spacing w:after="0" w:line="101" w:lineRule="exact"/>
        <w:rPr>
          <w:sz w:val="20"/>
          <w:szCs w:val="20"/>
          <w:color w:val="auto"/>
        </w:rPr>
      </w:pPr>
    </w:p>
    <w:p>
      <w:pPr>
        <w:ind w:right="40" w:firstLine="647"/>
        <w:spacing w:after="0" w:line="253" w:lineRule="auto"/>
        <w:rPr>
          <w:sz w:val="20"/>
          <w:szCs w:val="20"/>
          <w:color w:val="auto"/>
        </w:rPr>
      </w:pPr>
      <w:r>
        <w:rPr>
          <w:rFonts w:ascii="Times New Roman" w:cs="Times New Roman" w:eastAsia="Times New Roman" w:hAnsi="Times New Roman"/>
          <w:sz w:val="18"/>
          <w:szCs w:val="18"/>
          <w:color w:val="auto"/>
        </w:rPr>
        <w:t>The gaming industry is characterized by an increasing number of gaming facilities with an increasingly high degree of competition among a large number of participants, including riverboat casinos, dockside casinos, land-based casinos, video lottery, sweepstakes and poker machines not located in casinos, Native American gaming and other forms of gaming in the U.S. Furthermore, competition from alternative wagering products, such as internet lotteries, sweepstakes, social gaming products, daily fantasy sports and other internet wagering gaming services, online sports wagering or games of skill, which allow their customers a wagering alternative to the casino-style, such as remote home gaming or in non-casino settings, could divert customers from our properties and thus adversely affect our TRS Properties and the business of our tenants and, indirectly, our business. Present state or federal laws that restrict the forms of gaming authorized or the number of competitors that offer gaming in the applicable jurisdiction are subject to change and may increase the competition affecting our TRS Properties and the business of our tenants and, indirectly, our business. Currently, there are proposals that would legalize several forms of internet gaming and other alternative wagering products in a number of states. Further, several states have already approved intrastate internet gaming and sports betting. Expansion of internet gaming and sports betting in other jurisdictions may compete with our traditional operations, which could have an adverse impact on our business and result of operations.</w:t>
      </w:r>
    </w:p>
    <w:p>
      <w:pPr>
        <w:spacing w:after="0" w:line="121" w:lineRule="exact"/>
        <w:rPr>
          <w:sz w:val="20"/>
          <w:szCs w:val="20"/>
          <w:color w:val="auto"/>
        </w:rPr>
      </w:pPr>
    </w:p>
    <w:p>
      <w:pPr>
        <w:ind w:right="40" w:firstLine="647"/>
        <w:spacing w:after="0" w:line="274" w:lineRule="auto"/>
        <w:rPr>
          <w:sz w:val="20"/>
          <w:szCs w:val="20"/>
          <w:color w:val="auto"/>
        </w:rPr>
      </w:pPr>
      <w:r>
        <w:rPr>
          <w:rFonts w:ascii="Times New Roman" w:cs="Times New Roman" w:eastAsia="Times New Roman" w:hAnsi="Times New Roman"/>
          <w:sz w:val="17"/>
          <w:szCs w:val="17"/>
          <w:color w:val="auto"/>
        </w:rPr>
        <w:t>The operations of our TRS Properties and of our tenants in our leased facilities are subject to disruptions or reduced patronage as a result of severe weather conditions, changing climate conditions, natural disasters and other casualty events. Because many of our facilities are located on or adjacent to bodies of water, they are subject to risks in addition to those associated with land-based facilities, including loss of service due to casualty, forces of nature, mechanical failure, extended or extraordinary maintenance, flood, hurricane or other severe weather and climate conditions. A component of the rent under our leases is based, over time, on the revenues of the gaming facilities operated by Penn, Caesars, Boyd and Casino Queen on our properties; consequently, a casualty that leads to the loss of use of a casino facility subject to our leases for an extended period may negatively impact our revenues.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has had, and may continue to have, a significant impact on our tenants' financial conditions and operations.</w:t>
      </w:r>
    </w:p>
    <w:p>
      <w:pPr>
        <w:spacing w:after="0" w:line="148"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In December 2019, a new strain of novel coronavirus, COVID-19, was reported in China and shortly thereafter spread across the globe. This global pandemic outbreak led to unprecedented responses by federal, state and local officials. Certain responses have included mandates from authorities requiring temporary closures of or imposed limitations on the operations of many businesses in the attempt to mitigate the spread of infections. Unemployment levels rose sharply and economic activity levels declined dramatically as a result. The United States government implemented various significant aid packages to support the economy and credit markets to combat these declines.</w:t>
      </w:r>
    </w:p>
    <w:p>
      <w:pPr>
        <w:spacing w:after="0" w:line="209"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Our TRS Properties and our tenants' casino operations were forced to close temporarily in mid-March through various dates into May and June 2020. Even though most of our properties recommenced operations to encouraging results, including certain locations where earnings were higher than the corresponding period in the prior year, it is uncertain whether these strong results will continue in future periods, particularly with the recent increases in COVID-19 case counts throughout the United States which in turn has resulted in additional temporary closures of certain casino facilities in various jurisdictions. As of the date of this filing, 1 facility out of our 48 facilities is temporarily closed. Although rent payments continue to be paid by our tenants, the temporary closures will likely result in lower variable rent reset amounts and reduce the likelihood of rent escalators that are tied to certain rent coverage ratios which contain such clauses. The ultimate impact of COVID-19 on us is highly uncertain and subject to change and will depend on future developments, which cannot be accurately predicted, including the duration of the pandemic, continued emergence of new strains of COVID-19, the speed with which available vaccines are administered to the public, additional or modified government actions, new information that will emerge concerning the severity and impact of COVID-19 and the actions taken to contain COVID-19 or address its impact in the short and long term, among others.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realize significant value for the real property assets of Tropicana Las Vegas is uncertain.</w:t>
      </w:r>
    </w:p>
    <w:p>
      <w:pPr>
        <w:spacing w:after="0" w:line="25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ability to realize significant value for the real property assets of Tropicana Las Vegas, which we acquired from Penn in return for $307.5 million of rent credits, is uncertain given current economic conditions resulting from COVID-19. It is possible that we may need to wait for a prolonged period of time before market conditions improve to enable us to realize significant value for the Tropicana real property assets,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extensive regulation from gaming and other regulatory authorities.</w:t>
      </w:r>
    </w:p>
    <w:p>
      <w:pPr>
        <w:spacing w:after="0" w:line="161" w:lineRule="exact"/>
        <w:rPr>
          <w:sz w:val="20"/>
          <w:szCs w:val="20"/>
          <w:color w:val="auto"/>
        </w:rPr>
      </w:pPr>
    </w:p>
    <w:p>
      <w:pPr>
        <w:ind w:right="60" w:firstLine="647"/>
        <w:spacing w:after="0" w:line="256" w:lineRule="auto"/>
        <w:rPr>
          <w:sz w:val="20"/>
          <w:szCs w:val="20"/>
          <w:color w:val="auto"/>
        </w:rPr>
      </w:pPr>
      <w:r>
        <w:rPr>
          <w:rFonts w:ascii="Times New Roman" w:cs="Times New Roman" w:eastAsia="Times New Roman" w:hAnsi="Times New Roman"/>
          <w:sz w:val="18"/>
          <w:szCs w:val="18"/>
          <w:color w:val="auto"/>
        </w:rPr>
        <w:t>The ownership, operation, and management of gaming and racing facilities are subject to pervasive regulation. These regulations impact both our ownership and operation of the TRS Properties and the operations of our gaming tenants. Our ownership and operation of the TRS Properties subject us, our officers, directors and shareholders to the jurisdiction of the gaming regulatory agencies in Louisiana and Maryland. Further, many gaming and racing regulatory agencies in the jurisdictions in which our tenants operate require GLPI, its affiliates and certain officers and directors to maintain licenses as a key business entity, principal affiliate, business entity qualifier, operator, supplier or key person because of GLPI's status as landlord. For GLPI to maintain such licenses in good standing, certain of GLPI's officers and directors are also required to maintain licenses or a finding of suitability.</w:t>
      </w:r>
    </w:p>
    <w:p>
      <w:pPr>
        <w:spacing w:after="0" w:line="105" w:lineRule="exact"/>
        <w:rPr>
          <w:sz w:val="20"/>
          <w:szCs w:val="20"/>
          <w:color w:val="auto"/>
        </w:rPr>
      </w:pPr>
    </w:p>
    <w:p>
      <w:pPr>
        <w:ind w:right="140" w:firstLine="647"/>
        <w:spacing w:after="0" w:line="255" w:lineRule="auto"/>
        <w:rPr>
          <w:sz w:val="20"/>
          <w:szCs w:val="20"/>
          <w:color w:val="auto"/>
        </w:rPr>
      </w:pPr>
      <w:r>
        <w:rPr>
          <w:rFonts w:ascii="Times New Roman" w:cs="Times New Roman" w:eastAsia="Times New Roman" w:hAnsi="Times New Roman"/>
          <w:sz w:val="18"/>
          <w:szCs w:val="18"/>
          <w:color w:val="auto"/>
        </w:rPr>
        <w:t>Many jurisdictions also require any person who acquires beneficial ownership of more than a certain percentage of securities of a company licensed in such jurisdiction, typically 5%, to report the acquisition to gaming authorities, and gaming authorities may require such holders to apply for qualification or a finding of suitability, subject to limited exceptions for "institutional investors" that hold a company's voting securities for passive investment purposes only. Some jurisdictions may also limit the number of gaming licenses or gaming facilities in which a person may hold an ownership or a controlling interest.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119" w:lineRule="exact"/>
        <w:rPr>
          <w:sz w:val="20"/>
          <w:szCs w:val="20"/>
          <w:color w:val="auto"/>
        </w:rPr>
      </w:pPr>
    </w:p>
    <w:p>
      <w:pPr>
        <w:ind w:right="140" w:firstLine="647"/>
        <w:spacing w:after="0" w:line="256" w:lineRule="auto"/>
        <w:rPr>
          <w:sz w:val="20"/>
          <w:szCs w:val="20"/>
          <w:color w:val="auto"/>
        </w:rPr>
      </w:pPr>
      <w:r>
        <w:rPr>
          <w:rFonts w:ascii="Times New Roman" w:cs="Times New Roman" w:eastAsia="Times New Roman" w:hAnsi="Times New Roman"/>
          <w:sz w:val="18"/>
          <w:szCs w:val="18"/>
          <w:color w:val="auto"/>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certain gaming authorities. Entities seeking to acquire control of GLPI or one of its subsidiaries must satisfy gaming authorities with respect to a variety of stringent licensing standards prior to assuming control.</w:t>
      </w:r>
    </w:p>
    <w:p>
      <w:pPr>
        <w:spacing w:after="0" w:line="11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Required regulatory approvals can delay or prohibit transfers of our gaming properties, which could result in periods in which we are unable to receive rent for such properties.</w:t>
      </w:r>
    </w:p>
    <w:p>
      <w:pPr>
        <w:spacing w:after="0" w:line="77" w:lineRule="exact"/>
        <w:rPr>
          <w:sz w:val="20"/>
          <w:szCs w:val="20"/>
          <w:color w:val="auto"/>
        </w:rPr>
      </w:pPr>
    </w:p>
    <w:p>
      <w:pPr>
        <w:ind w:right="40" w:firstLine="647"/>
        <w:spacing w:after="0" w:line="258" w:lineRule="auto"/>
        <w:rPr>
          <w:sz w:val="20"/>
          <w:szCs w:val="20"/>
          <w:color w:val="auto"/>
        </w:rPr>
      </w:pPr>
      <w:r>
        <w:rPr>
          <w:rFonts w:ascii="Times New Roman" w:cs="Times New Roman" w:eastAsia="Times New Roman" w:hAnsi="Times New Roman"/>
          <w:sz w:val="18"/>
          <w:szCs w:val="18"/>
          <w:color w:val="auto"/>
        </w:rPr>
        <w:t>The tenants of our gaming properties are operators of gaming facilities and must be licensed under applicable state law. Prior to the transfer of gaming facilities, including a controlling interest, the new owner or operator generally must become licensed under applicable state law. In the event that any current lease or any future lease agreement we enter into is terminated or expires and a new tenant is found, any delays in the new tenant receiving regulatory approvals from the applicable state government agencies, or the inability to receive such approvals, may prolong the period during which we are unable to collect the applicable rent.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strategic acquisitions unrelated to the gaming industry may be unsuccessful or fail to meet our expectations.</w:t>
      </w:r>
    </w:p>
    <w:p>
      <w:pPr>
        <w:spacing w:after="0" w:line="255"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We may pursue strategic acquisitions of real property assets unrelated to the gaming industry, including acquisitions that may be complementary to our existing gaming properties. Our management does not possess the same level of expertise with the dynamics and market conditions applicable to non-gaming assets, which could adversely affect the results of our expansion into other asset classes. In addition, we may be unable to achieve our desired return on our investments in new or adjacent asset classes.</w:t>
      </w:r>
    </w:p>
    <w:p>
      <w:pPr>
        <w:spacing w:after="0" w:line="1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77" w:lineRule="exact"/>
        <w:rPr>
          <w:sz w:val="20"/>
          <w:szCs w:val="20"/>
          <w:color w:val="auto"/>
        </w:rPr>
      </w:pPr>
    </w:p>
    <w:p>
      <w:pPr>
        <w:ind w:right="120" w:firstLine="647"/>
        <w:spacing w:after="0" w:line="270" w:lineRule="auto"/>
        <w:rPr>
          <w:sz w:val="20"/>
          <w:szCs w:val="20"/>
          <w:color w:val="auto"/>
        </w:rPr>
      </w:pPr>
      <w:r>
        <w:rPr>
          <w:rFonts w:ascii="Times New Roman" w:cs="Times New Roman" w:eastAsia="Times New Roman" w:hAnsi="Times New Roman"/>
          <w:sz w:val="17"/>
          <w:szCs w:val="17"/>
          <w:color w:val="auto"/>
        </w:rPr>
        <w:t>In order for us to qualify to be taxed as a REIT, not more than 50% in value of our outstanding shares of stock may be owned, actually or constructively, by five or fewer individuals at any time during the last half of each taxable year after the first year for which GLPI elected to qualify to be taxed as a REIT (2014). Additionally, at least 100 persons must beneficially own GLPI stock during at least 335 days of a taxable year (other than the first taxable year for which GLPI elected to be taxed as a REIT). GLPI's charter, with certain exceptions, authorizes the Board of Directors to take such actions as are necessary and desirable to preserve GLPI's qualification as a REIT. GLPI's charter also provides that, subject to certain exceptions approved by the Board of Directors, no person may beneficially or constructively own more than 7% in value or in number, whichever is more restrictive, of GLPI's outstanding shares of all classes and series of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GLPI that might involve a premium price for shares of GLPI stock or otherwise be in the best interests of GLPI shareholders. The acquisition of less than 7% of our outstanding stock by an individual or entity could cause that individual or entity to own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beneficially or constructively in excess of 7% in value of our outstanding stock, and thus violate our charter's ownership limit. Our charter prohibits any person from owning shares of our stock that would result in our being "closely held" under Section 856(h) of the Code. Any attempt to own or transfer shares of our stock in violation of these restrictions may result in the transfer being automatically void. GLPI's charter also provides that shares of GLPI's capital stock acquired or held in excess of the ownership limit will be transferred to a trust for the benefit of a designated charitable beneficiary, and that any person who acquires shares of GLPI's capital stock in violation of the ownership limit will not be entitled to any dividends on the shares or be entitled to vote the shares or receive any proceeds from the subsequent sale of the shares in excess of the lesser of the market price on the day the shares were transferred to the trust or the amount realized from the sale. GLPI or its designee will have the right to purchase the shares from the trustee at this calculated price as well. A transfer of shares of GLPI's capital stock in violation of the limit may be void under certain circumstances. GLPI's 7% ownership limitation may have the effect of delaying, deferring or preventing a change in control of GLPI, including an extraordinary transaction (such as a merger, tender offer or sale of all or substantially all of our assets) that might provide a premium price for GLPI's shareholders. To assist GLPI in complying with applicable gaming laws, our charter also provides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The shares shall additionally be redeemable by GLPI, out of funds legally available for that redemption, to the extent required by the gaming authorities making the determination of unsuitability or to the extent determined to be necessary or advisable by our Board of Directors, at a redemption price equal to the lesser of (i) the market price on the date of the redemption notice,</w:t>
      </w:r>
    </w:p>
    <w:p>
      <w:pPr>
        <w:spacing w:after="0" w:line="3" w:lineRule="exact"/>
        <w:rPr>
          <w:sz w:val="20"/>
          <w:szCs w:val="20"/>
          <w:color w:val="auto"/>
        </w:rPr>
      </w:pPr>
    </w:p>
    <w:p>
      <w:pPr>
        <w:ind w:right="140" w:firstLine="8"/>
        <w:spacing w:after="0" w:line="260"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on the redemption date, or (iii) the actual amount paid for the shares by the owner thereof, in each case less a discount in a percentage (up to 100%) to be determined by our Board of Directors in its sole and absolute discretion.</w:t>
      </w:r>
    </w:p>
    <w:p>
      <w:pPr>
        <w:spacing w:after="0" w:line="95"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Pennsylvania law and provisions in our charter and bylaws may delay or prevent takeover attempts by third parties and therefore inhibit our shareholders from realizing a premium on their stock.</w:t>
      </w:r>
    </w:p>
    <w:p>
      <w:pPr>
        <w:spacing w:after="0" w:line="91" w:lineRule="exact"/>
        <w:rPr>
          <w:sz w:val="20"/>
          <w:szCs w:val="20"/>
          <w:color w:val="auto"/>
        </w:rPr>
      </w:pPr>
    </w:p>
    <w:p>
      <w:pPr>
        <w:ind w:right="40" w:firstLine="647"/>
        <w:spacing w:after="0" w:line="253" w:lineRule="auto"/>
        <w:rPr>
          <w:sz w:val="20"/>
          <w:szCs w:val="20"/>
          <w:color w:val="auto"/>
        </w:rPr>
      </w:pPr>
      <w:r>
        <w:rPr>
          <w:rFonts w:ascii="Times New Roman" w:cs="Times New Roman" w:eastAsia="Times New Roman" w:hAnsi="Times New Roman"/>
          <w:sz w:val="18"/>
          <w:szCs w:val="18"/>
          <w:color w:val="auto"/>
        </w:rPr>
        <w:t>Our charter and bylaws, in addition to Pennsylvania law, contain provisions that are intended to deter coercive takeover practices and inadequate takeover bids and to encourage prospective acquirors to negotiate with our Board of Directors rather than to attempt a hostile takeover. Our charter and bylaws, among other things (i) permit the Board of Directors, without further action of the shareholders, to issue and fix the terms of preferred stock, which may have rights senior to those of the common stock; (ii) establish certain advance notice procedures for shareholder proposals, and require all director candidates to be recommended by the nominating committee of the Board of Directors following the affirmative determination by the nominating committee that such nominee is likely to meet the applicable suitability requirements of any federal, state or local regulatory body having jurisdiction over us; (iii) provide that a director may only be removed by shareholders for cause and upon the vote of 75% of the shares entitled to vote; (iv) do not permit direct nomination by shareholders of nominees for election to the Board of Directors, but instead permit shareholders to recommend potential nominees to our Nominating and Corporate Governance Committee; (v) require shareholders to have beneficially owned at least 1% of our outstanding common stock in order to recommend a person for nomination for election to the Board of Directors, or to present a shareholder proposal, for action at a shareholders' meeting; and (vi) provide for super majority approval requirements for amending or repealing certain provisions in our charter and in order to approve an amendment or repeal of any provision of our bylaws that has not been proposed by our Board of Directors.</w:t>
      </w:r>
    </w:p>
    <w:p>
      <w:pPr>
        <w:spacing w:after="0" w:line="119" w:lineRule="exact"/>
        <w:rPr>
          <w:sz w:val="20"/>
          <w:szCs w:val="20"/>
          <w:color w:val="auto"/>
        </w:rPr>
      </w:pPr>
    </w:p>
    <w:p>
      <w:pPr>
        <w:ind w:right="40" w:firstLine="647"/>
        <w:spacing w:after="0" w:line="256" w:lineRule="auto"/>
        <w:rPr>
          <w:sz w:val="20"/>
          <w:szCs w:val="20"/>
          <w:color w:val="auto"/>
        </w:rPr>
      </w:pPr>
      <w:r>
        <w:rPr>
          <w:rFonts w:ascii="Times New Roman" w:cs="Times New Roman" w:eastAsia="Times New Roman" w:hAnsi="Times New Roman"/>
          <w:sz w:val="18"/>
          <w:szCs w:val="18"/>
          <w:color w:val="auto"/>
        </w:rPr>
        <w:t>In addition, specific anti-takeover provisions in Pennsylvania law could make it more difficult for a third party to attempt a hostile takeover. These provisions require (i) approval of certain transactions by a majority of the voting stock other than that held by the potential acquirer; (ii) the acquisition at "fair value" of all the outstanding shares not held by an acquirer of 20% or more; (iii) a five-year moratorium on certain "business combination" transactions with an "interested shareholder;" (iv) the loss by interested shareholders of their voting rights over "control shares;" (v) the disgorgement of profits realized by an interested shareholder from certain dispositions of our shares; and (vi) severance payments for certain employees and prohibiting termination of certain labor contracts.</w:t>
      </w:r>
    </w:p>
    <w:p>
      <w:pPr>
        <w:spacing w:after="0" w:line="105" w:lineRule="exact"/>
        <w:rPr>
          <w:sz w:val="20"/>
          <w:szCs w:val="20"/>
          <w:color w:val="auto"/>
        </w:rPr>
      </w:pPr>
    </w:p>
    <w:p>
      <w:pPr>
        <w:ind w:right="120" w:firstLine="647"/>
        <w:spacing w:after="0" w:line="258" w:lineRule="auto"/>
        <w:rPr>
          <w:sz w:val="20"/>
          <w:szCs w:val="20"/>
          <w:color w:val="auto"/>
        </w:rPr>
      </w:pPr>
      <w:r>
        <w:rPr>
          <w:rFonts w:ascii="Times New Roman" w:cs="Times New Roman" w:eastAsia="Times New Roman" w:hAnsi="Times New Roman"/>
          <w:sz w:val="18"/>
          <w:szCs w:val="18"/>
          <w:color w:val="auto"/>
        </w:rPr>
        <w:t>We believe these provisions will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GLPI immune from takeovers or to prevent a transaction from occurring. However, these provisions will apply even if the offer may be considered beneficial by some shareholders and could delay or prevent an acquisition that our Board of Directors determines is not in the best interests of GLPI. These provisions may also prevent or discourage attempts to remove and replace incumbent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uninsured or under insured losses, which could result in a significant loss of the capital we have invested in a property, decrease anticipated future revenues or cause us to incur unanticipated expense.</w:t>
      </w:r>
    </w:p>
    <w:p>
      <w:pPr>
        <w:spacing w:after="0" w:line="91" w:lineRule="exact"/>
        <w:rPr>
          <w:sz w:val="20"/>
          <w:szCs w:val="20"/>
          <w:color w:val="auto"/>
        </w:rPr>
      </w:pPr>
    </w:p>
    <w:p>
      <w:pPr>
        <w:ind w:firstLine="647"/>
        <w:spacing w:after="0" w:line="255" w:lineRule="auto"/>
        <w:rPr>
          <w:sz w:val="20"/>
          <w:szCs w:val="20"/>
          <w:color w:val="auto"/>
        </w:rPr>
      </w:pPr>
      <w:r>
        <w:rPr>
          <w:rFonts w:ascii="Times New Roman" w:cs="Times New Roman" w:eastAsia="Times New Roman" w:hAnsi="Times New Roman"/>
          <w:sz w:val="18"/>
          <w:szCs w:val="18"/>
          <w:color w:val="auto"/>
        </w:rPr>
        <w:t>While our leases require, and new lease agreements are expected to require, that comprehensive insurance and hazard insurance be maintained by the tenants, a tenant's failure to comply could lead to an uninsured or under insured loss and there can be no assurance that we will be able to recover such uninsured or under insured amounts from such tenant. Further,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06" w:lineRule="exact"/>
        <w:rPr>
          <w:sz w:val="20"/>
          <w:szCs w:val="20"/>
          <w:color w:val="auto"/>
        </w:rPr>
      </w:pPr>
    </w:p>
    <w:p>
      <w:pPr>
        <w:jc w:val="both"/>
        <w:ind w:right="40" w:firstLine="647"/>
        <w:spacing w:after="0" w:line="265" w:lineRule="auto"/>
        <w:rPr>
          <w:sz w:val="20"/>
          <w:szCs w:val="20"/>
          <w:color w:val="auto"/>
        </w:rPr>
      </w:pPr>
      <w:r>
        <w:rPr>
          <w:rFonts w:ascii="Times New Roman" w:cs="Times New Roman" w:eastAsia="Times New Roman" w:hAnsi="Times New Roman"/>
          <w:sz w:val="18"/>
          <w:szCs w:val="18"/>
          <w:color w:val="auto"/>
        </w:rPr>
        <w:t>If we or one of our tenants experience a loss that is uninsured, or that exceeds our or our tenant's policy coverage limits, we could lose the capital invested in the damaged properties as well as the anticipated future cash flows from those properties. In addition, if the damaged properties were subject to recourse indebtedness, we could continue to be liable for the indebtedness even if these properties were irreparably damaged.</w:t>
      </w:r>
    </w:p>
    <w:p>
      <w:pPr>
        <w:spacing w:after="0" w:line="110" w:lineRule="exact"/>
        <w:rPr>
          <w:sz w:val="20"/>
          <w:szCs w:val="20"/>
          <w:color w:val="auto"/>
        </w:rPr>
      </w:pPr>
    </w:p>
    <w:p>
      <w:pPr>
        <w:ind w:right="20" w:firstLine="647"/>
        <w:spacing w:after="0" w:line="265" w:lineRule="auto"/>
        <w:rPr>
          <w:sz w:val="20"/>
          <w:szCs w:val="20"/>
          <w:color w:val="auto"/>
        </w:rPr>
      </w:pPr>
      <w:r>
        <w:rPr>
          <w:rFonts w:ascii="Times New Roman" w:cs="Times New Roman" w:eastAsia="Times New Roman" w:hAnsi="Times New Roman"/>
          <w:sz w:val="18"/>
          <w:szCs w:val="18"/>
          <w:color w:val="auto"/>
        </w:rPr>
        <w:t>In addition, even if damage to our properties is covered by insurance, a disruption of our or our tenant's business caused by a casualty event may result in the loss of business or tenants. The business interruption insurance we or our tenant's carry may not fully compensate us for the loss of business or tenants due to an interruption caused by a casualty event.</w:t>
      </w:r>
    </w:p>
    <w:p>
      <w:pPr>
        <w:spacing w:after="0" w:line="110" w:lineRule="exact"/>
        <w:rPr>
          <w:sz w:val="20"/>
          <w:szCs w:val="20"/>
          <w:color w:val="auto"/>
        </w:rPr>
      </w:pPr>
    </w:p>
    <w:p>
      <w:pPr>
        <w:jc w:val="both"/>
        <w:ind w:right="80" w:firstLine="647"/>
        <w:spacing w:after="0" w:line="265" w:lineRule="auto"/>
        <w:rPr>
          <w:sz w:val="20"/>
          <w:szCs w:val="20"/>
          <w:color w:val="auto"/>
        </w:rPr>
      </w:pPr>
      <w:r>
        <w:rPr>
          <w:rFonts w:ascii="Times New Roman" w:cs="Times New Roman" w:eastAsia="Times New Roman" w:hAnsi="Times New Roman"/>
          <w:sz w:val="18"/>
          <w:szCs w:val="18"/>
          <w:color w:val="auto"/>
        </w:rPr>
        <w:t>A disruption in the financial markets may make it more difficult to evaluate the stability, net assets and capitalization of insurance companies and any insurer's ability to meet its claim payment obligations. A failure of an insurance company to make payments to us or our tenants upon an event of loss covered by an insurance policy could adversely affect our business, financial condition and results of operations.</w:t>
      </w:r>
    </w:p>
    <w:p>
      <w:pPr>
        <w:spacing w:after="0" w:line="9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holders of our common stock could lose a significant portion of their investment if the market price of our common stock declines.</w:t>
      </w:r>
    </w:p>
    <w:p>
      <w:pPr>
        <w:spacing w:after="0" w:line="158" w:lineRule="exact"/>
        <w:rPr>
          <w:sz w:val="20"/>
          <w:szCs w:val="20"/>
          <w:color w:val="auto"/>
        </w:rPr>
      </w:pPr>
    </w:p>
    <w:p>
      <w:pPr>
        <w:ind w:right="160" w:firstLine="647"/>
        <w:spacing w:after="0" w:line="265" w:lineRule="auto"/>
        <w:rPr>
          <w:sz w:val="20"/>
          <w:szCs w:val="20"/>
          <w:color w:val="auto"/>
        </w:rPr>
      </w:pPr>
      <w:r>
        <w:rPr>
          <w:rFonts w:ascii="Times New Roman" w:cs="Times New Roman" w:eastAsia="Times New Roman" w:hAnsi="Times New Roman"/>
          <w:sz w:val="18"/>
          <w:szCs w:val="18"/>
          <w:color w:val="auto"/>
        </w:rPr>
        <w:t>The market price of our common stock may be volatile, and shareholders may not be able to resell their shares of our common stock at or above the price at which they acquired the common stock due to fluctuations in its market price, including changes in price caused by factors unrelated to our performance or prospects.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factors that may have a significant effect on the market price for our common stock include, among others, the following:</w:t>
      </w:r>
    </w:p>
    <w:p>
      <w:pPr>
        <w:spacing w:after="0" w:line="225" w:lineRule="exact"/>
        <w:rPr>
          <w:sz w:val="20"/>
          <w:szCs w:val="20"/>
          <w:color w:val="auto"/>
        </w:rPr>
      </w:pPr>
    </w:p>
    <w:p>
      <w:pPr>
        <w:ind w:left="1300" w:hanging="645"/>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 market analyst recommendations or earnings estimates regarding our common stock or other comparable REITs;</w:t>
      </w:r>
    </w:p>
    <w:p>
      <w:pPr>
        <w:spacing w:after="0" w:line="251"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stream or future prospects;</w:t>
      </w:r>
    </w:p>
    <w:p>
      <w:pPr>
        <w:spacing w:after="0" w:line="251"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taken by us or our competitors, such as acquisitions;</w:t>
      </w:r>
    </w:p>
    <w:p>
      <w:pPr>
        <w:spacing w:after="0" w:line="251"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close pending acquisitions;</w:t>
      </w:r>
    </w:p>
    <w:p>
      <w:pPr>
        <w:spacing w:after="0" w:line="251" w:lineRule="exact"/>
        <w:rPr>
          <w:rFonts w:ascii="Times New Roman" w:cs="Times New Roman" w:eastAsia="Times New Roman" w:hAnsi="Times New Roman"/>
          <w:sz w:val="18"/>
          <w:szCs w:val="18"/>
          <w:color w:val="auto"/>
        </w:rPr>
      </w:pPr>
    </w:p>
    <w:p>
      <w:pPr>
        <w:ind w:left="1300" w:right="220" w:hanging="645"/>
        <w:spacing w:after="0" w:line="28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the perceived benefits of our acquisitions, including financial results, as rapidly as or to the extent anticipated by financial or industry analysts;</w:t>
      </w:r>
    </w:p>
    <w:p>
      <w:pPr>
        <w:spacing w:after="0" w:line="189" w:lineRule="exact"/>
        <w:rPr>
          <w:rFonts w:ascii="Times New Roman" w:cs="Times New Roman" w:eastAsia="Times New Roman" w:hAnsi="Times New Roman"/>
          <w:sz w:val="18"/>
          <w:szCs w:val="18"/>
          <w:color w:val="auto"/>
        </w:rPr>
      </w:pPr>
    </w:p>
    <w:p>
      <w:pPr>
        <w:ind w:left="1300" w:right="280" w:hanging="645"/>
        <w:spacing w:after="0" w:line="28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and operations or the gaming industry;</w:t>
      </w:r>
    </w:p>
    <w:p>
      <w:pPr>
        <w:spacing w:after="0" w:line="189"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or accounting standards, policies, guidance, interpretations or principles;</w:t>
      </w:r>
    </w:p>
    <w:p>
      <w:pPr>
        <w:spacing w:after="0" w:line="251"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and/or the impact of rising inflation;</w:t>
      </w:r>
    </w:p>
    <w:p>
      <w:pPr>
        <w:spacing w:after="0" w:line="251" w:lineRule="exact"/>
        <w:rPr>
          <w:rFonts w:ascii="Times New Roman" w:cs="Times New Roman" w:eastAsia="Times New Roman" w:hAnsi="Times New Roman"/>
          <w:sz w:val="18"/>
          <w:szCs w:val="18"/>
          <w:color w:val="auto"/>
        </w:rPr>
      </w:pPr>
    </w:p>
    <w:p>
      <w:pPr>
        <w:ind w:left="1300" w:right="380" w:hanging="645"/>
        <w:spacing w:after="0" w:line="28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financial markets or general U.S. or international economic conditions, including those resulting from war, incidents of terrorism and responses to such events; and</w:t>
      </w:r>
    </w:p>
    <w:p>
      <w:pPr>
        <w:spacing w:after="0" w:line="189"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members of our management team or other significant shareholders.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compliance costs and liabilities associated with real estate properties owned by us may materially impair the value of those investments.</w:t>
      </w:r>
    </w:p>
    <w:p>
      <w:pPr>
        <w:spacing w:after="0" w:line="148" w:lineRule="exact"/>
        <w:rPr>
          <w:sz w:val="20"/>
          <w:szCs w:val="20"/>
          <w:color w:val="auto"/>
        </w:rPr>
      </w:pPr>
    </w:p>
    <w:p>
      <w:pPr>
        <w:ind w:right="40" w:firstLine="647"/>
        <w:spacing w:after="0" w:line="260" w:lineRule="auto"/>
        <w:rPr>
          <w:sz w:val="20"/>
          <w:szCs w:val="20"/>
          <w:color w:val="auto"/>
        </w:rPr>
      </w:pPr>
      <w:r>
        <w:rPr>
          <w:rFonts w:ascii="Times New Roman" w:cs="Times New Roman" w:eastAsia="Times New Roman" w:hAnsi="Times New Roman"/>
          <w:sz w:val="18"/>
          <w:szCs w:val="18"/>
          <w:color w:val="auto"/>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w:t>
      </w:r>
    </w:p>
    <w:p>
      <w:pPr>
        <w:spacing w:after="0" w:line="114" w:lineRule="exact"/>
        <w:rPr>
          <w:sz w:val="20"/>
          <w:szCs w:val="20"/>
          <w:color w:val="auto"/>
        </w:rPr>
      </w:pPr>
    </w:p>
    <w:p>
      <w:pPr>
        <w:ind w:right="60" w:firstLine="647"/>
        <w:spacing w:after="0" w:line="265" w:lineRule="auto"/>
        <w:rPr>
          <w:sz w:val="20"/>
          <w:szCs w:val="20"/>
          <w:color w:val="auto"/>
        </w:rPr>
      </w:pPr>
      <w:r>
        <w:rPr>
          <w:rFonts w:ascii="Times New Roman" w:cs="Times New Roman" w:eastAsia="Times New Roman" w:hAnsi="Times New Roman"/>
          <w:sz w:val="18"/>
          <w:szCs w:val="18"/>
          <w:color w:val="auto"/>
        </w:rPr>
        <w:t>In addition to these costs, which are typically not limited by law or regulation and could exceed the property's value, we could be liable for certain other costs, including governmental fines and injuries to persons, property or natural resources. Further, some environmental laws create a lien on the contaminated site in favor of the government for damages and the costs the government incurs in connection with such contamination.</w:t>
      </w:r>
    </w:p>
    <w:p>
      <w:pPr>
        <w:spacing w:after="0" w:line="110" w:lineRule="exact"/>
        <w:rPr>
          <w:sz w:val="20"/>
          <w:szCs w:val="20"/>
          <w:color w:val="auto"/>
        </w:rPr>
      </w:pPr>
    </w:p>
    <w:p>
      <w:pPr>
        <w:ind w:right="180" w:firstLine="647"/>
        <w:spacing w:after="0" w:line="260" w:lineRule="auto"/>
        <w:rPr>
          <w:sz w:val="20"/>
          <w:szCs w:val="20"/>
          <w:color w:val="auto"/>
        </w:rPr>
      </w:pPr>
      <w:r>
        <w:rPr>
          <w:rFonts w:ascii="Times New Roman" w:cs="Times New Roman" w:eastAsia="Times New Roman" w:hAnsi="Times New Roman"/>
          <w:sz w:val="18"/>
          <w:szCs w:val="18"/>
          <w:color w:val="auto"/>
        </w:rPr>
        <w:t>Although we require our operators and tenants to undertake to indemnify us for certain environmental liabilities, including environmental liabilities they cause, the amount of such liabilities could exceed the financial ability of the tenant or operator to indemnify us. The presence of contamination or the failure to remediate contamination may adversely affect our ability to sell or lease the real estate or to borrow using the real estate as collateral.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U.S. federal income tax laws could materially and adversely affect us and our shareholders.</w:t>
      </w:r>
    </w:p>
    <w:p>
      <w:pPr>
        <w:spacing w:after="0" w:line="161" w:lineRule="exact"/>
        <w:rPr>
          <w:sz w:val="20"/>
          <w:szCs w:val="20"/>
          <w:color w:val="auto"/>
        </w:rPr>
      </w:pPr>
    </w:p>
    <w:p>
      <w:pPr>
        <w:ind w:right="20" w:firstLine="647"/>
        <w:spacing w:after="0" w:line="236" w:lineRule="auto"/>
        <w:rPr>
          <w:sz w:val="20"/>
          <w:szCs w:val="20"/>
          <w:color w:val="auto"/>
        </w:rPr>
      </w:pPr>
      <w:r>
        <w:rPr>
          <w:rFonts w:ascii="Times New Roman" w:cs="Times New Roman" w:eastAsia="Times New Roman" w:hAnsi="Times New Roman"/>
          <w:sz w:val="18"/>
          <w:szCs w:val="18"/>
          <w:color w:val="auto"/>
        </w:rPr>
        <w:t>The Tax Cuts and Jobs Act made significant changes to the federal income taxation of individuals and corporations under the Code,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 backs and allows unused net operating losses to be carried forward indefinitely, (iv) expand the ability of businesses to deduct the cost of certain property investments in the year in which the property is purchased, (v) generally lower tax rates for individuals and other noncorporate taxpayers, while limiting deductions such as miscellaneous itemized deductions and state and local tax deductions, and (vi) limit the deduction for net interest expense incurred by a business to 30% of the "adjusted taxable income" of the taxpayer, but do not apply to certain small-business taxpayers or electing real property trades or businesses, including REITs. The effect of these, and the many other, changes made is highly uncertain, both in terms of their direct effect on the taxation of holders of our common stock and their indirect effect on the value of our assets or market conditions generally. In addition, future changes in tax laws, including the proposed tax agenda presented by the new U.S. presidential administration, or tax rulings, could affect our effective tax rate, the tax rate of shareholders of our stock, and overall benefit of maintaining our status as a REIT. For example, the reduction in the corporate income tax rate resulting from the Tax Cuts and Jobs Act could be reduced or rescinded, individual tax rates may increase, and the §199A deduction for REIT dividends could be phased out. .</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security breaches through cyber-attacks, cyber intrusions or otherwise, as well as other significant disruptions of our information technology (IT) networks and related systems.</w:t>
      </w:r>
    </w:p>
    <w:p>
      <w:pPr>
        <w:spacing w:after="0" w:line="185"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We face risks associated with security breaches, whether through cyber-attacks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Status as a REIT</w:t>
      </w:r>
    </w:p>
    <w:p>
      <w:pPr>
        <w:spacing w:after="0" w:line="14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qualify to be taxed as a REIT, or fail to remain qualified as a REIT, we will be subject to U.S. federal income tax as a regular corporation and could face a substantial tax liability, which may reduce the amount of cash available for distribution to our shareholders.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elected on our 2014 U.S. federal income tax return to be treated as a REIT and intend to continue to be organized and to operate in a manner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will permit us to qualify as a REIT. We currently operate, and intend to continue to operate, in a manner that will allow us to continue to qualify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taxed as a REIT for U.S. federal income tax purposes. We received an opinion from our special tax advisors, Wachtell, Lipton, Rosen &amp; Katz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KPMG LLP (collectively the "Special Tax Advisors"), with respect to our qualification as a REIT in connection with the Spin-Off. Opinions of advisors 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binding on the IRS or any court. The opinions of the Special Tax Advisors represent only the view of the Special Tax Advisors based on their review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analysis of existing law and on certain representations as to factual matters and covenants made by us, including representations relating to the values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assets and the sources of our income. The opinions are expressed as of the date issued. The Special Tax Advisors have no obligation to advise us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our common stock of any subsequent change in the matters stated, represented or assumed or of any subsequent change in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both the validity of the opinions of Special Tax Advisors and our qualification as a REIT will depend on our satisfaction of certain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organizational, distribution, shareholder ownership and other requirements on a continuing basis, the results of which are not monitored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Tax Advisors. Our ability to satisfy the asset tests depends upon our analysis of the characterization and fair market values of our assets, some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not susceptible to a precise determination, and for which we will not obtain independent appraisals.</w:t>
      </w:r>
    </w:p>
    <w:p>
      <w:pPr>
        <w:spacing w:after="0" w:line="139" w:lineRule="exact"/>
        <w:rPr>
          <w:sz w:val="20"/>
          <w:szCs w:val="20"/>
          <w:color w:val="auto"/>
        </w:rPr>
      </w:pPr>
    </w:p>
    <w:p>
      <w:pPr>
        <w:ind w:right="100" w:firstLine="647"/>
        <w:spacing w:after="0" w:line="260" w:lineRule="auto"/>
        <w:rPr>
          <w:sz w:val="20"/>
          <w:szCs w:val="20"/>
          <w:color w:val="auto"/>
        </w:rPr>
      </w:pPr>
      <w:r>
        <w:rPr>
          <w:rFonts w:ascii="Times New Roman" w:cs="Times New Roman" w:eastAsia="Times New Roman" w:hAnsi="Times New Roman"/>
          <w:sz w:val="18"/>
          <w:szCs w:val="18"/>
          <w:color w:val="auto"/>
        </w:rPr>
        <w:t>Penn has received a private letter ruling from the IRS with respect to certain issues relevant to our qualification as a REIT. In general, the ruling provides, subject to the terms and conditions contained therein, that (1) certain of the assets to be held by us after the Spin-Off and (2) the methodology for calculating a certain portion of rent received by us pursuant to the Penn Master Lease will not adversely affect our qualification as a REIT. No assurance can be given that the IRS will not challenge our qualification as a REIT on the basis of other issues or facts outside the scope of the ruling.</w:t>
      </w:r>
    </w:p>
    <w:p>
      <w:pPr>
        <w:spacing w:after="0" w:line="101" w:lineRule="exact"/>
        <w:rPr>
          <w:sz w:val="20"/>
          <w:szCs w:val="20"/>
          <w:color w:val="auto"/>
        </w:rPr>
      </w:pPr>
    </w:p>
    <w:p>
      <w:pPr>
        <w:ind w:right="120" w:firstLine="647"/>
        <w:spacing w:after="0" w:line="256" w:lineRule="auto"/>
        <w:rPr>
          <w:sz w:val="20"/>
          <w:szCs w:val="20"/>
          <w:color w:val="auto"/>
        </w:rPr>
      </w:pPr>
      <w:r>
        <w:rPr>
          <w:rFonts w:ascii="Times New Roman" w:cs="Times New Roman" w:eastAsia="Times New Roman" w:hAnsi="Times New Roman"/>
          <w:sz w:val="18"/>
          <w:szCs w:val="18"/>
          <w:color w:val="auto"/>
        </w:rPr>
        <w:t>If we were to fail to qualify to be taxed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to be taxed as a REIT.</w:t>
      </w:r>
    </w:p>
    <w:p>
      <w:pPr>
        <w:spacing w:after="0" w:line="11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Qualifying as a REIT involves highly technical and complex provisions of the Code and violations of these provisions could jeopardize our REIT qualifications.</w:t>
      </w:r>
    </w:p>
    <w:p>
      <w:pPr>
        <w:spacing w:after="0" w:line="91" w:lineRule="exact"/>
        <w:rPr>
          <w:sz w:val="20"/>
          <w:szCs w:val="20"/>
          <w:color w:val="auto"/>
        </w:rPr>
      </w:pPr>
    </w:p>
    <w:p>
      <w:pPr>
        <w:ind w:right="100" w:firstLine="647"/>
        <w:spacing w:after="0" w:line="258" w:lineRule="auto"/>
        <w:rPr>
          <w:sz w:val="20"/>
          <w:szCs w:val="20"/>
          <w:color w:val="auto"/>
        </w:rPr>
      </w:pPr>
      <w:r>
        <w:rPr>
          <w:rFonts w:ascii="Times New Roman" w:cs="Times New Roman" w:eastAsia="Times New Roman" w:hAnsi="Times New Roman"/>
          <w:sz w:val="18"/>
          <w:szCs w:val="18"/>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shareholder ownership and other requirements on a continuing basis. In addition, our ability to satisfy the requirements to qualify to be taxed as a REIT may depend in part on the actions of third parties over which we have no control or only limited influence.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fail to qualify to be taxed as a REIT if income we receive from Penn, Caesars, Boyd, or their subsidiaries, is not treated as qualifying income.</w:t>
      </w:r>
    </w:p>
    <w:p>
      <w:pPr>
        <w:spacing w:after="0" w:line="161" w:lineRule="exact"/>
        <w:rPr>
          <w:sz w:val="20"/>
          <w:szCs w:val="20"/>
          <w:color w:val="auto"/>
        </w:rPr>
      </w:pPr>
    </w:p>
    <w:p>
      <w:pPr>
        <w:ind w:firstLine="647"/>
        <w:spacing w:after="0" w:line="254" w:lineRule="auto"/>
        <w:rPr>
          <w:sz w:val="20"/>
          <w:szCs w:val="20"/>
          <w:color w:val="auto"/>
        </w:rPr>
      </w:pPr>
      <w:r>
        <w:rPr>
          <w:rFonts w:ascii="Times New Roman" w:cs="Times New Roman" w:eastAsia="Times New Roman" w:hAnsi="Times New Roman"/>
          <w:sz w:val="18"/>
          <w:szCs w:val="18"/>
          <w:color w:val="auto"/>
        </w:rPr>
        <w:t>Under applicable provisions of the Code, we will not be treated as a REIT unless we satisfy various requirements, including requirements relating to the sources of our gross income. Rents received or accrued by us from Penn, Caesars, Boyd, or their subsidiaries, will not be treated as qualifying rent for purposes of these requirements if the Penn Master Lease, Amended Pinnacle Master Lease, Amended and Restated Caesars Master Lease or Boyd Master Lease is not respected as a true lease for U.S. federal income tax purposes and is instead treated as a service contract, joint venture or some other type of arrangement. If the Penn Master Lease, Amended Pinnacle Master Lease, Amended and Restated Caesars Master Lease or Boyd Master Lease is not respected as a true lease for U.S. federal income tax purposes, we may fail to qualify to be taxed as a REIT. Furthermore,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firstLine="647"/>
        <w:spacing w:after="0" w:line="254" w:lineRule="auto"/>
        <w:rPr>
          <w:sz w:val="20"/>
          <w:szCs w:val="20"/>
          <w:color w:val="auto"/>
        </w:rPr>
      </w:pPr>
      <w:r>
        <w:rPr>
          <w:rFonts w:ascii="Times New Roman" w:cs="Times New Roman" w:eastAsia="Times New Roman" w:hAnsi="Times New Roman"/>
          <w:sz w:val="18"/>
          <w:szCs w:val="18"/>
          <w:color w:val="auto"/>
        </w:rPr>
        <w:t>In addition, subject to certain exceptions, rents received or accrued by us from Penn, Caesars, Boyd, or their subsidiaries, will not be treated as qualifying rent for purposes of these requirements if we or an actual or constructive owner of 10% or more of our stock actually or constructively owns 10% or more of the total combined voting power of all classes of Penn stock, Caesars stock or Boyd stock entitled to vote or 10% or more of the total value of all classes of Penn stock, Caesars stock or Boyd stock. Our charter provides for restrictions on ownership and transfer of our shares of stock, including restrictions on such ownership or transfer that would cause the rents received or accrued by us from Penn, Caesars, Boyd, or their subsidiaries, to be treated as non-qualifying rent for purposes of the REIT gross income requirements. Nevertheless, there can be no assurance that such restrictions will be effective in ensuring that rents received or accrued by us from Penn, Caesars, Boyd, or their subsidiaries, will not be treated as qualifying rent for purposes of REIT qualification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REITs do not qualify for the reduced tax rates available for some dividends.</w:t>
      </w:r>
    </w:p>
    <w:p>
      <w:pPr>
        <w:spacing w:after="0" w:line="161" w:lineRule="exact"/>
        <w:rPr>
          <w:sz w:val="20"/>
          <w:szCs w:val="20"/>
          <w:color w:val="auto"/>
        </w:rPr>
      </w:pPr>
    </w:p>
    <w:p>
      <w:pPr>
        <w:ind w:firstLine="647"/>
        <w:spacing w:after="0" w:line="256" w:lineRule="auto"/>
        <w:rPr>
          <w:sz w:val="20"/>
          <w:szCs w:val="20"/>
          <w:color w:val="auto"/>
        </w:rPr>
      </w:pPr>
      <w:r>
        <w:rPr>
          <w:rFonts w:ascii="Times New Roman" w:cs="Times New Roman" w:eastAsia="Times New Roman" w:hAnsi="Times New Roman"/>
          <w:sz w:val="18"/>
          <w:szCs w:val="18"/>
          <w:color w:val="auto"/>
        </w:rPr>
        <w:t>The maximum U.S. federal income tax rate applicable to income from "qualified dividends" payable by U.S. corporations to U.S. shareholders that are individuals, trusts and estates is currently 20%. Ordinary dividends payable by REITs, however, generally are not eligible for the reduced rates. However, for taxable years that begin after December 31, 2017, and before January 1, 2026: (i) the U.S. federal income tax brackets generally applicable to ordinary income of individuals, trusts and estates have been modified (with the rates generally reduced) and (ii) shareholders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spacing w:after="0" w:line="118" w:lineRule="exact"/>
        <w:rPr>
          <w:sz w:val="20"/>
          <w:szCs w:val="20"/>
          <w:color w:val="auto"/>
        </w:rPr>
      </w:pPr>
    </w:p>
    <w:p>
      <w:pPr>
        <w:ind w:right="40" w:firstLine="647"/>
        <w:spacing w:after="0" w:line="260" w:lineRule="auto"/>
        <w:rPr>
          <w:sz w:val="20"/>
          <w:szCs w:val="20"/>
          <w:color w:val="auto"/>
        </w:rPr>
      </w:pPr>
      <w:r>
        <w:rPr>
          <w:rFonts w:ascii="Times New Roman" w:cs="Times New Roman" w:eastAsia="Times New Roman" w:hAnsi="Times New Roman"/>
          <w:sz w:val="18"/>
          <w:szCs w:val="18"/>
          <w:color w:val="auto"/>
        </w:rPr>
        <w:t>The more favorable rates applicable to regular corporate qualified dividends could cause investors who are individuals, trusts or estates to perceive investments in REITs to be relatively less attractive than investments in the stocks of non-REIT corporations that pay dividends, which could adversely affect the value of the stock of REITs, including our stock, even taking into account the lower 37% maximum rate for ordinary income and the 20% deduction for ordinary REIT dividends received in taxable years beginning after December 31, 2017 and before January 1, 2026.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REIT distribution requirements could adversely affect our ability to execute our business plan.</w:t>
      </w:r>
    </w:p>
    <w:p>
      <w:pPr>
        <w:spacing w:after="0" w:line="161" w:lineRule="exact"/>
        <w:rPr>
          <w:sz w:val="20"/>
          <w:szCs w:val="20"/>
          <w:color w:val="auto"/>
        </w:rPr>
      </w:pPr>
    </w:p>
    <w:p>
      <w:pPr>
        <w:ind w:right="140" w:firstLine="647"/>
        <w:spacing w:after="0" w:line="255" w:lineRule="auto"/>
        <w:rPr>
          <w:sz w:val="20"/>
          <w:szCs w:val="20"/>
          <w:color w:val="auto"/>
        </w:rPr>
      </w:pPr>
      <w:r>
        <w:rPr>
          <w:rFonts w:ascii="Times New Roman" w:cs="Times New Roman" w:eastAsia="Times New Roman" w:hAnsi="Times New Roman"/>
          <w:sz w:val="18"/>
          <w:szCs w:val="18"/>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19" w:lineRule="exact"/>
        <w:rPr>
          <w:sz w:val="20"/>
          <w:szCs w:val="20"/>
          <w:color w:val="auto"/>
        </w:rPr>
      </w:pPr>
    </w:p>
    <w:p>
      <w:pPr>
        <w:ind w:right="100" w:firstLine="647"/>
        <w:spacing w:after="0" w:line="252" w:lineRule="auto"/>
        <w:rPr>
          <w:sz w:val="20"/>
          <w:szCs w:val="20"/>
          <w:color w:val="auto"/>
        </w:rPr>
      </w:pPr>
      <w:r>
        <w:rPr>
          <w:rFonts w:ascii="Times New Roman" w:cs="Times New Roman" w:eastAsia="Times New Roman" w:hAnsi="Times New Roman"/>
          <w:sz w:val="18"/>
          <w:szCs w:val="18"/>
          <w:color w:val="auto"/>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distribute amounts that would otherwise be invested in future acquisitions, or pay dividends in the form of taxable in-kind distributions of property, including potentially, shares of our common stock,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stock. Restrictions on our indebtedness, including restrictions on our ability to incur additional indebtedness or make certain distributions, could preclude us from meeting the 90% distribution requirement. Decreases in funds from operations due to unfinanced expenditures for acquisitions of properties or increases in the number of shares of our common stock outstanding without commensurate increases in funds from operations each would adversely affect our ability to maintain distributions to our shareholders. Moreover, the failure of Penn to make rental payments under the Penn Master Lease, the Amended Pinnacle Master Lease or the Meadows Lease, as applicable, would materially impair our ability to make distributions. Consequently, there can be no assurance that we will be able to make distributions at the anticipated distribution rate or any other rate.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remain qualified as a REIT, we may face other tax liabilities that reduce our cash flow.</w:t>
      </w:r>
    </w:p>
    <w:p>
      <w:pPr>
        <w:spacing w:after="0" w:line="161" w:lineRule="exact"/>
        <w:rPr>
          <w:sz w:val="20"/>
          <w:szCs w:val="20"/>
          <w:color w:val="auto"/>
        </w:rPr>
      </w:pPr>
    </w:p>
    <w:p>
      <w:pPr>
        <w:ind w:right="140" w:firstLine="647"/>
        <w:spacing w:after="0" w:line="265" w:lineRule="auto"/>
        <w:rPr>
          <w:sz w:val="20"/>
          <w:szCs w:val="20"/>
          <w:color w:val="auto"/>
        </w:rPr>
      </w:pPr>
      <w:r>
        <w:rPr>
          <w:rFonts w:ascii="Times New Roman" w:cs="Times New Roman" w:eastAsia="Times New Roman" w:hAnsi="Times New Roman"/>
          <w:sz w:val="18"/>
          <w:szCs w:val="18"/>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certain of our assets and conduct related activities through TRS subsidiary corporations that are subject to</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federal, state, and local corporate-level income taxes as regular C corporations as well as state and local gaming taxes. In addition, we may incur a 100% excise tax on transactions with a TRS if they are not conducted on an arm's-length basis. Any of these taxes would decrease cash available for distribution to our shareholders.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forego otherwise attractive acquisition opportunities or liquidate otherwise attractive investments.</w:t>
      </w:r>
    </w:p>
    <w:p>
      <w:pPr>
        <w:spacing w:after="0" w:line="161" w:lineRule="exact"/>
        <w:rPr>
          <w:sz w:val="20"/>
          <w:szCs w:val="20"/>
          <w:color w:val="auto"/>
        </w:rPr>
      </w:pPr>
    </w:p>
    <w:p>
      <w:pPr>
        <w:ind w:right="60" w:firstLine="647"/>
        <w:spacing w:after="0" w:line="253" w:lineRule="auto"/>
        <w:rPr>
          <w:sz w:val="20"/>
          <w:szCs w:val="20"/>
          <w:color w:val="auto"/>
        </w:rPr>
      </w:pPr>
      <w:r>
        <w:rPr>
          <w:rFonts w:ascii="Times New Roman" w:cs="Times New Roman" w:eastAsia="Times New Roman" w:hAnsi="Times New Roman"/>
          <w:sz w:val="18"/>
          <w:szCs w:val="18"/>
          <w:color w:val="auto"/>
        </w:rPr>
        <w:t>To qualify to be taxed as a REIT for U.S. federal income tax purposes, we must ensure that, at the end of each calendar quarter, at least 75% of the value of our assets consist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124" w:lineRule="exact"/>
        <w:rPr>
          <w:sz w:val="20"/>
          <w:szCs w:val="20"/>
          <w:color w:val="auto"/>
        </w:rPr>
      </w:pPr>
    </w:p>
    <w:p>
      <w:pPr>
        <w:ind w:right="40" w:firstLine="647"/>
        <w:spacing w:after="0" w:line="260" w:lineRule="auto"/>
        <w:rPr>
          <w:sz w:val="20"/>
          <w:szCs w:val="20"/>
          <w:color w:val="auto"/>
        </w:rPr>
      </w:pPr>
      <w:r>
        <w:rPr>
          <w:rFonts w:ascii="Times New Roman" w:cs="Times New Roman" w:eastAsia="Times New Roman" w:hAnsi="Times New Roman"/>
          <w:sz w:val="18"/>
          <w:szCs w:val="18"/>
          <w:color w:val="auto"/>
        </w:rPr>
        <w:t>In addition to the asset tests set forth above, to qualify to be taxed as a REIT we must continually satisfy tests concerning, among other things, the sources of our income, the amounts we distribute to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effectively and may cause us to incur tax liabilities.</w:t>
      </w:r>
    </w:p>
    <w:p>
      <w:pPr>
        <w:spacing w:after="0" w:line="161" w:lineRule="exact"/>
        <w:rPr>
          <w:sz w:val="20"/>
          <w:szCs w:val="20"/>
          <w:color w:val="auto"/>
        </w:rPr>
      </w:pPr>
    </w:p>
    <w:p>
      <w:pPr>
        <w:ind w:firstLine="647"/>
        <w:spacing w:after="0" w:line="253" w:lineRule="auto"/>
        <w:rPr>
          <w:sz w:val="20"/>
          <w:szCs w:val="20"/>
          <w:color w:val="auto"/>
        </w:rPr>
      </w:pPr>
      <w:r>
        <w:rPr>
          <w:rFonts w:ascii="Times New Roman" w:cs="Times New Roman" w:eastAsia="Times New Roman" w:hAnsi="Times New Roman"/>
          <w:sz w:val="18"/>
          <w:szCs w:val="18"/>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that we would otherwise want to bear. In addition, losses in the TRS will generally not provide any tax benefit, except that such losses could theoretically be carried back or forward against past or future taxable income in the TRS.</w:t>
      </w:r>
    </w:p>
    <w:p>
      <w:pPr>
        <w:spacing w:after="0" w:line="12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tax on any unrealized net built-in gains on the assets acquired from Pinnacle (prior to the Penn-Pinnacle Merger), which could have a material and adverse effect on our business and financial condition.</w:t>
      </w:r>
    </w:p>
    <w:p>
      <w:pPr>
        <w:spacing w:after="0" w:line="77" w:lineRule="exact"/>
        <w:rPr>
          <w:sz w:val="20"/>
          <w:szCs w:val="20"/>
          <w:color w:val="auto"/>
        </w:rPr>
      </w:pPr>
    </w:p>
    <w:p>
      <w:pPr>
        <w:ind w:right="60" w:firstLine="647"/>
        <w:spacing w:after="0" w:line="254" w:lineRule="auto"/>
        <w:rPr>
          <w:sz w:val="20"/>
          <w:szCs w:val="20"/>
          <w:color w:val="auto"/>
        </w:rPr>
      </w:pPr>
      <w:r>
        <w:rPr>
          <w:rFonts w:ascii="Times New Roman" w:cs="Times New Roman" w:eastAsia="Times New Roman" w:hAnsi="Times New Roman"/>
          <w:sz w:val="18"/>
          <w:szCs w:val="18"/>
          <w:color w:val="auto"/>
        </w:rPr>
        <w:t>We own appreciated assets that were held by a C corporation before we acquired them in a transaction in which the adjusted tax basis of the assets in our ownership is determined by reference to the adjusted tax basis of the assets in the hands of the C corporation. If we dispose of any such appreciated assets during the five-year period following our acquisition of the assets from the C corporation, we will be subject to tax at the highest corporate tax rates on any gain from such assets to the extent of the excess of the fair market value of the assets on the date that they were acquired by us over the adjusted tax basis of such assets on such date, which are referred to as built-in gains. The assets acquired from Pinnacle (prior to the Penn-Pinnacle Merger) are expected to have significant built-in-gains. Because, prior to the original Pinnacle transaction, Pinnacle was a C corporation, if we dispose of any such appreciated assets during the five-year period following the transactions, we will be subject to tax at the highest corporate tax rates on any gain from such assets to the extent of the built-in-gain in such assets at the time of the transaction.</w:t>
      </w:r>
    </w:p>
    <w:p>
      <w:pPr>
        <w:spacing w:after="0" w:line="122" w:lineRule="exact"/>
        <w:rPr>
          <w:sz w:val="20"/>
          <w:szCs w:val="20"/>
          <w:color w:val="auto"/>
        </w:rPr>
      </w:pPr>
    </w:p>
    <w:p>
      <w:pPr>
        <w:ind w:right="120" w:firstLine="647"/>
        <w:spacing w:after="0" w:line="258" w:lineRule="auto"/>
        <w:rPr>
          <w:sz w:val="20"/>
          <w:szCs w:val="20"/>
          <w:color w:val="auto"/>
        </w:rPr>
      </w:pPr>
      <w:r>
        <w:rPr>
          <w:rFonts w:ascii="Times New Roman" w:cs="Times New Roman" w:eastAsia="Times New Roman" w:hAnsi="Times New Roman"/>
          <w:sz w:val="18"/>
          <w:szCs w:val="18"/>
          <w:color w:val="auto"/>
        </w:rPr>
        <w:t>We would be subject to this tax liability even if we continue to qualify and maintain our status as a REIT. Any recognized built-in gain will retain our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five-year period in which the built-in gain tax applies in order to avoid the built-in gain tax. However, there can be no assurances that such a taxable transaction will not occur. If we sell such assets in a taxable transaction, the amount of corporate tax that we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will pay will vary depending on the actual amount of net built-in gain or loss present in those assets as of the time we became a REIT. The amount of tax could be significant.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future capital needs and may not be able to obtain additional financing on acceptable terms.</w:t>
      </w:r>
    </w:p>
    <w:p>
      <w:pPr>
        <w:spacing w:after="0" w:line="161" w:lineRule="exact"/>
        <w:rPr>
          <w:sz w:val="20"/>
          <w:szCs w:val="20"/>
          <w:color w:val="auto"/>
        </w:rPr>
      </w:pPr>
    </w:p>
    <w:p>
      <w:pPr>
        <w:ind w:right="180" w:firstLine="647"/>
        <w:spacing w:after="0" w:line="281" w:lineRule="auto"/>
        <w:rPr>
          <w:sz w:val="20"/>
          <w:szCs w:val="20"/>
          <w:color w:val="auto"/>
        </w:rPr>
      </w:pPr>
      <w:r>
        <w:rPr>
          <w:rFonts w:ascii="Times New Roman" w:cs="Times New Roman" w:eastAsia="Times New Roman" w:hAnsi="Times New Roman"/>
          <w:sz w:val="18"/>
          <w:szCs w:val="18"/>
          <w:color w:val="auto"/>
        </w:rPr>
        <w:t>As of December 31, 2020, we had approximately $5.8 billion in long-term indebtedness, net of unamortized debt issuance costs, bond premiums and original issuance discounts, consisting of:</w:t>
      </w:r>
    </w:p>
    <w:p>
      <w:pPr>
        <w:spacing w:after="0" w:line="82" w:lineRule="exact"/>
        <w:rPr>
          <w:sz w:val="20"/>
          <w:szCs w:val="20"/>
          <w:color w:val="auto"/>
        </w:rPr>
      </w:pPr>
    </w:p>
    <w:p>
      <w:pPr>
        <w:ind w:left="1300" w:hanging="321"/>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$424.0 million of total indebtedness outstanding under our senior unsecured credit facility (the "Credit Facility");</w:t>
      </w:r>
    </w:p>
    <w:p>
      <w:pPr>
        <w:spacing w:after="0" w:line="251"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$5,375.0 million of outstanding senior unsecured notes; and</w:t>
      </w:r>
    </w:p>
    <w:p>
      <w:pPr>
        <w:spacing w:after="0" w:line="251"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$0.9 million of finance lease liabilities related to certain assets.</w:t>
      </w:r>
    </w:p>
    <w:p>
      <w:pPr>
        <w:spacing w:after="0" w:line="157" w:lineRule="exact"/>
        <w:rPr>
          <w:sz w:val="20"/>
          <w:szCs w:val="20"/>
          <w:color w:val="auto"/>
        </w:rPr>
      </w:pPr>
    </w:p>
    <w:p>
      <w:pPr>
        <w:ind w:right="20" w:firstLine="647"/>
        <w:spacing w:after="0" w:line="254" w:lineRule="auto"/>
        <w:rPr>
          <w:sz w:val="20"/>
          <w:szCs w:val="20"/>
          <w:color w:val="auto"/>
        </w:rPr>
      </w:pPr>
      <w:r>
        <w:rPr>
          <w:rFonts w:ascii="Times New Roman" w:cs="Times New Roman" w:eastAsia="Times New Roman" w:hAnsi="Times New Roman"/>
          <w:sz w:val="18"/>
          <w:szCs w:val="18"/>
          <w:color w:val="auto"/>
        </w:rPr>
        <w:t>We may incur additional indebtedness in the future to refinance our existing indebtedness or to finance newly-acquired properties.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may also limit our ability to adjust rapidly to changing market conditions, make us more vulnerable to general adverse economic and industry conditions and create competitive disadvantages for us compared to other companies with relatively lower debt levels and/or borrowing costs. Increased future debt service obligations may limit our operational flexibility, including our ability to acquire properties, finance or refinance our properties, contribute properties to joint ventures or sell properties as needed. If we incur additional indebtedness or such other obligations, the risks associated with our leverage, including our possible inability to service our debt, may increase.</w:t>
      </w:r>
    </w:p>
    <w:p>
      <w:pPr>
        <w:spacing w:after="0" w:line="122" w:lineRule="exact"/>
        <w:rPr>
          <w:sz w:val="20"/>
          <w:szCs w:val="20"/>
          <w:color w:val="auto"/>
        </w:rPr>
      </w:pPr>
    </w:p>
    <w:p>
      <w:pPr>
        <w:ind w:right="60" w:firstLine="647"/>
        <w:spacing w:after="0" w:line="260" w:lineRule="auto"/>
        <w:rPr>
          <w:sz w:val="20"/>
          <w:szCs w:val="20"/>
          <w:color w:val="auto"/>
        </w:rPr>
      </w:pPr>
      <w:r>
        <w:rPr>
          <w:rFonts w:ascii="Times New Roman" w:cs="Times New Roman" w:eastAsia="Times New Roman" w:hAnsi="Times New Roman"/>
          <w:sz w:val="18"/>
          <w:szCs w:val="18"/>
          <w:color w:val="auto"/>
        </w:rPr>
        <w:t>We may be unable to obtain additional financing or financing on favorable terms or our operating cash flow may be insufficient to satisfy our financial obligations under indebtedness outstanding from time to time (if any). If financing is not available when needed, or is available on unfavorable terms, we may be unable to develop new or enhance our existing properties, complete acquisitions or otherwise take advantage of business opportunities or respond to competitive pressures, any of which could have a material adverse effect on our business, financial condition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material amount of indebtedness which could have significant effects on our business including the following:</w:t>
      </w:r>
    </w:p>
    <w:p>
      <w:pPr>
        <w:spacing w:after="0" w:line="229" w:lineRule="exact"/>
        <w:rPr>
          <w:sz w:val="20"/>
          <w:szCs w:val="20"/>
          <w:color w:val="auto"/>
        </w:rPr>
      </w:pPr>
    </w:p>
    <w:p>
      <w:pPr>
        <w:ind w:left="1300" w:right="240" w:hanging="321"/>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ability to obtain additional debt or equity financing for working capital, capital expenditures, acquisitions, debt service requirements and general corporate or other purposes;</w:t>
      </w:r>
    </w:p>
    <w:p>
      <w:pPr>
        <w:spacing w:after="0" w:line="189" w:lineRule="exact"/>
        <w:rPr>
          <w:rFonts w:ascii="Times New Roman" w:cs="Times New Roman" w:eastAsia="Times New Roman" w:hAnsi="Times New Roman"/>
          <w:sz w:val="18"/>
          <w:szCs w:val="18"/>
          <w:color w:val="auto"/>
        </w:rPr>
      </w:pPr>
    </w:p>
    <w:p>
      <w:pPr>
        <w:ind w:left="1300" w:right="20" w:hanging="321"/>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portion of our cash flows will be dedicated to the payment of principal and interest on our indebtedness, including indebtedness we may incur in the future, and will not be available for other purposes, including to make acquisitions;</w:t>
      </w:r>
    </w:p>
    <w:p>
      <w:pPr>
        <w:spacing w:after="0" w:line="189" w:lineRule="exact"/>
        <w:rPr>
          <w:rFonts w:ascii="Times New Roman" w:cs="Times New Roman" w:eastAsia="Times New Roman" w:hAnsi="Times New Roman"/>
          <w:sz w:val="18"/>
          <w:szCs w:val="18"/>
          <w:color w:val="auto"/>
        </w:rPr>
      </w:pPr>
    </w:p>
    <w:p>
      <w:pPr>
        <w:ind w:left="1300" w:right="100" w:hanging="321"/>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limit our flexibility in planning for, or reacting to, changes in our business and the industry in which we operate and place us at a competitive disadvantage compared to our competitors that have less debt or are less leveraged;</w:t>
      </w:r>
    </w:p>
    <w:p>
      <w:pPr>
        <w:spacing w:after="0" w:line="189" w:lineRule="exact"/>
        <w:rPr>
          <w:rFonts w:ascii="Times New Roman" w:cs="Times New Roman" w:eastAsia="Times New Roman" w:hAnsi="Times New Roman"/>
          <w:sz w:val="18"/>
          <w:szCs w:val="18"/>
          <w:color w:val="auto"/>
        </w:rPr>
      </w:pPr>
    </w:p>
    <w:p>
      <w:pPr>
        <w:ind w:left="1300" w:right="40" w:hanging="321"/>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make us more vulnerable to downturns in general economic or industry conditions or in our business, or prevent us from carrying out activities that are important to our growth;</w:t>
      </w:r>
    </w:p>
    <w:p>
      <w:pPr>
        <w:spacing w:after="0" w:line="189" w:lineRule="exact"/>
        <w:rPr>
          <w:rFonts w:ascii="Times New Roman" w:cs="Times New Roman" w:eastAsia="Times New Roman" w:hAnsi="Times New Roman"/>
          <w:sz w:val="18"/>
          <w:szCs w:val="18"/>
          <w:color w:val="auto"/>
        </w:rPr>
      </w:pPr>
    </w:p>
    <w:p>
      <w:pPr>
        <w:ind w:left="1300" w:right="100" w:hanging="321"/>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increase our interest expense if interest rates in general increase because our indebtedness under the Credit Facility bears interest at floating rates;</w:t>
      </w:r>
    </w:p>
    <w:p>
      <w:pPr>
        <w:spacing w:after="0" w:line="189"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limit our ability to take advantage of strategic business opportunities;</w:t>
      </w:r>
    </w:p>
    <w:p>
      <w:pPr>
        <w:spacing w:after="0" w:line="251" w:lineRule="exact"/>
        <w:rPr>
          <w:rFonts w:ascii="Times New Roman" w:cs="Times New Roman" w:eastAsia="Times New Roman" w:hAnsi="Times New Roman"/>
          <w:sz w:val="18"/>
          <w:szCs w:val="18"/>
          <w:color w:val="auto"/>
        </w:rPr>
      </w:pPr>
    </w:p>
    <w:p>
      <w:pPr>
        <w:ind w:left="1300" w:hanging="321"/>
        <w:spacing w:after="0" w:line="265"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make it more difficult for us to satisfy our obligations with respect to our indebtedness. Any failure to comply with the obligations of any of our debt instruments could result in an event of default which, if not cured or waived, could result in the acceleration of our indebtedness under the Credit Facility and other outstanding debt obligations; and</w:t>
      </w:r>
    </w:p>
    <w:p>
      <w:pPr>
        <w:spacing w:after="0" w:line="204"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impact our ability to pay dividends to our shareholders.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firstLine="647"/>
        <w:spacing w:after="0" w:line="271" w:lineRule="auto"/>
        <w:rPr>
          <w:sz w:val="20"/>
          <w:szCs w:val="20"/>
          <w:color w:val="auto"/>
        </w:rPr>
      </w:pPr>
      <w:r>
        <w:rPr>
          <w:rFonts w:ascii="Times New Roman" w:cs="Times New Roman" w:eastAsia="Times New Roman" w:hAnsi="Times New Roman"/>
          <w:sz w:val="17"/>
          <w:szCs w:val="17"/>
          <w:color w:val="auto"/>
        </w:rPr>
        <w:t>We cannot assure you that our business will generate sufficient cash flow from operations, or that future borrowings will be available to us under our Credit Facility or from other debt financing, in an amount sufficient to enable us to pay our indebtedness or to fund our other liquidity needs. If we do not generate sufficient cash flow from operations to satisfy our debt service obligations,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will depend on the capital markets and our financial condition at such time. Any refinancing of our indebtedness could be at higher interest rates and may require us to comply with more onerous covenants, which could further restrict our business operations. Our inability to generate sufficient cash flow to satisfy our debt service requirements or to refinance our obligations on commercially reasonable terms may have an adverse effect, which could be material to our business, financial position or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may be subject to significant dilution caused by the additional issuance of equity securities.</w:t>
      </w:r>
    </w:p>
    <w:p>
      <w:pPr>
        <w:spacing w:after="0" w:line="148" w:lineRule="exact"/>
        <w:rPr>
          <w:sz w:val="20"/>
          <w:szCs w:val="20"/>
          <w:color w:val="auto"/>
        </w:rPr>
      </w:pPr>
    </w:p>
    <w:p>
      <w:pPr>
        <w:ind w:right="20" w:firstLine="647"/>
        <w:spacing w:after="0" w:line="258" w:lineRule="auto"/>
        <w:rPr>
          <w:sz w:val="20"/>
          <w:szCs w:val="20"/>
          <w:color w:val="auto"/>
        </w:rPr>
      </w:pPr>
      <w:r>
        <w:rPr>
          <w:rFonts w:ascii="Times New Roman" w:cs="Times New Roman" w:eastAsia="Times New Roman" w:hAnsi="Times New Roman"/>
          <w:sz w:val="18"/>
          <w:szCs w:val="18"/>
          <w:color w:val="auto"/>
        </w:rPr>
        <w:t>If and when additional funds are raised through the issuance of equity securities, including under our "at the market" offering program relating to our common stock (the "ATM Program") or in connection with future acquisitions, our shareholders may experience significant dilution. Additionally, sales of substantial amounts of our common stock in the public market, or the perception that such sales could occur, could adversely affect the market price of our common stock, make it more difficult for our shareholders to sell their GLPI common stock at a time and price that they deem appropriate and impair our future ability to raise capital through an offering of our equity securities.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our credit rating may affect our borrowing capacity and borrowing terms.</w:t>
      </w:r>
    </w:p>
    <w:p>
      <w:pPr>
        <w:spacing w:after="0" w:line="161" w:lineRule="exact"/>
        <w:rPr>
          <w:sz w:val="20"/>
          <w:szCs w:val="20"/>
          <w:color w:val="auto"/>
        </w:rPr>
      </w:pPr>
    </w:p>
    <w:p>
      <w:pPr>
        <w:ind w:right="40" w:firstLine="647"/>
        <w:spacing w:after="0" w:line="258" w:lineRule="auto"/>
        <w:rPr>
          <w:sz w:val="20"/>
          <w:szCs w:val="20"/>
          <w:color w:val="auto"/>
        </w:rPr>
      </w:pPr>
      <w:r>
        <w:rPr>
          <w:rFonts w:ascii="Times New Roman" w:cs="Times New Roman" w:eastAsia="Times New Roman" w:hAnsi="Times New Roman"/>
          <w:sz w:val="18"/>
          <w:szCs w:val="18"/>
          <w:color w:val="auto"/>
        </w:rPr>
        <w:t>Our outstanding debt is periodically rated by nationally recognized credit rating agencies. The credit ratings are based upon our operating performance, liquidity and leverage ratios, overall financial position,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may have a negative effect on our future growth.</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obtain additional capital, our growth may be limited.</w:t>
      </w:r>
    </w:p>
    <w:p>
      <w:pPr>
        <w:spacing w:after="0" w:line="161" w:lineRule="exact"/>
        <w:rPr>
          <w:sz w:val="20"/>
          <w:szCs w:val="20"/>
          <w:color w:val="auto"/>
        </w:rPr>
      </w:pPr>
    </w:p>
    <w:p>
      <w:pPr>
        <w:ind w:firstLine="647"/>
        <w:spacing w:after="0" w:line="256" w:lineRule="auto"/>
        <w:rPr>
          <w:sz w:val="20"/>
          <w:szCs w:val="20"/>
          <w:color w:val="auto"/>
        </w:rPr>
      </w:pPr>
      <w:r>
        <w:rPr>
          <w:rFonts w:ascii="Times New Roman" w:cs="Times New Roman" w:eastAsia="Times New Roman" w:hAnsi="Times New Roman"/>
          <w:sz w:val="18"/>
          <w:szCs w:val="18"/>
          <w:color w:val="auto"/>
        </w:rPr>
        <w:t>As described above, in order to qualify and maintain our qualification as a REIT each year, we are required to distribute at least 90% of our REIT taxable income, excluding net capital gains, to our shareholders. As a result, our retained earnings available to fund acquisitions, development, or other capital expenditures are nominal, and we rely upon the availability of additional debt or equity capital to fund these activities. Our long-term ability to grow through acquisitions or development, which is an important component of our strategy, may be limited if we cannot obtain additional debt financing or raise equity capital. Market conditions may make it difficult to obtain debt financing or raise equity capital, and we cannot assure you that we will be able to obtain additional debt or equity financing or that we will be able to obtain such capital on favorable terms.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increase our interest costs on existing and future debt and could adversely affect our stock price.</w:t>
      </w:r>
    </w:p>
    <w:p>
      <w:pPr>
        <w:spacing w:after="0" w:line="148" w:lineRule="exact"/>
        <w:rPr>
          <w:sz w:val="20"/>
          <w:szCs w:val="20"/>
          <w:color w:val="auto"/>
        </w:rPr>
      </w:pPr>
    </w:p>
    <w:p>
      <w:pPr>
        <w:ind w:right="100" w:firstLine="647"/>
        <w:spacing w:after="0" w:line="258" w:lineRule="auto"/>
        <w:rPr>
          <w:sz w:val="20"/>
          <w:szCs w:val="20"/>
          <w:color w:val="auto"/>
        </w:rPr>
      </w:pPr>
      <w:r>
        <w:rPr>
          <w:rFonts w:ascii="Times New Roman" w:cs="Times New Roman" w:eastAsia="Times New Roman" w:hAnsi="Times New Roman"/>
          <w:sz w:val="18"/>
          <w:szCs w:val="18"/>
          <w:color w:val="auto"/>
        </w:rPr>
        <w:t>If interest rates increase, so could our interest costs for any new debt and our variable rate debt obligations.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w:t>
      </w:r>
    </w:p>
    <w:p>
      <w:pPr>
        <w:spacing w:after="0" w:line="115" w:lineRule="exact"/>
        <w:rPr>
          <w:sz w:val="20"/>
          <w:szCs w:val="20"/>
          <w:color w:val="auto"/>
        </w:rPr>
      </w:pPr>
    </w:p>
    <w:p>
      <w:pPr>
        <w:ind w:right="320" w:firstLine="647"/>
        <w:spacing w:after="0" w:line="265" w:lineRule="auto"/>
        <w:rPr>
          <w:sz w:val="20"/>
          <w:szCs w:val="20"/>
          <w:color w:val="auto"/>
        </w:rPr>
      </w:pPr>
      <w:r>
        <w:rPr>
          <w:rFonts w:ascii="Times New Roman" w:cs="Times New Roman" w:eastAsia="Times New Roman" w:hAnsi="Times New Roman"/>
          <w:sz w:val="18"/>
          <w:szCs w:val="18"/>
          <w:color w:val="auto"/>
        </w:rPr>
        <w:t>Further, the dividend yield on our common stock, as a percentage of the price of such common stock, may influence the price of such common stock. Thus, an increase in market interest rates may lead prospective purchasers of our common stock to expect a higher dividend yield, which may adversely affect the market price of our common stock.</w:t>
      </w:r>
    </w:p>
    <w:p>
      <w:pPr>
        <w:spacing w:after="0" w:line="110" w:lineRule="exact"/>
        <w:rPr>
          <w:sz w:val="20"/>
          <w:szCs w:val="20"/>
          <w:color w:val="auto"/>
        </w:rPr>
      </w:pPr>
    </w:p>
    <w:p>
      <w:pPr>
        <w:ind w:right="40" w:firstLine="647"/>
        <w:spacing w:after="0" w:line="255" w:lineRule="auto"/>
        <w:rPr>
          <w:sz w:val="20"/>
          <w:szCs w:val="20"/>
          <w:color w:val="auto"/>
        </w:rPr>
      </w:pPr>
      <w:r>
        <w:rPr>
          <w:rFonts w:ascii="Times New Roman" w:cs="Times New Roman" w:eastAsia="Times New Roman" w:hAnsi="Times New Roman"/>
          <w:sz w:val="18"/>
          <w:szCs w:val="18"/>
          <w:color w:val="auto"/>
        </w:rPr>
        <w:t>The majority of our debt is at fixed rates and our exposure to variable interest rates is currently limited to our revolving credit facility and our Term Loan A-2. Both of these debt instruments are indexed to LIBOR which is expected to be phased out between December 31, 2021 through June 30, 2023. The discontinuance of LIBOR would affect our interest expense and earnings. The borrowings under our Credit Facility will be subject to the expected LIBOR transition. LIBOR is currently expected to transition to a new standard rate, the Secured Overnight Financing Rate (“SOFR”). We are currently monitoring the transition and cannot be certain whether SOFR will become the standard rate for our variable rate debt. However, the transition away from LIBOR rates will likely require us to renegotiate our revolving credit facility. We intend to continue to monitor the developments with respect to the phase out of LIBOR and work with our lenders to minimize the impact of any LIBOR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 on our financial condition and results of operations, but can provide no assurances regarding the impact of the discontinuance of LIBOR.</w:t>
      </w:r>
    </w:p>
    <w:p>
      <w:pPr>
        <w:spacing w:after="0" w:line="15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our debt agreements may limit our operational flexibility, and a covenant breach or default could materially adversely affect our business, financial position or results of operations.</w:t>
      </w:r>
    </w:p>
    <w:p>
      <w:pPr>
        <w:spacing w:after="0" w:line="77" w:lineRule="exact"/>
        <w:rPr>
          <w:sz w:val="20"/>
          <w:szCs w:val="20"/>
          <w:color w:val="auto"/>
        </w:rPr>
      </w:pPr>
    </w:p>
    <w:p>
      <w:pPr>
        <w:ind w:right="220" w:firstLine="647"/>
        <w:spacing w:after="0" w:line="255" w:lineRule="auto"/>
        <w:rPr>
          <w:sz w:val="20"/>
          <w:szCs w:val="20"/>
          <w:color w:val="auto"/>
        </w:rPr>
      </w:pPr>
      <w:r>
        <w:rPr>
          <w:rFonts w:ascii="Times New Roman" w:cs="Times New Roman" w:eastAsia="Times New Roman" w:hAnsi="Times New Roman"/>
          <w:sz w:val="18"/>
          <w:szCs w:val="18"/>
          <w:color w:val="auto"/>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Specifically, our debt agreements contain the following financial covenants: a maximum total debt to total asset value ratio of 60% (subject to increase to 65% for specified periods in connection with certain acquisitions), a minimum fixed charge coverage ratio of 1.5 to 1, a maximum senior secured debt to total asset value ratio of 40% and a maximum unsecured debt to unencumbered asset value ratio of 60%. These restrictions may limit our operational flexibility. Covenants that limit our operational flexibility as well as defaults under our debt instruments could have a material adverse effect on our business, financial position or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Acquisition of Penn, Pinnacle and Tropicana's Gaming Properties</w:t>
      </w:r>
    </w:p>
    <w:p>
      <w:pPr>
        <w:spacing w:after="0" w:line="15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recourse against Tropicana, including for any breaches under the Amended Real Estate Purchase Agreement or the Tropicana Merger Agreement, is limited.</w:t>
      </w:r>
    </w:p>
    <w:p>
      <w:pPr>
        <w:spacing w:after="0" w:line="185" w:lineRule="exact"/>
        <w:rPr>
          <w:sz w:val="20"/>
          <w:szCs w:val="20"/>
          <w:color w:val="auto"/>
        </w:rPr>
      </w:pPr>
    </w:p>
    <w:p>
      <w:pPr>
        <w:ind w:right="80" w:firstLine="647"/>
        <w:spacing w:after="0" w:line="258" w:lineRule="auto"/>
        <w:rPr>
          <w:sz w:val="20"/>
          <w:szCs w:val="20"/>
          <w:color w:val="auto"/>
        </w:rPr>
      </w:pPr>
      <w:r>
        <w:rPr>
          <w:rFonts w:ascii="Times New Roman" w:cs="Times New Roman" w:eastAsia="Times New Roman" w:hAnsi="Times New Roman"/>
          <w:sz w:val="18"/>
          <w:szCs w:val="18"/>
          <w:color w:val="auto"/>
        </w:rPr>
        <w:t>As is customary for a public company target in a merger and acquisition transaction, Tropicana has no obligation to indemnify us or Caesars for any breaches of its representations and warranties or covenants included in the Merger Agreement and the Real Estate Purchase Agreement, or for any pre-closing liabilities or claims. While we have certain arrangements in place with Caesars in connection with certain limited pre-closing liabilities, if any issues arise post-closing (other than as provided for in the Amended and Restated Caesars Master Lease), we may not be entitled to sufficient, or any, indemnification or recourse from Tropicana or Caesars, which could have a materially adverse impact on our business and results of operations.</w:t>
      </w:r>
    </w:p>
    <w:p>
      <w:pPr>
        <w:spacing w:after="0" w:line="9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Penn has contractual obligations to indemnify us for certain liabilities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including liabilities as successor in interest to Pinnacle. However, there can be no assurance that these indemnities will be sufficient to insure us against the full amount of such liabilities, or that Penn's ability to satisfy its and Pinnacle's indemnification obligations will not be impaired in the future.</w:t>
      </w:r>
    </w:p>
    <w:p>
      <w:pPr>
        <w:spacing w:after="0" w:line="106" w:lineRule="exact"/>
        <w:rPr>
          <w:sz w:val="20"/>
          <w:szCs w:val="20"/>
          <w:color w:val="auto"/>
        </w:rPr>
      </w:pPr>
    </w:p>
    <w:p>
      <w:pPr>
        <w:ind w:right="200" w:firstLine="647"/>
        <w:spacing w:after="0" w:line="258" w:lineRule="auto"/>
        <w:rPr>
          <w:sz w:val="20"/>
          <w:szCs w:val="20"/>
          <w:color w:val="auto"/>
        </w:rPr>
      </w:pPr>
      <w:r>
        <w:rPr>
          <w:rFonts w:ascii="Times New Roman" w:cs="Times New Roman" w:eastAsia="Times New Roman" w:hAnsi="Times New Roman"/>
          <w:sz w:val="18"/>
          <w:szCs w:val="18"/>
          <w:color w:val="auto"/>
        </w:rPr>
        <w:t>Penn has contractual obligations to indemnify us for certain liabilities, including liabilities as successor in interest to Pinnacle. However, third parties could seek to hold us responsible for any of the liabilities that Penn and Pinnacle agreed to retain, and there can be no assurance that Penn will be able to fully satisfy its indemnification obligations. Moreover, even if we ultimately succeed in recovering from Penn any amounts for which we are held liable, we may be temporarily required to bear these losses while seeking recovery from Penn and such recovery could have a material adverse impact on Penn's financial condition and ability to pay rent due under the Penn Master Lease and/or the Amended Pinnacle Master Lease.</w:t>
      </w:r>
    </w:p>
    <w:p>
      <w:pPr>
        <w:spacing w:after="0" w:line="200" w:lineRule="exact"/>
        <w:rPr>
          <w:sz w:val="20"/>
          <w:szCs w:val="20"/>
          <w:color w:val="auto"/>
        </w:rPr>
      </w:pPr>
    </w:p>
    <w:p>
      <w:pPr>
        <w:spacing w:after="0" w:line="28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Properties</w:t>
      </w:r>
    </w:p>
    <w:p>
      <w:pPr>
        <w:spacing w:after="0" w:line="161" w:lineRule="exact"/>
        <w:rPr>
          <w:sz w:val="20"/>
          <w:szCs w:val="20"/>
          <w:color w:val="auto"/>
        </w:rPr>
      </w:pPr>
    </w:p>
    <w:p>
      <w:pPr>
        <w:ind w:right="20" w:firstLine="445"/>
        <w:spacing w:after="0" w:line="260" w:lineRule="auto"/>
        <w:rPr>
          <w:sz w:val="20"/>
          <w:szCs w:val="20"/>
          <w:color w:val="auto"/>
        </w:rPr>
      </w:pPr>
      <w:r>
        <w:rPr>
          <w:rFonts w:ascii="Times New Roman" w:cs="Times New Roman" w:eastAsia="Times New Roman" w:hAnsi="Times New Roman"/>
          <w:sz w:val="18"/>
          <w:szCs w:val="18"/>
          <w:color w:val="auto"/>
        </w:rPr>
        <w:t>As of December 31, 2020, the Company had 45 rental properties, consisting of the real property associated with 33 gaming and related facilities operated by Penn, the real property associated with seven gaming and related facilities operated by Caesars, the real property associated with four gaming and related facilities operated by Boyd and the real property associated with the Casino Queen in East St. Louis, Illinois. All rental properties are subject to long-term triple-net leases. For additional information pertaining to our tenant leases and our rental properties see Item 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TRS Segment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Hollywood Casino Baton Rouge</w:t>
      </w:r>
    </w:p>
    <w:p>
      <w:pPr>
        <w:spacing w:after="0" w:line="159" w:lineRule="exact"/>
        <w:rPr>
          <w:sz w:val="20"/>
          <w:szCs w:val="20"/>
          <w:color w:val="auto"/>
        </w:rPr>
      </w:pPr>
    </w:p>
    <w:p>
      <w:pPr>
        <w:ind w:right="60" w:firstLine="445"/>
        <w:spacing w:after="0" w:line="260" w:lineRule="auto"/>
        <w:rPr>
          <w:sz w:val="20"/>
          <w:szCs w:val="20"/>
          <w:color w:val="auto"/>
        </w:rPr>
      </w:pPr>
      <w:r>
        <w:rPr>
          <w:rFonts w:ascii="Times New Roman" w:cs="Times New Roman" w:eastAsia="Times New Roman" w:hAnsi="Times New Roman"/>
          <w:sz w:val="18"/>
          <w:szCs w:val="18"/>
          <w:color w:val="auto"/>
        </w:rPr>
        <w:t>Hollywood Casino Baton Rouge is a dockside riverboat casino located on approximately 21.1 acres, which we own, on the east bank of the Mississippi River in the East Baton Rouge Downtown Development District. The property site serves as the dockside embarkation for Hollywood Casino Baton Rouge and features a two-story building. We also own approximately 4.0 acres of land which features a railroad underpass that provides unimpeded access to the casino property.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Hollywood Casino Perryville</w:t>
      </w:r>
    </w:p>
    <w:p>
      <w:pPr>
        <w:spacing w:after="0" w:line="146" w:lineRule="exact"/>
        <w:rPr>
          <w:sz w:val="20"/>
          <w:szCs w:val="20"/>
          <w:color w:val="auto"/>
        </w:rPr>
      </w:pPr>
    </w:p>
    <w:p>
      <w:pPr>
        <w:ind w:firstLine="445"/>
        <w:spacing w:after="0" w:line="281" w:lineRule="auto"/>
        <w:rPr>
          <w:sz w:val="20"/>
          <w:szCs w:val="20"/>
          <w:color w:val="auto"/>
        </w:rPr>
      </w:pPr>
      <w:r>
        <w:rPr>
          <w:rFonts w:ascii="Times New Roman" w:cs="Times New Roman" w:eastAsia="Times New Roman" w:hAnsi="Times New Roman"/>
          <w:sz w:val="18"/>
          <w:szCs w:val="18"/>
          <w:color w:val="auto"/>
        </w:rPr>
        <w:t>We own 36.3 acres of land in Perryville, Maryland where Hollywood Casino Perryville is located. The property is located directly off Interstate 95 in Cecil County, Maryland just 35 miles northeast of Baltimore and 70 miles from Washington, D.C.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Tropicana Las Vegas</w:t>
      </w:r>
    </w:p>
    <w:p>
      <w:pPr>
        <w:spacing w:after="0" w:line="253"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This property was acquired on April 16, 2020 from Penn in exchange for $307.5 million of rent credits. We own approximately 35 acres on the strip of Las Vegas, Nevada and the real estate of the casino which has a 1,467 room hotel and structured and surface parking. An affiliate of Penn continues to operate the casino and hotel business pursuant to a triple net lease with the Company for nominal rent for the earlier of two years (subject to three one-year extensions at the Company's option).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Office</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corporate headquarters building is located in Wyomissing, Pennsylvania and is owned by the Company.</w:t>
      </w:r>
    </w:p>
    <w:p>
      <w:pPr>
        <w:spacing w:after="0" w:line="200" w:lineRule="exact"/>
        <w:rPr>
          <w:sz w:val="20"/>
          <w:szCs w:val="20"/>
          <w:color w:val="auto"/>
        </w:rPr>
      </w:pPr>
    </w:p>
    <w:p>
      <w:pPr>
        <w:spacing w:after="0" w:line="3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4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financial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or scope of existing insurance coverage will be sufficient to cover losses arising from such matters.</w:t>
      </w:r>
    </w:p>
    <w:p>
      <w:pPr>
        <w:spacing w:after="0" w:line="1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ind w:left="820" w:right="280" w:hanging="808"/>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1" w:lineRule="exact"/>
        <w:rPr>
          <w:sz w:val="20"/>
          <w:szCs w:val="20"/>
          <w:color w:val="auto"/>
        </w:rPr>
      </w:pPr>
    </w:p>
    <w:p>
      <w:pPr>
        <w:ind w:right="200" w:firstLine="405"/>
        <w:spacing w:after="0" w:line="281"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symbol "GLPI." As of February 16, 2021, there were approximately 720 holders of record of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1" w:lineRule="exact"/>
        <w:rPr>
          <w:sz w:val="20"/>
          <w:szCs w:val="20"/>
          <w:color w:val="auto"/>
        </w:rPr>
      </w:pPr>
    </w:p>
    <w:p>
      <w:pPr>
        <w:ind w:right="100" w:firstLine="445"/>
        <w:spacing w:after="0" w:line="260" w:lineRule="auto"/>
        <w:rPr>
          <w:sz w:val="20"/>
          <w:szCs w:val="20"/>
          <w:color w:val="auto"/>
        </w:rPr>
      </w:pPr>
      <w:r>
        <w:rPr>
          <w:rFonts w:ascii="Times New Roman" w:cs="Times New Roman" w:eastAsia="Times New Roman" w:hAnsi="Times New Roman"/>
          <w:sz w:val="18"/>
          <w:szCs w:val="18"/>
          <w:color w:val="auto"/>
        </w:rPr>
        <w:t>The Company's annual dividend is greater than or equal to at least 90% of its REIT taxable income on an annual basis, determined without regard to the dividends paid deduction and excluding any net capital gains. U.S. federal income tax law generally requires that a REIT annually distribute at least 90% of its REIT taxable income, without regard to the deduction for dividends paid and excluding net capital gains, and that it pay regular corporate rates to the extent that it annually distributes less than 100% of its taxable income.</w:t>
      </w:r>
    </w:p>
    <w:p>
      <w:pPr>
        <w:spacing w:after="0" w:line="114"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Cash available for distribution to GLPI shareholders is derived from income from real estate and the income of the TRS Segment. All distributions will be made by GLPI at the discretion of its Board of Directors and will depend on the financial position, results of operations, cash flows, capital requirements, debt covenants, applicable laws and other factors as the Board of Directors of GLPI deems relevant. See Note 18 to the consolidated financial statements for further details on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55" w:lineRule="exact"/>
        <w:rPr>
          <w:sz w:val="20"/>
          <w:szCs w:val="20"/>
          <w:color w:val="auto"/>
        </w:rPr>
      </w:pPr>
    </w:p>
    <w:p>
      <w:pPr>
        <w:ind w:right="20" w:firstLine="647"/>
        <w:spacing w:after="0" w:line="252" w:lineRule="auto"/>
        <w:rPr>
          <w:sz w:val="20"/>
          <w:szCs w:val="20"/>
          <w:color w:val="auto"/>
        </w:rPr>
      </w:pPr>
      <w:r>
        <w:rPr>
          <w:rFonts w:ascii="Times New Roman" w:cs="Times New Roman" w:eastAsia="Times New Roman" w:hAnsi="Times New Roman"/>
          <w:sz w:val="18"/>
          <w:szCs w:val="18"/>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the TRS Properties and then spun-off GLPI to holders of Penn's common and preferred stock in the Spin-Off.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In addition, during 2020, the Company and Tropicana LV, LLC, a wholly owned subsidiary of the Company which holds the real estate of Tropicana Las Vegas, elected to treat Tropicana LV, LLC as a “taxable REIT subsidiary”. As a result of the Spin-Off, GLPI owns substantially all of Penn's former real property assets (as of the consummation of the Spin-Off) and leases back most of those assets to Penn for use by its subsidiaries, under the Penn Master Lease and owns and operates the TRS Properties through its indirect wholly-owned subsidiary, GLP Holdings, Inc. The assets and liabilities of GLPI were recorded at their respective historical carrying values at the time of the Spin-Off.</w:t>
      </w:r>
    </w:p>
    <w:p>
      <w:pPr>
        <w:spacing w:after="0" w:line="370"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GLPI's primary business consists of acquiring, financing, and owning real estate property to be leased to gaming operators in triple-net lease arrangements. As of December 31, 2020, GLPI's portfolio consisted of interests in 48 gaming and related facilities, including the TRS Segment, the real property associated with 33 gaming and related facilities operated by Penn, the real property associated with 7 gaming and related facilities operated by Caesars, the real property associated with 4 gaming and related facilities operated by Boyd and the real property associated with the Casino Queen in East St. Louis, Illinois. These facilities, including our corporate headquarters building, are geographically diversified across 16 states and contain approximately 24.3 million square feet. As of December 31, 2020, our properties were 100% occupied. We expect to continue growing our portfolio by pursuing opportunities to acquire additional gaming facilities to lease to gaming operators under prudent terms.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Pinnacle Master Lease, Boyd Master Lease and Belterra Park Lease</w:t>
      </w:r>
    </w:p>
    <w:p>
      <w:pPr>
        <w:spacing w:after="0" w:line="253" w:lineRule="exact"/>
        <w:rPr>
          <w:sz w:val="20"/>
          <w:szCs w:val="20"/>
          <w:color w:val="auto"/>
        </w:rPr>
      </w:pPr>
    </w:p>
    <w:p>
      <w:pPr>
        <w:ind w:right="20" w:firstLine="647"/>
        <w:spacing w:after="0" w:line="252" w:lineRule="auto"/>
        <w:rPr>
          <w:sz w:val="20"/>
          <w:szCs w:val="20"/>
          <w:color w:val="auto"/>
        </w:rPr>
      </w:pPr>
      <w:r>
        <w:rPr>
          <w:rFonts w:ascii="Times New Roman" w:cs="Times New Roman" w:eastAsia="Times New Roman" w:hAnsi="Times New Roman"/>
          <w:sz w:val="18"/>
          <w:szCs w:val="18"/>
          <w:color w:val="auto"/>
        </w:rPr>
        <w:t>In April 2016, the Company acquired substantially all of the real estate assets of Pinnacle for approximately $4.8 billion. GLPI originally leased these assets back to Pinnacle, under the Pinnacle Master Lease, the term of which expires on April 30, 2031, with no purchase option, followed by four remaining 5-year renewal options (exercisable by the tenant) on the same terms and conditions. On October 15, 2018, the Company completed the previously announced Penn-Pinnacle Merger to accommodate Penn's acquisition of the majority of Pinnacle's operations, pursuant to a definitive agreement and plan of merger between Penn and Pinnacle, dated December 17, 2017. Concurrent with the Penn-Pinnacle Merger, the Company amended the Pinnacle Master Lease to allow for the sale of the operating assets of Ameristar Casino Hotel Kansas City, Ameristar Casino Resort Spa St. Charles and Belterra Casino Resort from Pinnacle to Boyd and entered into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the Belterra Park Loan with Boyd in connection with Boyd's acquisition of Belterra Park. In May 2020, the Company acquired the real estate of Belterra Park in satisfaction of the Belterra Park Loan, subject to the Belterra Park Lease with a Boyd affiliate</w:t>
      </w:r>
    </w:p>
    <w:p>
      <w:pPr>
        <w:spacing w:after="0" w:line="2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Meadows Lease</w:t>
      </w:r>
    </w:p>
    <w:p>
      <w:pPr>
        <w:spacing w:after="0" w:line="253" w:lineRule="exact"/>
        <w:rPr>
          <w:sz w:val="20"/>
          <w:szCs w:val="20"/>
          <w:color w:val="auto"/>
        </w:rPr>
      </w:pPr>
    </w:p>
    <w:p>
      <w:pPr>
        <w:ind w:firstLine="647"/>
        <w:spacing w:after="0" w:line="266" w:lineRule="auto"/>
        <w:rPr>
          <w:sz w:val="20"/>
          <w:szCs w:val="20"/>
          <w:color w:val="auto"/>
        </w:rPr>
      </w:pPr>
      <w:r>
        <w:rPr>
          <w:rFonts w:ascii="Times New Roman" w:cs="Times New Roman" w:eastAsia="Times New Roman" w:hAnsi="Times New Roman"/>
          <w:sz w:val="18"/>
          <w:szCs w:val="18"/>
          <w:color w:val="auto"/>
        </w:rPr>
        <w:t>The real estate assets of the Meadows are leased to Penn pursuant to the Meadows Lease. The Meadows Lease commenced on September 9, 2016 and has an initial term of 10 years, with no purchase option, and the option to renew for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Caesars Master Lease and Lumière Place Lease</w:t>
      </w:r>
    </w:p>
    <w:p>
      <w:pPr>
        <w:spacing w:after="0" w:line="253" w:lineRule="exact"/>
        <w:rPr>
          <w:sz w:val="20"/>
          <w:szCs w:val="20"/>
          <w:color w:val="auto"/>
        </w:rPr>
      </w:pPr>
    </w:p>
    <w:p>
      <w:pPr>
        <w:jc w:val="both"/>
        <w:ind w:firstLine="647"/>
        <w:spacing w:after="0" w:line="269" w:lineRule="auto"/>
        <w:rPr>
          <w:sz w:val="20"/>
          <w:szCs w:val="20"/>
          <w:color w:val="auto"/>
        </w:rPr>
      </w:pPr>
      <w:r>
        <w:rPr>
          <w:rFonts w:ascii="Times New Roman" w:cs="Times New Roman" w:eastAsia="Times New Roman" w:hAnsi="Times New Roman"/>
          <w:sz w:val="17"/>
          <w:szCs w:val="17"/>
          <w:color w:val="auto"/>
        </w:rPr>
        <w:t>On October 1, 2018, the Company closed its previously announced transaction to acquire certain real property assets from Tropicana and certain of its affiliates pursuant to the Real Estate Purchase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from Tropicana for an aggregate cash purchase price of $964.0 million, exclusive of transaction fees and taxes. Concurrent with the Tropicana Acquisition,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the Caesars Master Lease. Additionally, on October 1, 2018, the Company entered into the CZR loan in connection with Caesars’s acquisition of Lumière Place. The CZR loan was satisfied and replaced with the Lumière Place Lease on September 29, 2020, the initial term of which expires on October 31, 2033, with 4 separate renewal options of five years each, exercisable at the tenants' option. The Lumière Place Lease rent is subject to an annual escalator of up to 2% if certain rent coverage ratio</w:t>
      </w:r>
    </w:p>
    <w:p>
      <w:pPr>
        <w:spacing w:after="0" w:line="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thresholds are met. 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Waterloo,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On December 18, 2020, the Company and Caesars completed an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Tropicana Las Vegas</w:t>
      </w:r>
    </w:p>
    <w:p>
      <w:pPr>
        <w:spacing w:after="0" w:line="159"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 We will conduct a sale process with respect to the Tropicana Las Vegas, with Penn receiving 75% of the net proceeds above $307.5 million (plus certain taxes, expenses and costs) if a sale agreement is signed during the first 12 months following closing and 50% of net proceeds above $307.5 million (plus certain taxes, expenses and costs) if a sale agreement is signed during the subsequent 12 months following closing. Penn will not be entitled to receive any net sale proceeds if the relevant sale agreement is signed at any time after 24 months from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Morgantown Lease</w:t>
      </w:r>
    </w:p>
    <w:p>
      <w:pPr>
        <w:spacing w:after="0" w:line="253" w:lineRule="exact"/>
        <w:rPr>
          <w:sz w:val="20"/>
          <w:szCs w:val="20"/>
          <w:color w:val="auto"/>
        </w:rPr>
      </w:pPr>
    </w:p>
    <w:p>
      <w:pPr>
        <w:jc w:val="both"/>
        <w:ind w:firstLine="647"/>
        <w:spacing w:after="0" w:line="273" w:lineRule="auto"/>
        <w:rPr>
          <w:sz w:val="20"/>
          <w:szCs w:val="20"/>
          <w:color w:val="auto"/>
        </w:rPr>
      </w:pPr>
      <w:r>
        <w:rPr>
          <w:rFonts w:ascii="Times New Roman" w:cs="Times New Roman" w:eastAsia="Times New Roman" w:hAnsi="Times New Roman"/>
          <w:sz w:val="18"/>
          <w:szCs w:val="18"/>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quarter of 2020. The Company is leasing the land back to an affiliate of Penn pursuant to the Morgantown Lease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Hollywood Casino Baton Rouge</w:t>
      </w:r>
    </w:p>
    <w:p>
      <w:pPr>
        <w:spacing w:after="0" w:line="253"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On November 25, 2020, the Company entered into a definitive agreement to sell the operations of our Hollywood Casino Baton Rouge to Casino Queen Holding Company Inc. ("Casino Queen") for $28.2 million. The Company will retain ownership of all real estate assets at Hollywood Casino Baton Rouge and will simultaneously enter into a master lease with Casino Queen, which will include the Casino Queen property in East St. Louis that is currently leased by us to them and the Hollywood Casino Baton Rouge facility. The initial annual cash rent will be approximately $21.4 million and the lease will have an initial term of 15 years with four 5 year renewal options exercisable by the tenant.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year.Additionally, the Company will complete the current landside development project that is in process and the rent under the master lease will be adjusted upon delivery to reflect a yield of 8.25% on GLPI's project costs. The Company will also have a right of first refusal with Casino Queen for other sale leaseback transactions up to $50 million over the next 2 years. Finally, upon the closing of the transaction, which is anticipated to occur in mid 2021, subject to regulatory approvals and customary closing conditions, GLPI will forgive the Casino Queen Loan which has been previously written off in return for a one-time cash payment of $4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Hollywood Casino Perryville</w:t>
      </w:r>
    </w:p>
    <w:p>
      <w:pPr>
        <w:spacing w:after="0" w:line="253"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On December 11, 2020, Penn agreed to purchase from the Company the operations of our Hollywood Casino Perryville, located in Perryville, Maryland, for $31.1 million, with the closing of such purchase, subject to regulatory approvals, expected to occur during calendar year 2021 on a date selected by Penn with reasonable prior notice to the Company unless otherwise agreed by both parties. Upon closing, the Company will lease the real estate assets of the Perryville facility to Penn pursuant to a lease providing for initial annual rent of $7.77 million, $5.83 million of which will be subject to escalation provisions beginning in the second lease year through the fourth lease year and shall increase by 1.50% and then to 1.25% for the remaining lease term. The escalation provisions beginning in the fifth lease year are subject to CPI being at least 0.5% for the preceding lease year.</w:t>
      </w:r>
    </w:p>
    <w:p>
      <w:pPr>
        <w:spacing w:after="0" w:line="118"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As of December 31, 2020, the majority of our earnings are the result of the rental revenues we receive from our triple-net master leases with Penn, Boyd and Caesars. Additionally, we have rental revenue from the Casino Queen property which is leased back to a third-party operator on a triple-net basis pursuant to the Casino Queen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05" w:lineRule="exact"/>
        <w:rPr>
          <w:sz w:val="20"/>
          <w:szCs w:val="20"/>
          <w:color w:val="auto"/>
        </w:rPr>
      </w:pPr>
    </w:p>
    <w:p>
      <w:pPr>
        <w:ind w:right="80" w:firstLine="647"/>
        <w:spacing w:after="0" w:line="265" w:lineRule="auto"/>
        <w:rPr>
          <w:sz w:val="20"/>
          <w:szCs w:val="20"/>
          <w:color w:val="auto"/>
        </w:rPr>
      </w:pPr>
      <w:r>
        <w:rPr>
          <w:rFonts w:ascii="Times New Roman" w:cs="Times New Roman" w:eastAsia="Times New Roman" w:hAnsi="Times New Roman"/>
          <w:sz w:val="18"/>
          <w:szCs w:val="18"/>
          <w:color w:val="auto"/>
        </w:rPr>
        <w:t>Additionally, in accordance with ASC 842, we record revenue for the ground lease rent paid by our tenants with an offsetting expense in land rights and ground lease expense within the Consolidated Statement of Income as we have concluded that as the lessee we are the primary obligor under the ground leases. We sublease these ground leases back to our tenants, who are responsible for payment directly to the landlord.</w:t>
      </w:r>
    </w:p>
    <w:p>
      <w:pPr>
        <w:spacing w:after="0" w:line="204" w:lineRule="exact"/>
        <w:rPr>
          <w:sz w:val="20"/>
          <w:szCs w:val="20"/>
          <w:color w:val="auto"/>
        </w:rPr>
      </w:pPr>
    </w:p>
    <w:p>
      <w:pPr>
        <w:ind w:right="20" w:firstLine="647"/>
        <w:spacing w:after="0" w:line="265" w:lineRule="auto"/>
        <w:rPr>
          <w:sz w:val="20"/>
          <w:szCs w:val="20"/>
          <w:color w:val="auto"/>
        </w:rPr>
      </w:pPr>
      <w:r>
        <w:rPr>
          <w:rFonts w:ascii="Times New Roman" w:cs="Times New Roman" w:eastAsia="Times New Roman" w:hAnsi="Times New Roman"/>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following competitive strengths will contribute significantly to our success: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Geographically Diverse Property Portfolio</w:t>
      </w:r>
    </w:p>
    <w:p>
      <w:pPr>
        <w:spacing w:after="0" w:line="159" w:lineRule="exact"/>
        <w:rPr>
          <w:sz w:val="20"/>
          <w:szCs w:val="20"/>
          <w:color w:val="auto"/>
        </w:rPr>
      </w:pPr>
    </w:p>
    <w:p>
      <w:pPr>
        <w:ind w:right="220" w:firstLine="647"/>
        <w:spacing w:after="0" w:line="260" w:lineRule="auto"/>
        <w:rPr>
          <w:sz w:val="20"/>
          <w:szCs w:val="20"/>
          <w:color w:val="auto"/>
        </w:rPr>
      </w:pPr>
      <w:r>
        <w:rPr>
          <w:rFonts w:ascii="Times New Roman" w:cs="Times New Roman" w:eastAsia="Times New Roman" w:hAnsi="Times New Roman"/>
          <w:sz w:val="18"/>
          <w:szCs w:val="18"/>
          <w:color w:val="auto"/>
        </w:rPr>
        <w:t>As of December 31, 2020, our portfolio consisted of 48 gaming and related facilities, including 45 rental properties, the TRS Segment. Our portfolio, including our corporate headquarters building, comprises approximately 24.3 million square feet and approximately 5,700 acres of land and is broadly diversified by location across 16 states. We expect that our geographic diversification will limit the effect of a decline in any one regional market on our overall performance.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Financially Secure Tenants</w:t>
      </w:r>
    </w:p>
    <w:p>
      <w:pPr>
        <w:spacing w:after="0" w:line="159" w:lineRule="exact"/>
        <w:rPr>
          <w:sz w:val="20"/>
          <w:szCs w:val="20"/>
          <w:color w:val="auto"/>
        </w:rPr>
      </w:pPr>
    </w:p>
    <w:p>
      <w:pPr>
        <w:ind w:right="60" w:firstLine="647"/>
        <w:spacing w:after="0" w:line="256" w:lineRule="auto"/>
        <w:rPr>
          <w:sz w:val="20"/>
          <w:szCs w:val="20"/>
          <w:color w:val="auto"/>
        </w:rPr>
      </w:pPr>
      <w:r>
        <w:rPr>
          <w:rFonts w:ascii="Times New Roman" w:cs="Times New Roman" w:eastAsia="Times New Roman" w:hAnsi="Times New Roman"/>
          <w:sz w:val="18"/>
          <w:szCs w:val="18"/>
          <w:color w:val="auto"/>
        </w:rPr>
        <w:t>Three of the company's tenants, Penn, Caesars and Boyd, are leading, diversified, multi-jurisdictional owners and managers of gaming and pari-mutuel properties and established gaming providers with strong financial performance. All three of these tenants raised significant amounts of capital in 2020 to bolster their liquidity positions in response to COVID-19. Additionally, all of the aforementioned tenants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Penn's, Caesar's and Boyd's respective websites for further financial information on these companies.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Triple-Net Lease Structure</w:t>
      </w:r>
    </w:p>
    <w:p>
      <w:pPr>
        <w:spacing w:after="0" w:line="146" w:lineRule="exact"/>
        <w:rPr>
          <w:sz w:val="20"/>
          <w:szCs w:val="20"/>
          <w:color w:val="auto"/>
        </w:rPr>
      </w:pPr>
    </w:p>
    <w:p>
      <w:pPr>
        <w:jc w:val="both"/>
        <w:ind w:right="40" w:firstLine="647"/>
        <w:spacing w:after="0" w:line="260" w:lineRule="auto"/>
        <w:rPr>
          <w:sz w:val="20"/>
          <w:szCs w:val="20"/>
          <w:color w:val="auto"/>
        </w:rPr>
      </w:pPr>
      <w:r>
        <w:rPr>
          <w:rFonts w:ascii="Times New Roman" w:cs="Times New Roman" w:eastAsia="Times New Roman" w:hAnsi="Times New Roman"/>
          <w:sz w:val="18"/>
          <w:szCs w:val="18"/>
          <w:color w:val="auto"/>
        </w:rPr>
        <w:t>Our real estate properties are leased under long-term triple-net leases guaranteed by our tenants,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(other than taxes on our income) and all utilities and other services necessary or appropriate for the leased properties and the business conducted on the leased properties.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Resilient Regional Gaming Characteristics</w:t>
      </w:r>
    </w:p>
    <w:p>
      <w:pPr>
        <w:spacing w:after="0" w:line="159" w:lineRule="exact"/>
        <w:rPr>
          <w:sz w:val="20"/>
          <w:szCs w:val="20"/>
          <w:color w:val="auto"/>
        </w:rPr>
      </w:pPr>
    </w:p>
    <w:p>
      <w:pPr>
        <w:ind w:right="220" w:firstLine="647"/>
        <w:spacing w:after="0" w:line="258" w:lineRule="auto"/>
        <w:rPr>
          <w:sz w:val="20"/>
          <w:szCs w:val="20"/>
          <w:color w:val="auto"/>
        </w:rPr>
      </w:pPr>
      <w:r>
        <w:rPr>
          <w:rFonts w:ascii="Times New Roman" w:cs="Times New Roman" w:eastAsia="Times New Roman" w:hAnsi="Times New Roman"/>
          <w:sz w:val="18"/>
          <w:szCs w:val="18"/>
          <w:color w:val="auto"/>
        </w:rPr>
        <w:t>We believe that the recession resulting from COVID-19 pandemic has illustrated the resiliency of the regional gaming market. In spite of all our properties being forced to close during mid-March 2020, the Company collected all contractual rents, inclusive of rent credits, due in 2020. Furthermore, our tenants' results since they have reopened has been strong and in some cases better than prior to COVID-19, due to their increased focus on cost efficiencies and decreasing and/or eliminating lower margin amenities. Although we are unable to predict whether these results will continue, we believe that our assets should generate substantial cash flows well into the future for both ourselves and our tenants.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Flexible UPREIT Structure</w:t>
      </w:r>
    </w:p>
    <w:p>
      <w:pPr>
        <w:spacing w:after="0" w:line="159" w:lineRule="exact"/>
        <w:rPr>
          <w:sz w:val="20"/>
          <w:szCs w:val="20"/>
          <w:color w:val="auto"/>
        </w:rPr>
      </w:pPr>
    </w:p>
    <w:p>
      <w:pPr>
        <w:ind w:firstLine="647"/>
        <w:spacing w:after="0" w:line="255" w:lineRule="auto"/>
        <w:rPr>
          <w:sz w:val="20"/>
          <w:szCs w:val="20"/>
          <w:color w:val="auto"/>
        </w:rPr>
      </w:pPr>
      <w:r>
        <w:rPr>
          <w:rFonts w:ascii="Times New Roman" w:cs="Times New Roman" w:eastAsia="Times New Roman" w:hAnsi="Times New Roman"/>
          <w:sz w:val="18"/>
          <w:szCs w:val="18"/>
          <w:color w:val="auto"/>
        </w:rPr>
        <w:t>We have the flexibility to operate through an umbrella partnership, commonly referred to as an UPREIT structure, in which substantially all of our properties and assets are held by GLP Capital or by subsidiaries of GLP Capital. Conducting business through GLP Capital allows us flexibility in the manner in which we structure and acquire properties. In particular, an UPREIT structure enables us to acquire additional properties from sellers in exchange for limited partnership units, which provides property owners the opportunity to defer the tax consequences that would otherwise arise from a sale of their real properties and other assets to us. As a result, this structure potentially may facilitate our acquisition of assets in a more efficient manner and may allow us to acquire assets that the owner would otherwise be unwilling to sell because of tax considerations. We believe that this flexibility will provide us an advantage in seeking future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Experienced and Committed Management Team</w:t>
      </w:r>
    </w:p>
    <w:p>
      <w:pPr>
        <w:spacing w:after="0" w:line="146" w:lineRule="exact"/>
        <w:rPr>
          <w:sz w:val="20"/>
          <w:szCs w:val="20"/>
          <w:color w:val="auto"/>
        </w:rPr>
      </w:pPr>
    </w:p>
    <w:p>
      <w:pPr>
        <w:ind w:right="240" w:firstLine="647"/>
        <w:spacing w:after="0" w:line="265" w:lineRule="auto"/>
        <w:rPr>
          <w:sz w:val="20"/>
          <w:szCs w:val="20"/>
          <w:color w:val="auto"/>
        </w:rPr>
      </w:pPr>
      <w:r>
        <w:rPr>
          <w:rFonts w:ascii="Times New Roman" w:cs="Times New Roman" w:eastAsia="Times New Roman" w:hAnsi="Times New Roman"/>
          <w:sz w:val="18"/>
          <w:szCs w:val="18"/>
          <w:color w:val="auto"/>
        </w:rPr>
        <w:t>Our management team has extensive gaming and real estate experience. Peter M. Carlino, our chief executive officer, has more than 30 years of experience in the acquisition and development of gaming facilities and other real estate projects. Through years of public company experience, our management team also has extensive experience accessing both debt and equity capital markets to fund growth and maintain a flexible capital structure.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ind w:right="260" w:firstLine="647"/>
        <w:spacing w:after="0" w:line="261" w:lineRule="auto"/>
        <w:rPr>
          <w:sz w:val="20"/>
          <w:szCs w:val="20"/>
          <w:color w:val="auto"/>
        </w:rPr>
      </w:pPr>
      <w:r>
        <w:rPr>
          <w:rFonts w:ascii="Times New Roman" w:cs="Times New Roman" w:eastAsia="Times New Roman" w:hAnsi="Times New Roman"/>
          <w:sz w:val="18"/>
          <w:szCs w:val="18"/>
          <w:color w:val="auto"/>
        </w:rPr>
        <w:t xml:space="preserve">Consistent with how our Chief Operating Decision Maker (as such term is defined in ASC 280 -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reviews and assesses our financial performance, we have two reportable segments, GLP Capital and the TRS Segment. The GLP Capital reportable segment consists of the leased real property and represents the majority of our business. The TRS Segment consists of our operations at Hollywood Casino Perryville and Hollywood Casino Baton Rouge, as well as the real estate of Tropicana Las Vegas we acquired in 2020.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27" w:lineRule="exact"/>
        <w:rPr>
          <w:sz w:val="20"/>
          <w:szCs w:val="20"/>
          <w:color w:val="auto"/>
        </w:rPr>
      </w:pPr>
    </w:p>
    <w:p>
      <w:pPr>
        <w:ind w:right="40" w:firstLine="647"/>
        <w:spacing w:after="0" w:line="265" w:lineRule="auto"/>
        <w:rPr>
          <w:sz w:val="20"/>
          <w:szCs w:val="20"/>
          <w:color w:val="auto"/>
        </w:rPr>
      </w:pPr>
      <w:r>
        <w:rPr>
          <w:rFonts w:ascii="Times New Roman" w:cs="Times New Roman" w:eastAsia="Times New Roman" w:hAnsi="Times New Roman"/>
          <w:sz w:val="18"/>
          <w:szCs w:val="18"/>
          <w:color w:val="auto"/>
        </w:rPr>
        <w:t>We reported total revenues and income from operations of $1,153.2 million and $809.3 million, respectively, for the year ended December 31, 2020, compared to $1,153.5 million and $717.4 million, respectively, for the year ended December 31, 2019. The major factors affecting our results for the year ended December 31, 2020, as compared to the year ended December 31, 2019, were as follows:</w:t>
      </w:r>
    </w:p>
    <w:p>
      <w:pPr>
        <w:spacing w:after="0" w:line="204" w:lineRule="exact"/>
        <w:rPr>
          <w:sz w:val="20"/>
          <w:szCs w:val="20"/>
          <w:color w:val="auto"/>
        </w:rPr>
      </w:pPr>
    </w:p>
    <w:p>
      <w:pPr>
        <w:ind w:left="660" w:hanging="329"/>
        <w:spacing w:after="0" w:line="25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income from real estate was $1,050.2 million and $1,025.1 million for the years ended December 31, 2020 and 2019, respectively. Total income from real estate increased by $25.1 million for the year ended December 31, 2020, as compared to the year ended December 31, 2019, primarily due to favorable non-cash straight line rent adjustments on our Amended Pinnacle Master Lease, Boyd Master Lease and Amended and Restated Caesars Master Lease. Additionally current year results were positively impacted by higher building base rents as the majority of our leases incurred escalators in 2019. This was partially offset by lower percentage rent from the Amended Pinnacle Master Lease and Boyd Master Lease which reset on May 1, 2020 and the Meadows Lease which reset on October 1, 2020 as well as lower ground rents due to the casino closures related to COVID-19. Finally, 2020 results were negatively impacted by lower percentage rent on the Penn Master Lease due to the temporary closures of Hollywood Casino Columbus and to a lesser extent, Hollywood Casino Toledo from mid-March 2020 to June 19, 2020.</w:t>
      </w:r>
    </w:p>
    <w:p>
      <w:pPr>
        <w:spacing w:after="0" w:line="216" w:lineRule="exact"/>
        <w:rPr>
          <w:rFonts w:ascii="Times New Roman" w:cs="Times New Roman" w:eastAsia="Times New Roman" w:hAnsi="Times New Roman"/>
          <w:sz w:val="18"/>
          <w:szCs w:val="18"/>
          <w:color w:val="auto"/>
        </w:rPr>
      </w:pPr>
    </w:p>
    <w:p>
      <w:pPr>
        <w:ind w:left="660" w:right="80" w:hanging="329"/>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for our TRS Properties decreased by $25.4 million for the year ended December 31, 2020, as compared to the prior year, due to decreased revenues at both TRS Properties. The largest driver of the decrease resulted from the temporary closures of the properties during 2020 due to COVID-19. The TRS Properties were closed in mid-March 2020. Hollywood Casino Baton Rouge reopened to the public on May 18, 2020 and Hollywood Casino Perryville reopened on June 19, 2020 with various restrictions to limit capacity in accordance with regulatory requirements.</w:t>
      </w:r>
    </w:p>
    <w:p>
      <w:pPr>
        <w:spacing w:after="0" w:line="181" w:lineRule="exact"/>
        <w:rPr>
          <w:rFonts w:ascii="Times New Roman" w:cs="Times New Roman" w:eastAsia="Times New Roman" w:hAnsi="Times New Roman"/>
          <w:sz w:val="18"/>
          <w:szCs w:val="18"/>
          <w:color w:val="auto"/>
        </w:rPr>
      </w:pPr>
    </w:p>
    <w:p>
      <w:pPr>
        <w:ind w:left="660" w:right="220" w:hanging="329"/>
        <w:spacing w:after="0" w:line="274"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operating expenses decreased by $92.2 million for the year ended December 31, 2020, as compared to the prior year, primarily driven by a non-cash gain on the disposition of property related to the Evansville swap transaction of $41.4 million, the $13 million loan impairment charge recorded on the Casino Queen Loan in 2019, lower land rights and ground lease expense due primarily to the acceleration of amortization of expense related to the ground lease for the closure of the Resorts Casino Tunica property and lower ground rents due to the casino closures from COVID-19 and decreased expenses at both TRS Properties during 2020 due to the temporary closures from COVID-19. Finally, depreciation expense declined due primarily to the acceleration of $10.3 million related to the closure of the Resorts Casino Tunica property in 2019.</w:t>
      </w:r>
    </w:p>
    <w:p>
      <w:pPr>
        <w:spacing w:after="0" w:line="198" w:lineRule="exact"/>
        <w:rPr>
          <w:rFonts w:ascii="Times New Roman" w:cs="Times New Roman" w:eastAsia="Times New Roman" w:hAnsi="Times New Roman"/>
          <w:sz w:val="17"/>
          <w:szCs w:val="17"/>
          <w:color w:val="auto"/>
        </w:rPr>
      </w:pPr>
    </w:p>
    <w:p>
      <w:pPr>
        <w:ind w:left="660" w:right="500" w:hanging="329"/>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net decreased by $22.1 million for the year ended December 31, 2020, as compared to the prior year, primarily due to lower interest expense resulting from the refinancing of long term debt.</w:t>
      </w:r>
    </w:p>
    <w:p>
      <w:pPr>
        <w:spacing w:after="0" w:line="189" w:lineRule="exact"/>
        <w:rPr>
          <w:rFonts w:ascii="Times New Roman" w:cs="Times New Roman" w:eastAsia="Times New Roman" w:hAnsi="Times New Roman"/>
          <w:sz w:val="18"/>
          <w:szCs w:val="18"/>
          <w:color w:val="auto"/>
        </w:rPr>
      </w:pPr>
    </w:p>
    <w:p>
      <w:pPr>
        <w:ind w:left="660" w:right="480" w:hanging="329"/>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by $114.8 million for the year ended December 31, 2020, as compared to the prior year, primarily due to the variances explained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Developments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recent developments that have had or are expected to have an impact on us by segment: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GLP Capital</w:t>
      </w:r>
    </w:p>
    <w:p>
      <w:pPr>
        <w:spacing w:after="0" w:line="253" w:lineRule="exact"/>
        <w:rPr>
          <w:sz w:val="20"/>
          <w:szCs w:val="20"/>
          <w:color w:val="auto"/>
        </w:rPr>
      </w:pPr>
    </w:p>
    <w:p>
      <w:pPr>
        <w:ind w:left="1300" w:right="120" w:hanging="321"/>
        <w:spacing w:after="0" w:line="254"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temporary casino closures that occurred during 2020 as a result of COVID-19, for our leases that contain variable rent which is reset on varying schedules depending on the lease, we would expect downward resets. In the aggregate, the portion of our cash rents that are variable represented approximately 15% of our 2020 full year cash rental income. Of that variable rent, approximately 29% resets every five years which is associated with our Penn Master Lease and Casino Queen Lease, 41% resets every two years and 30% resets monthly which is associated with the Penn Master Lease (of which approximately 51% is subject to a floor or $22.9 million annually for Hollywood Casino Toledo). The percentage rent in the Penn Master Lease decreased by $4.0 million for the year ended December 31, 2020 compared to the year ended 2019 due to the temporary closures of Hollywood Casino Columbus and to a lesser extent, Hollywood Casino Toledo from mid-March 2020 to June 19, 2020, which was partially offset by the strong reopening performance of these properties in the third quarter of 2020 as well as the benefit Hollywood Casino Toledo experienced due to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1300" w:right="140"/>
        <w:spacing w:after="0" w:line="281" w:lineRule="auto"/>
        <w:rPr>
          <w:sz w:val="20"/>
          <w:szCs w:val="20"/>
          <w:color w:val="auto"/>
        </w:rPr>
      </w:pPr>
      <w:r>
        <w:rPr>
          <w:rFonts w:ascii="Times New Roman" w:cs="Times New Roman" w:eastAsia="Times New Roman" w:hAnsi="Times New Roman"/>
          <w:sz w:val="18"/>
          <w:szCs w:val="18"/>
          <w:color w:val="auto"/>
        </w:rPr>
        <w:t>Detroit, Michigan gaming market being closed until August 5, 2020 and being closed once again from November 18, 2020 to December 23, 2020.</w:t>
      </w:r>
    </w:p>
    <w:p>
      <w:pPr>
        <w:spacing w:after="0" w:line="190" w:lineRule="exact"/>
        <w:rPr>
          <w:sz w:val="20"/>
          <w:szCs w:val="20"/>
          <w:color w:val="auto"/>
        </w:rPr>
      </w:pPr>
    </w:p>
    <w:p>
      <w:pPr>
        <w:ind w:left="1300" w:right="60" w:hanging="321"/>
        <w:spacing w:after="0" w:line="25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rent resets in the Amended Pinnacle Master Lease and the Boyd Master Lease reset for the two year period ended April 30, 2020, which resulted in a $5.0 million and a $1.4 million reduction in annual variable rent on each of these leases, respectively, which will prevail for the subsequent two year period through April 30, 2022. In addition, the Meadows Lease variable rent reset occurred in October 2020 which lowered variable rent annually by $2.1 million. The Caesars Master Lease variable rent reset was scheduled to occur in October 2020; however, the variable rent component was removed in its entirety commencing with the third lease year in connection with the Amended and Restated Caesars Master Lease. We have no other variable resets scheduled to occur until 2022.</w:t>
      </w:r>
    </w:p>
    <w:p>
      <w:pPr>
        <w:spacing w:after="0" w:line="212" w:lineRule="exact"/>
        <w:rPr>
          <w:rFonts w:ascii="Times New Roman" w:cs="Times New Roman" w:eastAsia="Times New Roman" w:hAnsi="Times New Roman"/>
          <w:sz w:val="18"/>
          <w:szCs w:val="18"/>
          <w:color w:val="auto"/>
        </w:rPr>
      </w:pPr>
    </w:p>
    <w:p>
      <w:pPr>
        <w:ind w:left="1300" w:right="460" w:hanging="321"/>
        <w:spacing w:after="0" w:line="28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several wholly-owned subsidiaries of Penn lease a substantial number of our properties which account for a significant portion of our revenue, pursuant to two master leases and a single property lease.</w:t>
      </w:r>
    </w:p>
    <w:p>
      <w:pPr>
        <w:spacing w:after="0" w:line="189" w:lineRule="exact"/>
        <w:rPr>
          <w:rFonts w:ascii="Times New Roman" w:cs="Times New Roman" w:eastAsia="Times New Roman" w:hAnsi="Times New Roman"/>
          <w:sz w:val="18"/>
          <w:szCs w:val="18"/>
          <w:color w:val="auto"/>
        </w:rPr>
      </w:pPr>
    </w:p>
    <w:p>
      <w:pPr>
        <w:ind w:left="1300" w:hanging="321"/>
        <w:spacing w:after="0" w:line="28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2020, we acquired from Penn the real property assets of Tropicana Las Vegas in return for $307.5 million in rent credits. There can be no assurance that we will realize a return on this investment.</w:t>
      </w:r>
    </w:p>
    <w:p>
      <w:pPr>
        <w:spacing w:after="0" w:line="189" w:lineRule="exact"/>
        <w:rPr>
          <w:rFonts w:ascii="Times New Roman" w:cs="Times New Roman" w:eastAsia="Times New Roman" w:hAnsi="Times New Roman"/>
          <w:sz w:val="18"/>
          <w:szCs w:val="18"/>
          <w:color w:val="auto"/>
        </w:rPr>
      </w:pPr>
    </w:p>
    <w:p>
      <w:pPr>
        <w:jc w:val="both"/>
        <w:ind w:left="1300" w:hanging="321"/>
        <w:spacing w:after="0" w:line="254"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in 2020. The Company is leasing the land back to an affiliate of Penn pursuant to the Morgantown Lease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w:t>
      </w:r>
    </w:p>
    <w:p>
      <w:pPr>
        <w:spacing w:after="0" w:line="212" w:lineRule="exact"/>
        <w:rPr>
          <w:rFonts w:ascii="Times New Roman" w:cs="Times New Roman" w:eastAsia="Times New Roman" w:hAnsi="Times New Roman"/>
          <w:sz w:val="18"/>
          <w:szCs w:val="18"/>
          <w:color w:val="auto"/>
        </w:rPr>
      </w:pPr>
    </w:p>
    <w:p>
      <w:pPr>
        <w:jc w:val="both"/>
        <w:ind w:left="1300" w:hanging="321"/>
        <w:spacing w:after="0" w:line="260"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Exchange Agreement with Caesars described earlier, whereby the Company acquired Waterloo and Bettendorf to replace Tropicana Evansville under the Amended and Restated Caesars Master Lease, the Company recorded a non-cash gain of $41.4 million in the fourth quarter of 2020, which represented the difference between the fair value of the properties received compared to the carrying value of Tropicana Evansville and the cash payment of $5.7 million made to Caesars.</w:t>
      </w:r>
    </w:p>
    <w:p>
      <w:pPr>
        <w:spacing w:after="0" w:line="208" w:lineRule="exact"/>
        <w:rPr>
          <w:rFonts w:ascii="Times New Roman" w:cs="Times New Roman" w:eastAsia="Times New Roman" w:hAnsi="Times New Roman"/>
          <w:sz w:val="18"/>
          <w:szCs w:val="18"/>
          <w:color w:val="auto"/>
        </w:rPr>
      </w:pPr>
    </w:p>
    <w:p>
      <w:pPr>
        <w:jc w:val="both"/>
        <w:ind w:left="1300" w:hanging="321"/>
        <w:spacing w:after="0" w:line="269" w:lineRule="auto"/>
        <w:tabs>
          <w:tab w:leader="none" w:pos="129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27, 2020, the Company entered into a series of definitive agreements pursuant to which a subsidiary of Bally's will acquire 100% of the equity interests in the Caesars subsidiary that currently operates Tropicana Evansville and the Company will reacquire the real property assets of Tropicana Evansville from Caesars for a cash purchase price of approximately $340.0 million. In addition, the Company entered into a real estate purchase agreement with Bally's pursuant to which the Company will purchase the real estate assets of the Dover Downs Hotel &amp; Casino, located in Dover, Delaware which is currently owned and operated by Bally's, for a cash purchase price of approximately $144.0 million. At the closing of the transactions, which is expected in mid-2021, subject to regulatory approvals, the Tropicana Evansville and Dover Downs Hotel and Casino facilities will be added to the Bally's Master Lease. The Company anticipates that the Bally's Master Lease will have an initial term of 15 years, with no purchase option, followed by four five-year renewal options (exercisable by the tenant) on the same terms and conditions. Rent under the Bally's Master Lease will be $40.0 million annually and is subject to an annual escalator of up to 2% determined in relation to the annual increase in the Consumer Price Index. On November 6, 2020, the Company issued 9.2 million common shares at $36.25 to partially finance the funding required for this transaction.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TRS Segment</w:t>
      </w:r>
    </w:p>
    <w:p>
      <w:pPr>
        <w:spacing w:after="0" w:line="253" w:lineRule="exact"/>
        <w:rPr>
          <w:sz w:val="20"/>
          <w:szCs w:val="20"/>
          <w:color w:val="auto"/>
        </w:rPr>
      </w:pPr>
    </w:p>
    <w:p>
      <w:pPr>
        <w:ind w:left="1300" w:right="160" w:hanging="321"/>
        <w:spacing w:after="0" w:line="258"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wholly-owned and operated TRS Properties closed in mid-March 2020 due to the COVID-19 outbreak. Our property in Baton Rouge reopened on May 18, 2020 and our property in Perryville, Maryland reopened on June 19, 2020 with enhanced safety protocols and capacity restrictions. To date, both properties have performed well in spite of lower attendance levels; however we are unable to predict whether this will continue as we believe results have benefited from pent up demand, reduced competition from non-gaming leisure related activities and federal stimulus benefits.</w:t>
      </w:r>
    </w:p>
    <w:p>
      <w:pPr>
        <w:spacing w:after="0" w:line="208" w:lineRule="exact"/>
        <w:rPr>
          <w:rFonts w:ascii="Times New Roman" w:cs="Times New Roman" w:eastAsia="Times New Roman" w:hAnsi="Times New Roman"/>
          <w:sz w:val="18"/>
          <w:szCs w:val="18"/>
          <w:color w:val="auto"/>
        </w:rPr>
      </w:pPr>
    </w:p>
    <w:p>
      <w:pPr>
        <w:jc w:val="both"/>
        <w:ind w:left="1300" w:right="740" w:hanging="321"/>
        <w:spacing w:after="0" w:line="265"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discussed, the Company has entered into definitive agreements to sell the operations of the TRS Properties while maintaining the real estate assets and in turn entering into lease agreements with the operators. These transactions are subject to customary closing conditions and regulatory approvals and are anticipated to close in mid-2021.</w:t>
      </w:r>
    </w:p>
    <w:p>
      <w:pPr>
        <w:spacing w:after="0" w:line="204" w:lineRule="exact"/>
        <w:rPr>
          <w:rFonts w:ascii="Times New Roman" w:cs="Times New Roman" w:eastAsia="Times New Roman" w:hAnsi="Times New Roman"/>
          <w:sz w:val="18"/>
          <w:szCs w:val="18"/>
          <w:color w:val="auto"/>
        </w:rPr>
      </w:pPr>
    </w:p>
    <w:p>
      <w:pPr>
        <w:ind w:left="1300" w:right="60" w:hanging="321"/>
        <w:spacing w:after="0" w:line="254"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2020, the Company and certain of its subsidiaries acquired the real property associated with the Tropicana Las Vegas from Penn. This asset has been placed in the Company's TRS Segment. 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 The Company will conduct a sale process with respect to the Tropicana Las Vegas, with Penn receiving 75% of the net proceeds above $307.5 million (plus certain taxes, expenses and costs) if a sale agreement is signed during the first 12 months following closing and 50% of net proceeds above $307.5 million (plus certain taxes, expenses and costs) if a sale agreement is signed during the subsequent 12 months following closing. Penn will not be entitled to receive any net sale proceeds if the relevant sale agreement is signed at any time after 24 months from closing.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1" w:lineRule="exact"/>
        <w:rPr>
          <w:sz w:val="20"/>
          <w:szCs w:val="20"/>
          <w:color w:val="auto"/>
        </w:rPr>
      </w:pPr>
    </w:p>
    <w:p>
      <w:pPr>
        <w:ind w:firstLine="647"/>
        <w:spacing w:after="0" w:line="280" w:lineRule="auto"/>
        <w:rPr>
          <w:sz w:val="20"/>
          <w:szCs w:val="20"/>
          <w:color w:val="auto"/>
        </w:rPr>
      </w:pPr>
      <w:r>
        <w:rPr>
          <w:rFonts w:ascii="Times New Roman" w:cs="Times New Roman" w:eastAsia="Times New Roman" w:hAnsi="Times New Roman"/>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income taxes, and real estate investments as critical accounting estimates, as they are the most important to our financial statement presentation and require difficult, subjective and complex judgments.</w:t>
      </w:r>
    </w:p>
    <w:p>
      <w:pPr>
        <w:spacing w:after="0" w:line="86" w:lineRule="exact"/>
        <w:rPr>
          <w:sz w:val="20"/>
          <w:szCs w:val="20"/>
          <w:color w:val="auto"/>
        </w:rPr>
      </w:pPr>
    </w:p>
    <w:p>
      <w:pPr>
        <w:ind w:right="140" w:firstLine="647"/>
        <w:spacing w:after="0" w:line="260"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160" w:firstLine="647"/>
        <w:spacing w:after="0" w:line="274" w:lineRule="auto"/>
        <w:rPr>
          <w:sz w:val="20"/>
          <w:szCs w:val="20"/>
          <w:color w:val="auto"/>
        </w:rPr>
      </w:pPr>
      <w:r>
        <w:rPr>
          <w:rFonts w:ascii="Times New Roman" w:cs="Times New Roman" w:eastAsia="Times New Roman" w:hAnsi="Times New Roman"/>
          <w:sz w:val="17"/>
          <w:szCs w:val="17"/>
          <w:color w:val="auto"/>
        </w:rPr>
        <w:t>As a REIT, the majority of our revenues are derived from rent received from our tenants under long-term triple-net leases. Currently, we have master leases with Penn, Caesars and Boyd under which we lease thirty one, six and three properties, respectively, to these tenants. We also have a long-term lease with Casino Queen and separate single property leases with Penn, Caesars and Boyd. The accounting guidance under ASC 842 is complex and requires the use of judgments and assumptions by management to determine the proper accounting treatment of a lease. We perform a lease classification test upon the entry into any new tenant lease or lease modification to determine if we will account for the lease as an operating or sales-type lease. The revenue recognition model and thus the presentation of our financial statements is significantly different under operating leases and sales-type leases.</w:t>
      </w:r>
    </w:p>
    <w:p>
      <w:pPr>
        <w:spacing w:after="0" w:line="198" w:lineRule="exact"/>
        <w:rPr>
          <w:sz w:val="20"/>
          <w:szCs w:val="20"/>
          <w:color w:val="auto"/>
        </w:rPr>
      </w:pPr>
    </w:p>
    <w:p>
      <w:pPr>
        <w:ind w:right="100" w:firstLine="647"/>
        <w:spacing w:after="0" w:line="256" w:lineRule="auto"/>
        <w:rPr>
          <w:sz w:val="20"/>
          <w:szCs w:val="20"/>
          <w:color w:val="auto"/>
        </w:rPr>
      </w:pPr>
      <w:r>
        <w:rPr>
          <w:rFonts w:ascii="Times New Roman" w:cs="Times New Roman" w:eastAsia="Times New Roman" w:hAnsi="Times New Roman"/>
          <w:sz w:val="18"/>
          <w:szCs w:val="18"/>
          <w:color w:val="auto"/>
        </w:rPr>
        <w:t>Under the operating lease model, as the lessor, the assets we own and lease to our tenants remain on our balance sheet as real estate investments and we record rental revenues on a straight-line basis over the lease term. This includes the recognition of percentage rents that are fixed and determinable at the lease inception date on a straight-line basis over the entire lease term, resulting in the recognition of deferred rental revenue on our consolidated balance sheets. Deferred rental revenue is amortized to rental revenue on a straight-line basis over the remainder of the lease term. The lease term includes the initial non-cancelable lease term and any reasonably assured renewal periods. Contingent rental income that is not fixed and determinable at lease inception is recognized only when the lessee achieves the specified target.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40" w:firstLine="647"/>
        <w:spacing w:after="0" w:line="256" w:lineRule="auto"/>
        <w:rPr>
          <w:sz w:val="20"/>
          <w:szCs w:val="20"/>
          <w:color w:val="auto"/>
        </w:rPr>
      </w:pPr>
      <w:r>
        <w:rPr>
          <w:rFonts w:ascii="Times New Roman" w:cs="Times New Roman" w:eastAsia="Times New Roman" w:hAnsi="Times New Roman"/>
          <w:sz w:val="18"/>
          <w:szCs w:val="18"/>
          <w:color w:val="auto"/>
        </w:rPr>
        <w:t>Under the sales-type lease model, however, at lease inception we would record an investment in sales-type lease on our consolidated balance sheet rather than recording the actual assets we own. Furthermore, the cash rent we receive from tenants is not entirely recorded as rental revenue, but rather a portion is recorded as interest income and a portion is recorded as a reduction to the lease receivable. Under ASC 842, for leases with both land and building components, leases may be bifurcated between operating and sales-type leases. To determine if our real estate leases trigger full or partial sales-type lease treatment we conduct the five lease tests outlined in ASC 842 below. If a lease meets any of the five criteria below, it is accounted for as a sales-type lease.</w:t>
      </w:r>
    </w:p>
    <w:p>
      <w:pPr>
        <w:spacing w:after="0" w:line="208" w:lineRule="exact"/>
        <w:rPr>
          <w:sz w:val="20"/>
          <w:szCs w:val="20"/>
          <w:color w:val="auto"/>
        </w:rPr>
      </w:pPr>
    </w:p>
    <w:p>
      <w:pPr>
        <w:ind w:right="220" w:firstLine="331"/>
        <w:spacing w:after="0" w:line="268" w:lineRule="auto"/>
        <w:tabs>
          <w:tab w:leader="none" w:pos="6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of ownership - </w:t>
      </w:r>
      <w:r>
        <w:rPr>
          <w:rFonts w:ascii="Times New Roman" w:cs="Times New Roman" w:eastAsia="Times New Roman" w:hAnsi="Times New Roman"/>
          <w:sz w:val="18"/>
          <w:szCs w:val="18"/>
          <w:color w:val="auto"/>
        </w:rPr>
        <w:t>The lease transfers ownership of the underlying asset to the lessee by the end of the lease term. This criterion is met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situations in which the lease agreement provides for the transfer of title at or shortly after the end of the lease term in exchange for the payment of a nominal fee, for example, the minimum required by statutory regulation to transfer title.</w:t>
      </w:r>
    </w:p>
    <w:p>
      <w:pPr>
        <w:spacing w:after="0" w:line="196" w:lineRule="exact"/>
        <w:rPr>
          <w:rFonts w:ascii="Times New Roman" w:cs="Times New Roman" w:eastAsia="Times New Roman" w:hAnsi="Times New Roman"/>
          <w:sz w:val="18"/>
          <w:szCs w:val="18"/>
          <w:color w:val="auto"/>
        </w:rPr>
      </w:pPr>
    </w:p>
    <w:p>
      <w:pPr>
        <w:ind w:right="240" w:firstLine="331"/>
        <w:spacing w:after="0" w:line="268" w:lineRule="auto"/>
        <w:tabs>
          <w:tab w:leader="none" w:pos="6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Bargain purchase option </w:t>
      </w:r>
      <w:r>
        <w:rPr>
          <w:rFonts w:ascii="Times New Roman" w:cs="Times New Roman" w:eastAsia="Times New Roman" w:hAnsi="Times New Roman"/>
          <w:sz w:val="18"/>
          <w:szCs w:val="18"/>
          <w:color w:val="auto"/>
        </w:rPr>
        <w:t>- The lease contains a bargain purchase option, which is a provision allowing the lessee, at its option, to purchase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leased property for a price which is sufficiently lower than the expected fair value of the property at the date the option becomes exercisable and that is reasonably certain to be exercised.</w:t>
      </w:r>
    </w:p>
    <w:p>
      <w:pPr>
        <w:spacing w:after="0" w:line="196" w:lineRule="exact"/>
        <w:rPr>
          <w:rFonts w:ascii="Times New Roman" w:cs="Times New Roman" w:eastAsia="Times New Roman" w:hAnsi="Times New Roman"/>
          <w:sz w:val="18"/>
          <w:szCs w:val="18"/>
          <w:color w:val="auto"/>
        </w:rPr>
      </w:pPr>
    </w:p>
    <w:p>
      <w:pPr>
        <w:ind w:right="20" w:firstLine="331"/>
        <w:spacing w:after="0" w:line="286" w:lineRule="auto"/>
        <w:tabs>
          <w:tab w:leader="none" w:pos="6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Lease term </w:t>
      </w:r>
      <w:r>
        <w:rPr>
          <w:rFonts w:ascii="Times New Roman" w:cs="Times New Roman" w:eastAsia="Times New Roman" w:hAnsi="Times New Roman"/>
          <w:sz w:val="18"/>
          <w:szCs w:val="18"/>
          <w:color w:val="auto"/>
        </w:rPr>
        <w:t>- The lease term is for the major part of the remaining economic life of the underlying asset. However, if the commencement date falls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or near the end of the economic life of the underlying asset, this criterion shall not be used for purposes of classifying the lease.</w:t>
      </w:r>
    </w:p>
    <w:p>
      <w:pPr>
        <w:spacing w:after="0" w:line="180" w:lineRule="exact"/>
        <w:rPr>
          <w:rFonts w:ascii="Times New Roman" w:cs="Times New Roman" w:eastAsia="Times New Roman" w:hAnsi="Times New Roman"/>
          <w:sz w:val="18"/>
          <w:szCs w:val="18"/>
          <w:color w:val="auto"/>
        </w:rPr>
      </w:pPr>
    </w:p>
    <w:p>
      <w:pPr>
        <w:ind w:firstLine="331"/>
        <w:spacing w:after="0" w:line="286" w:lineRule="auto"/>
        <w:tabs>
          <w:tab w:leader="none" w:pos="6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Minimum lease payments </w:t>
      </w:r>
      <w:r>
        <w:rPr>
          <w:rFonts w:ascii="Times New Roman" w:cs="Times New Roman" w:eastAsia="Times New Roman" w:hAnsi="Times New Roman"/>
          <w:sz w:val="18"/>
          <w:szCs w:val="18"/>
          <w:color w:val="auto"/>
        </w:rPr>
        <w:t>- The present value of the sum of the lease payments and any residual value guaranteed by the lessee that is not already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reflected in the lease payments equals or exceeds substantially all of the fair value of the underlying asset.</w:t>
      </w:r>
    </w:p>
    <w:p>
      <w:pPr>
        <w:spacing w:after="0" w:line="180" w:lineRule="exact"/>
        <w:rPr>
          <w:rFonts w:ascii="Times New Roman" w:cs="Times New Roman" w:eastAsia="Times New Roman" w:hAnsi="Times New Roman"/>
          <w:sz w:val="18"/>
          <w:szCs w:val="18"/>
          <w:color w:val="auto"/>
        </w:rPr>
      </w:pPr>
    </w:p>
    <w:p>
      <w:pPr>
        <w:ind w:right="140" w:firstLine="331"/>
        <w:spacing w:after="0" w:line="286" w:lineRule="auto"/>
        <w:tabs>
          <w:tab w:leader="none" w:pos="6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Specialized nature </w:t>
      </w:r>
      <w:r>
        <w:rPr>
          <w:rFonts w:ascii="Times New Roman" w:cs="Times New Roman" w:eastAsia="Times New Roman" w:hAnsi="Times New Roman"/>
          <w:sz w:val="18"/>
          <w:szCs w:val="18"/>
          <w:color w:val="auto"/>
        </w:rPr>
        <w:t>- The underlying asset is of such specialized nature that it is expected to have no alternative use to the lessor at the end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term.</w:t>
      </w:r>
    </w:p>
    <w:p>
      <w:pPr>
        <w:spacing w:after="0" w:line="185" w:lineRule="exact"/>
        <w:rPr>
          <w:sz w:val="20"/>
          <w:szCs w:val="20"/>
          <w:color w:val="auto"/>
        </w:rPr>
      </w:pPr>
    </w:p>
    <w:p>
      <w:pPr>
        <w:ind w:right="40" w:firstLine="647"/>
        <w:spacing w:after="0" w:line="255" w:lineRule="auto"/>
        <w:rPr>
          <w:sz w:val="20"/>
          <w:szCs w:val="20"/>
          <w:color w:val="auto"/>
        </w:rPr>
      </w:pPr>
      <w:r>
        <w:rPr>
          <w:rFonts w:ascii="Times New Roman" w:cs="Times New Roman" w:eastAsia="Times New Roman" w:hAnsi="Times New Roman"/>
          <w:sz w:val="18"/>
          <w:szCs w:val="18"/>
          <w:color w:val="auto"/>
        </w:rPr>
        <w:t>Additionally, the adoption of ASC 842 requires us to record right-of-use assets and lease liabilities on balance sheet for the assets we lease from third-party landlords, including equipment and real estate. As a lessee, we utilize our own incremental borrowing rate as the discount rate utilized to determine the initial lease liability and right-of-use asset we record on balance sheet, as well as the lease's classification as an operating or finance lease, using the same tests outlined above. Although both operating and finance leases result in the same right-of-use asset and lease liability being recorded on balance sheet at lease inception, the expense profile of the two lease types differs, in that expense is straight-lined over the term of an operating lease, while the expense profile under a finance lease is front-loaded. Furthermore, expense under the operating lease model is classified simply as lease expense, whereas the finance lease model breaks the expense into the interest expense and asset amortization expense.</w:t>
      </w:r>
    </w:p>
    <w:p>
      <w:pPr>
        <w:spacing w:after="0" w:line="213" w:lineRule="exact"/>
        <w:rPr>
          <w:sz w:val="20"/>
          <w:szCs w:val="20"/>
          <w:color w:val="auto"/>
        </w:rPr>
      </w:pPr>
    </w:p>
    <w:p>
      <w:pPr>
        <w:ind w:right="40" w:firstLine="647"/>
        <w:spacing w:after="0" w:line="260" w:lineRule="auto"/>
        <w:rPr>
          <w:sz w:val="20"/>
          <w:szCs w:val="20"/>
          <w:color w:val="auto"/>
        </w:rPr>
      </w:pPr>
      <w:r>
        <w:rPr>
          <w:rFonts w:ascii="Times New Roman" w:cs="Times New Roman" w:eastAsia="Times New Roman" w:hAnsi="Times New Roman"/>
          <w:sz w:val="18"/>
          <w:szCs w:val="18"/>
          <w:color w:val="auto"/>
        </w:rPr>
        <w:t>The tests outlined above, as well as the resulting calculations, require subjective judgments, such as determining, at lease inception, the fair value of the underlying leased assets, the residual value of the assets at the end of the lease term, the likelihood a tenant will exercise all renewal options (in order to determine the lease term), the estimated remaining economic life of the leased assets, and an allocation of rental income received under our Master Leases to the underlying leased assets. A slight change in estimate or judgment can result in a materially different financial statement presentation.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ind w:right="100" w:firstLine="647"/>
        <w:spacing w:after="0" w:line="246" w:lineRule="auto"/>
        <w:rPr>
          <w:sz w:val="20"/>
          <w:szCs w:val="20"/>
          <w:color w:val="auto"/>
        </w:rPr>
      </w:pPr>
      <w:r>
        <w:rPr>
          <w:rFonts w:ascii="Times New Roman" w:cs="Times New Roman" w:eastAsia="Times New Roman" w:hAnsi="Times New Roman"/>
          <w:sz w:val="18"/>
          <w:szCs w:val="18"/>
          <w:color w:val="auto"/>
        </w:rPr>
        <w:t>We elected on our U.S. federal income tax return for our taxable year that began on January 1, 2014 to be treated as a REIT and we, together with an indirect wholly-owned subsidiary of the Company, GLP Holdings, Inc., jointly elected to treat each of GLP Holdings, Inc., Louisiana Casino</w:t>
      </w:r>
    </w:p>
    <w:p>
      <w:pPr>
        <w:ind w:right="20"/>
        <w:spacing w:after="0" w:line="236" w:lineRule="auto"/>
        <w:rPr>
          <w:sz w:val="20"/>
          <w:szCs w:val="20"/>
          <w:color w:val="auto"/>
        </w:rPr>
      </w:pPr>
      <w:r>
        <w:rPr>
          <w:rFonts w:ascii="Times New Roman" w:cs="Times New Roman" w:eastAsia="Times New Roman" w:hAnsi="Times New Roman"/>
          <w:sz w:val="18"/>
          <w:szCs w:val="18"/>
          <w:color w:val="auto"/>
        </w:rPr>
        <w:t>Cruises, Inc. and Penn Cecil Maryland, Inc. as a "taxable REIT subsidiary" effective on the first day of the first taxable year of GLPI as a REIT. In addition, during 2020, the Company and Tropicana LV, LLC, a wholly owned subsidiary of the Company which holds the real estate of Tropicana Las Vegas, elected to treat Tropicana LV, LLC as a “taxable REIT subsidiary”.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determined without regard to the dividends paid deduction and excluding any net capital gain, and meet the various other requirements imposed by the Code relating to matters such as operating results, asset holdings, distribution levels, and diversity of stock ownership.</w:t>
      </w:r>
    </w:p>
    <w:p>
      <w:pPr>
        <w:spacing w:after="0" w:line="119" w:lineRule="exact"/>
        <w:rPr>
          <w:sz w:val="20"/>
          <w:szCs w:val="20"/>
          <w:color w:val="auto"/>
        </w:rPr>
      </w:pPr>
    </w:p>
    <w:p>
      <w:pPr>
        <w:jc w:val="both"/>
        <w:ind w:right="440" w:firstLine="647"/>
        <w:spacing w:after="0" w:line="265"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to be taxed as a REIT. It is not possible to state whether in all circumstances we would be entitled to this statutory relief.</w:t>
      </w:r>
    </w:p>
    <w:p>
      <w:pPr>
        <w:spacing w:after="0" w:line="101" w:lineRule="exact"/>
        <w:rPr>
          <w:sz w:val="20"/>
          <w:szCs w:val="20"/>
          <w:color w:val="auto"/>
        </w:rPr>
      </w:pPr>
    </w:p>
    <w:p>
      <w:pPr>
        <w:ind w:right="40" w:firstLine="647"/>
        <w:spacing w:after="0" w:line="281" w:lineRule="auto"/>
        <w:rPr>
          <w:sz w:val="20"/>
          <w:szCs w:val="20"/>
          <w:color w:val="auto"/>
        </w:rPr>
      </w:pPr>
      <w:r>
        <w:rPr>
          <w:rFonts w:ascii="Times New Roman" w:cs="Times New Roman" w:eastAsia="Times New Roman" w:hAnsi="Times New Roman"/>
          <w:sz w:val="18"/>
          <w:szCs w:val="18"/>
          <w:color w:val="auto"/>
        </w:rPr>
        <w:t>Our TRS Segment is able to engage in activities resulting in income that would not be qualifying income for a REIT. As a result, certain activities of the Company which occur within our TRS Segment are subject to federal and state income taxes.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Investments</w:t>
      </w:r>
    </w:p>
    <w:p>
      <w:pPr>
        <w:spacing w:after="0" w:line="159" w:lineRule="exact"/>
        <w:rPr>
          <w:sz w:val="20"/>
          <w:szCs w:val="20"/>
          <w:color w:val="auto"/>
        </w:rPr>
      </w:pPr>
    </w:p>
    <w:p>
      <w:pPr>
        <w:ind w:right="200" w:firstLine="647"/>
        <w:spacing w:after="0" w:line="274" w:lineRule="auto"/>
        <w:rPr>
          <w:sz w:val="20"/>
          <w:szCs w:val="20"/>
          <w:color w:val="auto"/>
        </w:rPr>
      </w:pPr>
      <w:r>
        <w:rPr>
          <w:rFonts w:ascii="Times New Roman" w:cs="Times New Roman" w:eastAsia="Times New Roman" w:hAnsi="Times New Roman"/>
          <w:sz w:val="17"/>
          <w:szCs w:val="17"/>
          <w:color w:val="auto"/>
        </w:rPr>
        <w:t>Real estate investments primarily represent land and buildings leased to the Company's tenants. Real estate investments that we received in connection with the Spin-Off were contributed to us at Penn's historical carrying amount. We record the acquisition of real estate at fair value, including acquisition and closing costs. The cost of properties developed by GLPI includes costs of construction, property taxes, interest and other miscellaneous costs incurred during the development period until the project is substantially complete and available for occupancy. We consider the period of future benefit of the asset to determine the appropriate useful lives. Depreciation is computed using a straight-line method over the estimated useful lives of the buildings and building improvements. If we used a shorter or longer estimated useful life, it could have a material impact on our results of operations.</w:t>
      </w:r>
    </w:p>
    <w:p>
      <w:pPr>
        <w:spacing w:after="0" w:line="90" w:lineRule="exact"/>
        <w:rPr>
          <w:sz w:val="20"/>
          <w:szCs w:val="20"/>
          <w:color w:val="auto"/>
        </w:rPr>
      </w:pPr>
    </w:p>
    <w:p>
      <w:pPr>
        <w:ind w:right="20" w:firstLine="647"/>
        <w:spacing w:after="0" w:line="269" w:lineRule="auto"/>
        <w:rPr>
          <w:sz w:val="20"/>
          <w:szCs w:val="20"/>
          <w:color w:val="auto"/>
        </w:rPr>
      </w:pPr>
      <w:r>
        <w:rPr>
          <w:rFonts w:ascii="Times New Roman" w:cs="Times New Roman" w:eastAsia="Times New Roman" w:hAnsi="Times New Roman"/>
          <w:sz w:val="17"/>
          <w:szCs w:val="17"/>
          <w:color w:val="auto"/>
        </w:rPr>
        <w:t>We continually monitor events and circumstances that could indicate that the carrying amount of our real estate investments may not be recoverable or realized. The factors considered by the Company in performing these assessments include evaluating whether the tenant is current on their lease payments, the tenant’s rent coverage ratio, the financial stability of the tenant and its parent company, and any other relevant factors. When indicators of potential impairment suggest that the carrying value of a real estate investment may not be recoverable, we estimate the fair value of the investment by calculating the undiscounted future cash flows from the use and eventual disposition of the investment. This amount is compared to the asset's carrying value. If we determine the carrying amount is not recoverable, we would recognize an impairment charge equivalent to the amount required to reduce the carrying value of the asset to its estimated fair value, calculated in accordance with U.S. Generally Accepted Accounting Principles ("GAAP"). We group our real estate investments together by lease, the lowest level for which identifiable cash flows are available, in evaluating impairment. In assessing the recoverability of the carrying value, we must make assumptions regarding future cash flows and other factors. Factors considered in performing this assessment include current operating results, market and other applicable trends and residual values, as well as the effect of obsolescence, demand, competition and other factors. If these estimates or the related assumptions change in the future, we may be required to record an impairment loss.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most important factors and trends that contribute or may contribute to our operating performance:</w:t>
      </w:r>
    </w:p>
    <w:p>
      <w:pPr>
        <w:spacing w:after="0" w:line="251" w:lineRule="exact"/>
        <w:rPr>
          <w:sz w:val="20"/>
          <w:szCs w:val="20"/>
          <w:color w:val="auto"/>
        </w:rPr>
      </w:pPr>
    </w:p>
    <w:p>
      <w:pPr>
        <w:ind w:left="660" w:right="20" w:hanging="329"/>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several wholly-owned subsidiaries of Penn lease a substantial number of our properties, pursuant to two master leases and two single property leases and account for a significant portion of our revenue.</w:t>
      </w:r>
    </w:p>
    <w:p>
      <w:pPr>
        <w:spacing w:after="0" w:line="189" w:lineRule="exact"/>
        <w:rPr>
          <w:rFonts w:ascii="Times New Roman" w:cs="Times New Roman" w:eastAsia="Times New Roman" w:hAnsi="Times New Roman"/>
          <w:sz w:val="18"/>
          <w:szCs w:val="18"/>
          <w:color w:val="auto"/>
        </w:rPr>
      </w:pPr>
    </w:p>
    <w:p>
      <w:pPr>
        <w:jc w:val="both"/>
        <w:ind w:left="660" w:right="120" w:hanging="329"/>
        <w:spacing w:after="0" w:line="26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economic conditions, including uncertainty related to COVID-19 and the effect of such conditions on consumer spending for leisure and gaming activities, which may negatively impact our gaming tenants and operators and the variable rent and annual rent escalators we receive from our tenants as outlined in the long-term triple-net leases with these tenants.</w:t>
      </w:r>
    </w:p>
    <w:p>
      <w:pPr>
        <w:spacing w:after="0" w:line="204" w:lineRule="exact"/>
        <w:rPr>
          <w:rFonts w:ascii="Times New Roman" w:cs="Times New Roman" w:eastAsia="Times New Roman" w:hAnsi="Times New Roman"/>
          <w:sz w:val="18"/>
          <w:szCs w:val="18"/>
          <w:color w:val="auto"/>
        </w:rPr>
      </w:pPr>
    </w:p>
    <w:p>
      <w:pPr>
        <w:ind w:left="660" w:right="780" w:hanging="329"/>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refinance our significant levels of debt at attractive terms and obtain favorable funding in connection with future business opportunities.</w:t>
      </w:r>
    </w:p>
    <w:p>
      <w:pPr>
        <w:spacing w:after="0" w:line="162" w:lineRule="exact"/>
        <w:rPr>
          <w:rFonts w:ascii="Times New Roman" w:cs="Times New Roman" w:eastAsia="Times New Roman" w:hAnsi="Times New Roman"/>
          <w:sz w:val="18"/>
          <w:szCs w:val="18"/>
          <w:color w:val="auto"/>
        </w:rPr>
      </w:pPr>
    </w:p>
    <w:p>
      <w:pPr>
        <w:ind w:left="660" w:hanging="329"/>
        <w:spacing w:after="0" w:line="26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results of operations for the years ended December 31, 2020 and 2019 are summarized below:</w:t>
      </w:r>
    </w:p>
    <w:p>
      <w:pPr>
        <w:spacing w:after="0" w:line="286" w:lineRule="exact"/>
        <w:rPr>
          <w:sz w:val="20"/>
          <w:szCs w:val="20"/>
          <w:color w:val="auto"/>
        </w:rPr>
      </w:pPr>
    </w:p>
    <w:tbl>
      <w:tblPr>
        <w:tblLayout w:type="fixed"/>
        <w:tblInd w:w="1820" w:type="dxa"/>
        <w:tblCellMar>
          <w:top w:w="0" w:type="dxa"/>
          <w:left w:w="0" w:type="dxa"/>
          <w:bottom w:w="0" w:type="dxa"/>
          <w:right w:w="0" w:type="dxa"/>
        </w:tblCellMar>
      </w:tblPr>
      <w:tr>
        <w:trPr>
          <w:trHeight w:val="194"/>
        </w:trPr>
        <w:tc>
          <w:tcPr>
            <w:tcW w:w="39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188"/>
        </w:trPr>
        <w:tc>
          <w:tcPr>
            <w:tcW w:w="39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2"/>
        </w:trPr>
        <w:tc>
          <w:tcPr>
            <w:tcW w:w="3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5"/>
                <w:szCs w:val="15"/>
                <w:color w:val="auto"/>
              </w:rPr>
            </w:pPr>
          </w:p>
        </w:tc>
      </w:tr>
      <w:tr>
        <w:trPr>
          <w:trHeight w:val="230"/>
        </w:trPr>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1,153,165</w:t>
            </w:r>
          </w:p>
        </w:tc>
        <w:tc>
          <w:tcPr>
            <w:tcW w:w="13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1,153,473</w:t>
            </w:r>
          </w:p>
        </w:tc>
      </w:tr>
      <w:tr>
        <w:trPr>
          <w:trHeight w:val="223"/>
        </w:trPr>
        <w:tc>
          <w:tcPr>
            <w:tcW w:w="39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343,891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436,050</w:t>
            </w:r>
          </w:p>
        </w:tc>
      </w:tr>
      <w:tr>
        <w:trPr>
          <w:trHeight w:val="223"/>
        </w:trPr>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717,423</w:t>
            </w:r>
          </w:p>
        </w:tc>
      </w:tr>
      <w:tr>
        <w:trPr>
          <w:trHeight w:val="229"/>
        </w:trPr>
        <w:tc>
          <w:tcPr>
            <w:tcW w:w="39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expenses</w:t>
            </w:r>
          </w:p>
        </w:tc>
        <w:tc>
          <w:tcPr>
            <w:tcW w:w="10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(299,686)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(321,778)</w:t>
            </w:r>
          </w:p>
        </w:tc>
      </w:tr>
      <w:tr>
        <w:trPr>
          <w:trHeight w:val="223"/>
        </w:trPr>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395,645</w:t>
            </w:r>
          </w:p>
        </w:tc>
      </w:tr>
      <w:tr>
        <w:trPr>
          <w:trHeight w:val="229"/>
        </w:trPr>
        <w:tc>
          <w:tcPr>
            <w:tcW w:w="39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48"/>
        </w:trPr>
        <w:tc>
          <w:tcPr>
            <w:tcW w:w="3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505,711</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390,881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In accordance with the SEC's recent amendments to modernize and simplify Regulation S-K, the Company has omitted the discussion comparing its operating results for the year ended December 31, 2019 to its operating results for the year ended December 31, 2018 from its Annual Report on Form 10-K for the year ended December 31, 2020. Readers are directed to Item 7 of the Company's Annual Report on Form 10-K for the year ended December 31, 2019 for these disclosures.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information regarding our results of operations by segment for the years ended December 31, 2020 and 2019 is summarized below:</w:t>
      </w:r>
    </w:p>
    <w:p>
      <w:pPr>
        <w:spacing w:after="0" w:line="124" w:lineRule="exact"/>
        <w:rPr>
          <w:sz w:val="20"/>
          <w:szCs w:val="20"/>
          <w:color w:val="auto"/>
        </w:rPr>
      </w:pPr>
    </w:p>
    <w:tbl>
      <w:tblPr>
        <w:tblLayout w:type="fixed"/>
        <w:tblInd w:w="1300" w:type="dxa"/>
        <w:tblCellMar>
          <w:top w:w="0" w:type="dxa"/>
          <w:left w:w="0" w:type="dxa"/>
          <w:bottom w:w="0" w:type="dxa"/>
          <w:right w:w="0" w:type="dxa"/>
        </w:tblCellMar>
      </w:tblPr>
      <w:tr>
        <w:trPr>
          <w:trHeight w:val="194"/>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00" w:type="dxa"/>
            <w:vAlign w:val="bottom"/>
          </w:tcPr>
          <w:p>
            <w:pPr>
              <w:spacing w:after="0"/>
              <w:rPr>
                <w:sz w:val="16"/>
                <w:szCs w:val="16"/>
                <w:color w:val="auto"/>
              </w:rPr>
            </w:pPr>
          </w:p>
        </w:tc>
        <w:tc>
          <w:tcPr>
            <w:tcW w:w="206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r>
      <w:tr>
        <w:trPr>
          <w:trHeight w:val="188"/>
        </w:trPr>
        <w:tc>
          <w:tcPr>
            <w:tcW w:w="28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2000" w:type="dxa"/>
            <w:vAlign w:val="bottom"/>
            <w:tcBorders>
              <w:top w:val="single" w:sz="8" w:color="auto"/>
              <w:bottom w:val="single" w:sz="8" w:color="auto"/>
            </w:tcBorders>
            <w:gridSpan w:val="4"/>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60" w:type="dxa"/>
            <w:vAlign w:val="bottom"/>
            <w:tcBorders>
              <w:top w:val="single" w:sz="8" w:color="auto"/>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2"/>
        </w:trPr>
        <w:tc>
          <w:tcPr>
            <w:tcW w:w="2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2"/>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GLP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694,215</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TRS Segment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23,208</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717,423</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FFO, AFFO and Adjusted EBITDA</w:t>
      </w:r>
    </w:p>
    <w:p>
      <w:pPr>
        <w:spacing w:after="0" w:line="229" w:lineRule="exact"/>
        <w:rPr>
          <w:sz w:val="20"/>
          <w:szCs w:val="20"/>
          <w:color w:val="auto"/>
        </w:rPr>
      </w:pPr>
    </w:p>
    <w:p>
      <w:pPr>
        <w:ind w:right="60" w:firstLine="647"/>
        <w:spacing w:after="0" w:line="258" w:lineRule="auto"/>
        <w:rPr>
          <w:sz w:val="20"/>
          <w:szCs w:val="20"/>
          <w:color w:val="auto"/>
        </w:rPr>
      </w:pPr>
      <w:r>
        <w:rPr>
          <w:rFonts w:ascii="Times New Roman" w:cs="Times New Roman" w:eastAsia="Times New Roman" w:hAnsi="Times New Roman"/>
          <w:sz w:val="18"/>
          <w:szCs w:val="18"/>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209" w:lineRule="exact"/>
        <w:rPr>
          <w:sz w:val="20"/>
          <w:szCs w:val="20"/>
          <w:color w:val="auto"/>
        </w:rPr>
      </w:pPr>
    </w:p>
    <w:p>
      <w:pPr>
        <w:ind w:firstLine="647"/>
        <w:spacing w:after="0" w:line="254" w:lineRule="auto"/>
        <w:rPr>
          <w:sz w:val="20"/>
          <w:szCs w:val="20"/>
          <w:color w:val="auto"/>
        </w:rPr>
      </w:pPr>
      <w:r>
        <w:rPr>
          <w:rFonts w:ascii="Times New Roman" w:cs="Times New Roman" w:eastAsia="Times New Roman" w:hAnsi="Times New Roman"/>
          <w:sz w:val="18"/>
          <w:szCs w:val="18"/>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amortization of land rights, straight-line rent adjustments, losses on debt extinguishment, and loan impairment charges, reduced by maintenance capital expenditures. Finally, we define Adjusted EBITDA as net income excluding interest, taxes on income, depreciation, (gains) or losses from sales of property, stock based compensation expense, straight-line rent adjustments, amortization of debt issuance costs, bond premiums and original issuance discounts, amortization of land rights, losses on debt extinguishment, and loan impairment charges.</w:t>
      </w:r>
    </w:p>
    <w:p>
      <w:pPr>
        <w:spacing w:after="0" w:line="189" w:lineRule="exact"/>
        <w:rPr>
          <w:sz w:val="20"/>
          <w:szCs w:val="20"/>
          <w:color w:val="auto"/>
        </w:rPr>
      </w:pPr>
    </w:p>
    <w:p>
      <w:pPr>
        <w:ind w:right="20" w:firstLine="647"/>
        <w:spacing w:after="0" w:line="255" w:lineRule="auto"/>
        <w:rPr>
          <w:sz w:val="20"/>
          <w:szCs w:val="20"/>
          <w:color w:val="auto"/>
        </w:rPr>
      </w:pPr>
      <w:r>
        <w:rPr>
          <w:rFonts w:ascii="Times New Roman" w:cs="Times New Roman" w:eastAsia="Times New Roman" w:hAnsi="Times New Roman"/>
          <w:sz w:val="18"/>
          <w:szCs w:val="18"/>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firstLine="647"/>
        <w:spacing w:after="0" w:line="281" w:lineRule="auto"/>
        <w:rPr>
          <w:sz w:val="20"/>
          <w:szCs w:val="20"/>
          <w:color w:val="auto"/>
        </w:rPr>
      </w:pPr>
      <w:r>
        <w:rPr>
          <w:rFonts w:ascii="Times New Roman" w:cs="Times New Roman" w:eastAsia="Times New Roman" w:hAnsi="Times New Roman"/>
          <w:sz w:val="18"/>
          <w:szCs w:val="18"/>
          <w:color w:val="auto"/>
        </w:rPr>
        <w:t>The reconciliation of the Company’s net income per GAAP to FFO, AFFO, and Adjusted EBITDA for the years ended December 31, 2020 and 2019 is as follows:</w:t>
      </w:r>
    </w:p>
    <w:p>
      <w:pPr>
        <w:spacing w:after="0" w:line="197" w:lineRule="exact"/>
        <w:rPr>
          <w:sz w:val="20"/>
          <w:szCs w:val="20"/>
          <w:color w:val="auto"/>
        </w:rPr>
      </w:pPr>
    </w:p>
    <w:tbl>
      <w:tblPr>
        <w:tblLayout w:type="fixed"/>
        <w:tblInd w:w="840" w:type="dxa"/>
        <w:tblCellMar>
          <w:top w:w="0" w:type="dxa"/>
          <w:left w:w="0" w:type="dxa"/>
          <w:bottom w:w="0" w:type="dxa"/>
          <w:right w:w="0" w:type="dxa"/>
        </w:tblCellMar>
      </w:tblPr>
      <w:tr>
        <w:trPr>
          <w:trHeight w:val="194"/>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2"/>
        </w:trPr>
        <w:tc>
          <w:tcPr>
            <w:tcW w:w="720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60" w:type="dxa"/>
            <w:vAlign w:val="bottom"/>
            <w:gridSpan w:val="4"/>
            <w:shd w:val="clear" w:color="auto" w:fill="CCEEFF"/>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390,881</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from dispositions of property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230,716</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684,387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621,689</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34,574</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depreciation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land rights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w:t>
            </w:r>
          </w:p>
        </w:tc>
      </w:tr>
      <w:tr>
        <w:trPr>
          <w:trHeight w:val="229"/>
        </w:trPr>
        <w:tc>
          <w:tcPr>
            <w:tcW w:w="7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issuance costs, bond premiums and original issuance discounts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debt extinguishment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impairment charges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funds from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757,379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743,168</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300,764</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issuance costs, bond premiums and original issuance discounts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1,035,456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1,040,258</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Such amortization is a non-cash component included in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6" w:right="5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260" w:firstLine="647"/>
        <w:spacing w:after="0" w:line="269" w:lineRule="auto"/>
        <w:rPr>
          <w:sz w:val="20"/>
          <w:szCs w:val="20"/>
          <w:color w:val="auto"/>
        </w:rPr>
      </w:pPr>
      <w:r>
        <w:rPr>
          <w:rFonts w:ascii="Times New Roman" w:cs="Times New Roman" w:eastAsia="Times New Roman" w:hAnsi="Times New Roman"/>
          <w:sz w:val="18"/>
          <w:szCs w:val="18"/>
          <w:color w:val="auto"/>
        </w:rPr>
        <w:t>The reconciliation of each segment’s net income per GAAP to FFO, AFFO, and Adjusted EBITDA for the years ended December 31, 2020 and 2019 is as follows:</w:t>
      </w:r>
    </w:p>
    <w:p>
      <w:pPr>
        <w:sectPr>
          <w:pgSz w:w="11900" w:h="16838" w:orient="portrait"/>
          <w:cols w:equalWidth="0" w:num="1">
            <w:col w:w="11240"/>
          </w:cols>
          <w:pgMar w:left="320" w:top="126" w:right="339" w:bottom="1440" w:gutter="0" w:footer="0" w:header="0"/>
        </w:sectPr>
      </w:pPr>
    </w:p>
    <w:p>
      <w:pPr>
        <w:spacing w:after="0" w:line="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4"/>
          <w:szCs w:val="14"/>
          <w:b w:val="1"/>
          <w:bCs w:val="1"/>
          <w:color w:val="auto"/>
        </w:rPr>
        <w:t>GLP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24765</wp:posOffset>
            </wp:positionV>
            <wp:extent cx="14382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38275" cy="8255"/>
                    </a:xfrm>
                    <a:prstGeom prst="rect">
                      <a:avLst/>
                    </a:prstGeom>
                    <a:noFill/>
                  </pic:spPr>
                </pic:pic>
              </a:graphicData>
            </a:graphic>
          </wp:anchor>
        </w:drawing>
      </w:r>
    </w:p>
    <w:p>
      <w:pPr>
        <w:spacing w:after="0" w:line="21"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TRS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24765</wp:posOffset>
            </wp:positionV>
            <wp:extent cx="14211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1"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p>
      <w:pPr>
        <w:sectPr>
          <w:pgSz w:w="11900" w:h="16838" w:orient="portrait"/>
          <w:cols w:equalWidth="0" w:num="2">
            <w:col w:w="7220" w:space="720"/>
            <w:col w:w="3300"/>
          </w:cols>
          <w:pgMar w:left="320" w:top="126" w:right="339" w:bottom="1440" w:gutter="0" w:footer="0" w:header="0"/>
          <w:type w:val="continuous"/>
        </w:sectPr>
      </w:pPr>
    </w:p>
    <w:tbl>
      <w:tblPr>
        <w:tblLayout w:type="fixed"/>
        <w:tblInd w:w="1300" w:type="dxa"/>
        <w:tblCellMar>
          <w:top w:w="0" w:type="dxa"/>
          <w:left w:w="0" w:type="dxa"/>
          <w:bottom w:w="0" w:type="dxa"/>
          <w:right w:w="0" w:type="dxa"/>
        </w:tblCellMar>
      </w:tblPr>
      <w:tr>
        <w:trPr>
          <w:trHeight w:val="194"/>
        </w:trPr>
        <w:tc>
          <w:tcPr>
            <w:tcW w:w="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508,060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382,184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8,697</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from dispositions of property</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depreciation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686,727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612,908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8,781</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depreciation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land rights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3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Amortization of debt issuance costs, bond</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premiums and original issuance discounts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debt extinguishment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impairment charges</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funds from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753,731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729,655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13,513</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Interest, net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3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Amortization of debt issuance costs, bond</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premiums and original issuance discounts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3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31,019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500" w:hanging="169"/>
        <w:spacing w:after="0"/>
        <w:tabs>
          <w:tab w:leader="none" w:pos="50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Such amortization is a non-cash component included in interest, net.</w:t>
      </w:r>
    </w:p>
    <w:p>
      <w:pPr>
        <w:spacing w:after="0" w:line="224" w:lineRule="exact"/>
        <w:rPr>
          <w:rFonts w:ascii="Times New Roman" w:cs="Times New Roman" w:eastAsia="Times New Roman" w:hAnsi="Times New Roman"/>
          <w:sz w:val="21"/>
          <w:szCs w:val="21"/>
          <w:color w:val="auto"/>
          <w:vertAlign w:val="superscript"/>
        </w:rPr>
      </w:pPr>
    </w:p>
    <w:p>
      <w:pPr>
        <w:ind w:left="660" w:right="300" w:hanging="329"/>
        <w:spacing w:after="0" w:line="229" w:lineRule="auto"/>
        <w:tabs>
          <w:tab w:leader="none" w:pos="589"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expense, net for the GLP Capital segment is net of an intercompany interest elimination of $16.0 million and $10.4 million for the years ended December 31, 2020 and 2019.</w:t>
      </w:r>
    </w:p>
    <w:p>
      <w:pPr>
        <w:spacing w:after="0" w:line="197" w:lineRule="exact"/>
        <w:rPr>
          <w:sz w:val="20"/>
          <w:szCs w:val="20"/>
          <w:color w:val="auto"/>
        </w:rPr>
      </w:pPr>
    </w:p>
    <w:p>
      <w:pPr>
        <w:ind w:right="100" w:firstLine="647"/>
        <w:spacing w:after="0" w:line="254" w:lineRule="auto"/>
        <w:rPr>
          <w:sz w:val="20"/>
          <w:szCs w:val="20"/>
          <w:color w:val="auto"/>
        </w:rPr>
      </w:pPr>
      <w:r>
        <w:rPr>
          <w:rFonts w:ascii="Times New Roman" w:cs="Times New Roman" w:eastAsia="Times New Roman" w:hAnsi="Times New Roman"/>
          <w:sz w:val="18"/>
          <w:szCs w:val="18"/>
          <w:color w:val="auto"/>
        </w:rPr>
        <w:t>Net income, FFO, AFFO, and Adjusted EBITDA for our GLP Capital segment were $508.1 million, $686.7 million, $753.7 million and $1,009.7 million, respectively, for the year ended December 31, 2020. This compared to net income, FFO, AFFO, and Adjusted EBITDA, for our GLP Capital segment of $382.2 million, $612.9 million, $729.7 million and $1,009.2 million, respectively, for the year ended December 31, 2019. The increase in net income in our GLP Capital segment was primarily driven by a $73.2 million decrease in operating expenses from a gain on the disposition of property related to the Evansville swap transaction of $41.4 million in 2020, lower land right and ground lease expense due to the acceleration of these items for the Penn closure of its Resorts Casino Tunica property in 2019 and a $13.0 million loan impairment charge related to the Casino Queen Loan in 2019. The Company also had a $27.7 million decrease in other expenses, resulting from lower interest expense due to refinancing activities and lower debt extinguishment charges, along with a $25.1 million increase in income from real estate.</w:t>
      </w:r>
    </w:p>
    <w:p>
      <w:pPr>
        <w:spacing w:after="0" w:line="216" w:lineRule="exact"/>
        <w:rPr>
          <w:sz w:val="20"/>
          <w:szCs w:val="20"/>
          <w:color w:val="auto"/>
        </w:rPr>
      </w:pPr>
    </w:p>
    <w:p>
      <w:pPr>
        <w:ind w:firstLine="647"/>
        <w:spacing w:after="0" w:line="255" w:lineRule="auto"/>
        <w:rPr>
          <w:sz w:val="20"/>
          <w:szCs w:val="20"/>
          <w:color w:val="auto"/>
        </w:rPr>
      </w:pPr>
      <w:r>
        <w:rPr>
          <w:rFonts w:ascii="Times New Roman" w:cs="Times New Roman" w:eastAsia="Times New Roman" w:hAnsi="Times New Roman"/>
          <w:sz w:val="18"/>
          <w:szCs w:val="18"/>
          <w:color w:val="auto"/>
        </w:rPr>
        <w:t>The increase in income from real estate in our GLP Capital segment was primarily due to favorable non-cash straight-line rent adjustments of $30.0 million on our Amended Pinnacle Master Lease, Boyd Master Lease and Amended and Restated Caesars Master Lease in accordance with ASC 842. We also experienced higher building base rents as the majority of our leases incurred escalators in 2019. This was partially offset by lower percentage rent resets that occurred on May 1, 2020 for the Amended Pinnacle Master Lease of $3.3 million and the Boyd Master Lease of $0.9 million due primarily to the impact of the casino closures from COVID-19, lower percentage rent of $4.0 million on the Penn Master Lease due to the temporary closure of Hollywood Casino Columbus and to a lesser extent, Hollywood Casino Toledo from mid-March 2020 to June 19, 2020 due to COVID-19, and lower percentage rent on the Meadows Lease as the variable rent reset occurred in October 2020 which decreased percentage rent by $0.5 million.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20" w:firstLine="647"/>
        <w:spacing w:after="0" w:line="255" w:lineRule="auto"/>
        <w:rPr>
          <w:sz w:val="20"/>
          <w:szCs w:val="20"/>
          <w:color w:val="auto"/>
        </w:rPr>
      </w:pPr>
      <w:r>
        <w:rPr>
          <w:rFonts w:ascii="Times New Roman" w:cs="Times New Roman" w:eastAsia="Times New Roman" w:hAnsi="Times New Roman"/>
          <w:sz w:val="18"/>
          <w:szCs w:val="18"/>
          <w:color w:val="auto"/>
        </w:rPr>
        <w:t>The decrease in operating expenses in our GLP Capital segment for the year ended December 31, 2020 as compared to the prior year period was primarily from a gain on the disposition of property related to the Evansville swap transaction of $41.4 million along with lower depreciation expense and land right amortization expense in our REIT segment of $24.1 million primarily from lower rent expense on the Company's long term ground leases due to the impact of COVID-19 and the acceleration of depreciation and amortization in 2019 resulting from the closing of Penn's Resorts Casino Tunica property. Additionally, there was a loan impairment charge of $13.0 million for the year ended December 31, 2019 related to the Casino Queen Loan. These items were partially offset by charges of $6.3 million associated with severance and stock based compensation acceleration charges for the departure of our former chief financial officer.</w:t>
      </w:r>
    </w:p>
    <w:p>
      <w:pPr>
        <w:spacing w:after="0" w:line="213" w:lineRule="exact"/>
        <w:rPr>
          <w:sz w:val="20"/>
          <w:szCs w:val="20"/>
          <w:color w:val="auto"/>
        </w:rPr>
      </w:pPr>
    </w:p>
    <w:p>
      <w:pPr>
        <w:jc w:val="both"/>
        <w:ind w:right="180" w:firstLine="647"/>
        <w:spacing w:after="0" w:line="265" w:lineRule="auto"/>
        <w:rPr>
          <w:sz w:val="20"/>
          <w:szCs w:val="20"/>
          <w:color w:val="auto"/>
        </w:rPr>
      </w:pPr>
      <w:r>
        <w:rPr>
          <w:rFonts w:ascii="Times New Roman" w:cs="Times New Roman" w:eastAsia="Times New Roman" w:hAnsi="Times New Roman"/>
          <w:sz w:val="18"/>
          <w:szCs w:val="18"/>
          <w:color w:val="auto"/>
        </w:rPr>
        <w:t>The decrease in other expenses, net for the year ended December 31, 2020 compared to the prior year was driven by lower interest expense from our refinancing activities that occurred in the third quarter of 2019 and first quarter of 2020 and lower debt extinguishment charges compared to the prior year.</w:t>
      </w:r>
    </w:p>
    <w:p>
      <w:pPr>
        <w:spacing w:after="0" w:line="204"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The increase in FFO for our GLP Capital segment for the year ended December 31, 2020 is due to the items described above, excluding gains from the disposition of property and real estate depreciation. The increase in AFFO is due to the items described above, excluding the impact of straight-line rent adjustments, loan impairment charges and the other items listed on the previous table.</w:t>
      </w:r>
    </w:p>
    <w:p>
      <w:pPr>
        <w:spacing w:after="0" w:line="204" w:lineRule="exact"/>
        <w:rPr>
          <w:sz w:val="20"/>
          <w:szCs w:val="20"/>
          <w:color w:val="auto"/>
        </w:rPr>
      </w:pPr>
    </w:p>
    <w:p>
      <w:pPr>
        <w:jc w:val="both"/>
        <w:ind w:right="340" w:firstLine="647"/>
        <w:spacing w:after="0" w:line="265" w:lineRule="auto"/>
        <w:rPr>
          <w:sz w:val="20"/>
          <w:szCs w:val="20"/>
          <w:color w:val="auto"/>
        </w:rPr>
      </w:pPr>
      <w:r>
        <w:rPr>
          <w:rFonts w:ascii="Times New Roman" w:cs="Times New Roman" w:eastAsia="Times New Roman" w:hAnsi="Times New Roman"/>
          <w:sz w:val="18"/>
          <w:szCs w:val="18"/>
          <w:color w:val="auto"/>
        </w:rPr>
        <w:t>The net loss of $2.3 million for our TRS Segment for the year ended December 31, 2020 as compared to the net income of $8.7 million for the prior year is primarily related to the impact of the mandated closures of our facilities during mid-March 2020 to May and June 2020 due to COVID-19 along with an increase in depreciation expense related to the acquisition of Tropicana Las Vegas.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for the years ended December 31, 2020 and 2019 were as follows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8"/>
        </w:trPr>
        <w:tc>
          <w:tcPr>
            <w:tcW w:w="53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2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 from real estate loans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from real estate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income from real estate</w:t>
      </w:r>
    </w:p>
    <w:p>
      <w:pPr>
        <w:spacing w:after="0" w:line="255" w:lineRule="exact"/>
        <w:rPr>
          <w:sz w:val="20"/>
          <w:szCs w:val="20"/>
          <w:color w:val="auto"/>
        </w:rPr>
      </w:pPr>
    </w:p>
    <w:p>
      <w:pPr>
        <w:ind w:right="20" w:firstLine="647"/>
        <w:spacing w:after="0" w:line="260" w:lineRule="auto"/>
        <w:rPr>
          <w:sz w:val="20"/>
          <w:szCs w:val="20"/>
          <w:color w:val="auto"/>
        </w:rPr>
      </w:pPr>
      <w:r>
        <w:rPr>
          <w:rFonts w:ascii="Times New Roman" w:cs="Times New Roman" w:eastAsia="Times New Roman" w:hAnsi="Times New Roman"/>
          <w:sz w:val="18"/>
          <w:szCs w:val="18"/>
          <w:color w:val="auto"/>
        </w:rPr>
        <w:t>For the years ended December 31, 2020 and 2019, total income from real estate was $1,050.2 million and $1,025.1 million, respectively, for our GLP Capital segment. 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income from real estate increased $25.1 million, or 2.4%, for the year ended December 31, 2020, as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As previously discussed, this was primarily due to favorable non-cash straight line rent adjustments on our Amended Pinnacle Master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Boyd Master Lease and the Amended and Restated Caesars Master Lease in accordance with ASC 842. Additionally the current year was positively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impacted by higher building base rents as the majority of our leases incurred escalators in 2019. This was partially offset by lower ground lease rents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COVID-19, lower percentage rent from the Amended Pinnacle Master Lease and Boyd Master Lease which reset on May 1, 2020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Meadows Lease which reset on October 1, 2020. Finally, the year ended December 31, 2020 was negatively impacted by lower percentage rent on the Penn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Lease due to the closures of Hollywood Casino Columbus and to a lesser extent, Hollywood Casino Toledo.</w:t>
      </w:r>
    </w:p>
    <w:p>
      <w:pPr>
        <w:spacing w:after="0" w:line="233"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The reason for the decline in interest income from real estate loans was due to the CZR loan and Belterra Park Loan both being satisfied in 2020 as the Company acquired the real estate subject to the Lumière Place Lease and the Belterra Park Lease. See Note 8 in the Notes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the Company's income from real estate for the year ended December 31, 2020 was as follows (in thousands):</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Penn</w:t>
            </w:r>
          </w:p>
        </w:tc>
        <w:tc>
          <w:tcPr>
            <w:tcW w:w="140" w:type="dxa"/>
            <w:vAlign w:val="bottom"/>
          </w:tcPr>
          <w:p>
            <w:pPr>
              <w:spacing w:after="0"/>
              <w:rPr>
                <w:sz w:val="16"/>
                <w:szCs w:val="16"/>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w:t>
            </w:r>
          </w:p>
        </w:tc>
        <w:tc>
          <w:tcPr>
            <w:tcW w:w="140" w:type="dxa"/>
            <w:vAlign w:val="bottom"/>
          </w:tcPr>
          <w:p>
            <w:pPr>
              <w:spacing w:after="0"/>
              <w:rPr>
                <w:sz w:val="16"/>
                <w:szCs w:val="16"/>
                <w:color w:val="auto"/>
              </w:rPr>
            </w:pPr>
          </w:p>
        </w:tc>
        <w:tc>
          <w:tcPr>
            <w:tcW w:w="7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Caesars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Boyd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Casino</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Pinnacle</w:t>
            </w: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PENN -</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PENN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80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vMerge w:val="restart"/>
          </w:tcPr>
          <w:p>
            <w:pPr>
              <w:jc w:val="center"/>
              <w:ind w:right="39"/>
              <w:spacing w:after="0" w:line="169" w:lineRule="exact"/>
              <w:rPr>
                <w:sz w:val="20"/>
                <w:szCs w:val="20"/>
                <w:color w:val="auto"/>
              </w:rPr>
            </w:pPr>
            <w:r>
              <w:rPr>
                <w:rFonts w:ascii="Times New Roman" w:cs="Times New Roman" w:eastAsia="Times New Roman" w:hAnsi="Times New Roman"/>
                <w:sz w:val="16"/>
                <w:szCs w:val="16"/>
                <w:b w:val="1"/>
                <w:bCs w:val="1"/>
                <w:color w:val="auto"/>
              </w:rPr>
              <w:t>Master</w:t>
            </w:r>
          </w:p>
        </w:tc>
        <w:tc>
          <w:tcPr>
            <w:tcW w:w="140" w:type="dxa"/>
            <w:vAlign w:val="bottom"/>
          </w:tcPr>
          <w:p>
            <w:pPr>
              <w:spacing w:after="0"/>
              <w:rPr>
                <w:sz w:val="4"/>
                <w:szCs w:val="4"/>
                <w:color w:val="auto"/>
              </w:rPr>
            </w:pPr>
          </w:p>
        </w:tc>
        <w:tc>
          <w:tcPr>
            <w:tcW w:w="800" w:type="dxa"/>
            <w:vAlign w:val="bottom"/>
            <w:vMerge w:val="restart"/>
          </w:tcPr>
          <w:p>
            <w:pPr>
              <w:jc w:val="center"/>
              <w:ind w:right="19"/>
              <w:spacing w:after="0" w:line="169" w:lineRule="exact"/>
              <w:rPr>
                <w:sz w:val="20"/>
                <w:szCs w:val="20"/>
                <w:color w:val="auto"/>
              </w:rPr>
            </w:pPr>
            <w:r>
              <w:rPr>
                <w:rFonts w:ascii="Times New Roman" w:cs="Times New Roman" w:eastAsia="Times New Roman" w:hAnsi="Times New Roman"/>
                <w:sz w:val="16"/>
                <w:szCs w:val="16"/>
                <w:b w:val="1"/>
                <w:bCs w:val="1"/>
                <w:color w:val="auto"/>
              </w:rPr>
              <w:t>Master</w:t>
            </w:r>
          </w:p>
        </w:tc>
        <w:tc>
          <w:tcPr>
            <w:tcW w:w="140" w:type="dxa"/>
            <w:vAlign w:val="bottom"/>
          </w:tcPr>
          <w:p>
            <w:pPr>
              <w:spacing w:after="0"/>
              <w:rPr>
                <w:sz w:val="4"/>
                <w:szCs w:val="4"/>
                <w:color w:val="auto"/>
              </w:rPr>
            </w:pPr>
          </w:p>
        </w:tc>
        <w:tc>
          <w:tcPr>
            <w:tcW w:w="740" w:type="dxa"/>
            <w:vAlign w:val="bottom"/>
            <w:vMerge w:val="restart"/>
          </w:tcPr>
          <w:p>
            <w:pPr>
              <w:jc w:val="center"/>
              <w:ind w:right="39"/>
              <w:spacing w:after="0" w:line="169" w:lineRule="exact"/>
              <w:rPr>
                <w:sz w:val="20"/>
                <w:szCs w:val="20"/>
                <w:color w:val="auto"/>
              </w:rPr>
            </w:pPr>
            <w:r>
              <w:rPr>
                <w:rFonts w:ascii="Times New Roman" w:cs="Times New Roman" w:eastAsia="Times New Roman" w:hAnsi="Times New Roman"/>
                <w:sz w:val="16"/>
                <w:szCs w:val="16"/>
                <w:b w:val="1"/>
                <w:bCs w:val="1"/>
                <w:color w:val="auto"/>
              </w:rPr>
              <w:t>Master</w:t>
            </w:r>
          </w:p>
        </w:tc>
        <w:tc>
          <w:tcPr>
            <w:tcW w:w="120" w:type="dxa"/>
            <w:vAlign w:val="bottom"/>
          </w:tcPr>
          <w:p>
            <w:pPr>
              <w:spacing w:after="0"/>
              <w:rPr>
                <w:sz w:val="4"/>
                <w:szCs w:val="4"/>
                <w:color w:val="auto"/>
              </w:rPr>
            </w:pPr>
          </w:p>
        </w:tc>
        <w:tc>
          <w:tcPr>
            <w:tcW w:w="700" w:type="dxa"/>
            <w:vAlign w:val="bottom"/>
            <w:vMerge w:val="restart"/>
          </w:tcPr>
          <w:p>
            <w:pPr>
              <w:jc w:val="right"/>
              <w:ind w:right="19"/>
              <w:spacing w:after="0" w:line="169" w:lineRule="exact"/>
              <w:rPr>
                <w:sz w:val="20"/>
                <w:szCs w:val="20"/>
                <w:color w:val="auto"/>
              </w:rPr>
            </w:pPr>
            <w:r>
              <w:rPr>
                <w:rFonts w:ascii="Times New Roman" w:cs="Times New Roman" w:eastAsia="Times New Roman" w:hAnsi="Times New Roman"/>
                <w:sz w:val="16"/>
                <w:szCs w:val="16"/>
                <w:b w:val="1"/>
                <w:bCs w:val="1"/>
                <w:color w:val="auto"/>
                <w:w w:val="98"/>
              </w:rPr>
              <w:t>Lumiere</w:t>
            </w:r>
          </w:p>
        </w:tc>
        <w:tc>
          <w:tcPr>
            <w:tcW w:w="160" w:type="dxa"/>
            <w:vAlign w:val="bottom"/>
          </w:tcPr>
          <w:p>
            <w:pPr>
              <w:spacing w:after="0"/>
              <w:rPr>
                <w:sz w:val="4"/>
                <w:szCs w:val="4"/>
                <w:color w:val="auto"/>
              </w:rPr>
            </w:pPr>
          </w:p>
        </w:tc>
        <w:tc>
          <w:tcPr>
            <w:tcW w:w="700" w:type="dxa"/>
            <w:vAlign w:val="bottom"/>
            <w:vMerge w:val="restart"/>
          </w:tcPr>
          <w:p>
            <w:pPr>
              <w:jc w:val="center"/>
              <w:ind w:right="39"/>
              <w:spacing w:after="0" w:line="169" w:lineRule="exact"/>
              <w:rPr>
                <w:sz w:val="20"/>
                <w:szCs w:val="20"/>
                <w:color w:val="auto"/>
              </w:rPr>
            </w:pPr>
            <w:r>
              <w:rPr>
                <w:rFonts w:ascii="Times New Roman" w:cs="Times New Roman" w:eastAsia="Times New Roman" w:hAnsi="Times New Roman"/>
                <w:sz w:val="16"/>
                <w:szCs w:val="16"/>
                <w:b w:val="1"/>
                <w:bCs w:val="1"/>
                <w:color w:val="auto"/>
              </w:rPr>
              <w:t>Master</w:t>
            </w:r>
          </w:p>
        </w:tc>
        <w:tc>
          <w:tcPr>
            <w:tcW w:w="120" w:type="dxa"/>
            <w:vAlign w:val="bottom"/>
          </w:tcPr>
          <w:p>
            <w:pPr>
              <w:spacing w:after="0"/>
              <w:rPr>
                <w:sz w:val="4"/>
                <w:szCs w:val="4"/>
                <w:color w:val="auto"/>
              </w:rPr>
            </w:pPr>
          </w:p>
        </w:tc>
        <w:tc>
          <w:tcPr>
            <w:tcW w:w="680" w:type="dxa"/>
            <w:vAlign w:val="bottom"/>
            <w:vMerge w:val="restart"/>
          </w:tcPr>
          <w:p>
            <w:pPr>
              <w:jc w:val="right"/>
              <w:ind w:right="19"/>
              <w:spacing w:after="0" w:line="169" w:lineRule="exact"/>
              <w:rPr>
                <w:sz w:val="20"/>
                <w:szCs w:val="20"/>
                <w:color w:val="auto"/>
              </w:rPr>
            </w:pPr>
            <w:r>
              <w:rPr>
                <w:rFonts w:ascii="Times New Roman" w:cs="Times New Roman" w:eastAsia="Times New Roman" w:hAnsi="Times New Roman"/>
                <w:sz w:val="16"/>
                <w:szCs w:val="16"/>
                <w:b w:val="1"/>
                <w:bCs w:val="1"/>
                <w:color w:val="auto"/>
                <w:w w:val="98"/>
              </w:rPr>
              <w:t>Belterra</w:t>
            </w: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restart"/>
          </w:tcPr>
          <w:p>
            <w:pPr>
              <w:jc w:val="center"/>
              <w:ind w:right="19"/>
              <w:spacing w:after="0" w:line="169" w:lineRule="exact"/>
              <w:rPr>
                <w:sz w:val="20"/>
                <w:szCs w:val="20"/>
                <w:color w:val="auto"/>
              </w:rPr>
            </w:pPr>
            <w:r>
              <w:rPr>
                <w:rFonts w:ascii="Times New Roman" w:cs="Times New Roman" w:eastAsia="Times New Roman" w:hAnsi="Times New Roman"/>
                <w:sz w:val="16"/>
                <w:szCs w:val="16"/>
                <w:b w:val="1"/>
                <w:bCs w:val="1"/>
                <w:color w:val="auto"/>
                <w:w w:val="98"/>
              </w:rPr>
              <w:t>Queen</w:t>
            </w:r>
          </w:p>
        </w:tc>
        <w:tc>
          <w:tcPr>
            <w:tcW w:w="2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00" w:type="dxa"/>
            <w:vAlign w:val="bottom"/>
            <w:tcBorders>
              <w:bottom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Meadows</w:t>
            </w: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Morgantown</w:t>
            </w:r>
          </w:p>
        </w:tc>
        <w:tc>
          <w:tcPr>
            <w:tcW w:w="220" w:type="dxa"/>
            <w:vAlign w:val="bottom"/>
          </w:tcPr>
          <w:p>
            <w:pPr>
              <w:spacing w:after="0"/>
              <w:rPr>
                <w:sz w:val="10"/>
                <w:szCs w:val="10"/>
                <w:color w:val="auto"/>
              </w:rPr>
            </w:pPr>
          </w:p>
        </w:tc>
        <w:tc>
          <w:tcPr>
            <w:tcW w:w="8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42"/>
        </w:trPr>
        <w:tc>
          <w:tcPr>
            <w:tcW w:w="18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6"/>
                <w:szCs w:val="16"/>
                <w:b w:val="1"/>
                <w:bCs w:val="1"/>
                <w:color w:val="auto"/>
                <w:w w:val="97"/>
              </w:rPr>
              <w:t>Lease</w:t>
            </w:r>
          </w:p>
        </w:tc>
        <w:tc>
          <w:tcPr>
            <w:tcW w:w="140" w:type="dxa"/>
            <w:vAlign w:val="bottom"/>
          </w:tcPr>
          <w:p>
            <w:pPr>
              <w:spacing w:after="0"/>
              <w:rPr>
                <w:sz w:val="12"/>
                <w:szCs w:val="12"/>
                <w:color w:val="auto"/>
              </w:rPr>
            </w:pPr>
          </w:p>
        </w:tc>
        <w:tc>
          <w:tcPr>
            <w:tcW w:w="80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6"/>
                <w:szCs w:val="16"/>
                <w:b w:val="1"/>
                <w:bCs w:val="1"/>
                <w:color w:val="auto"/>
              </w:rPr>
              <w:t>Lease</w:t>
            </w:r>
          </w:p>
        </w:tc>
        <w:tc>
          <w:tcPr>
            <w:tcW w:w="140" w:type="dxa"/>
            <w:vAlign w:val="bottom"/>
          </w:tcPr>
          <w:p>
            <w:pPr>
              <w:spacing w:after="0"/>
              <w:rPr>
                <w:sz w:val="12"/>
                <w:szCs w:val="12"/>
                <w:color w:val="auto"/>
              </w:rPr>
            </w:pPr>
          </w:p>
        </w:tc>
        <w:tc>
          <w:tcPr>
            <w:tcW w:w="74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Lease</w:t>
            </w:r>
          </w:p>
        </w:tc>
        <w:tc>
          <w:tcPr>
            <w:tcW w:w="12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Lease</w:t>
            </w:r>
          </w:p>
        </w:tc>
        <w:tc>
          <w:tcPr>
            <w:tcW w:w="160" w:type="dxa"/>
            <w:vAlign w:val="bottom"/>
          </w:tcPr>
          <w:p>
            <w:pPr>
              <w:spacing w:after="0"/>
              <w:rPr>
                <w:sz w:val="12"/>
                <w:szCs w:val="12"/>
                <w:color w:val="auto"/>
              </w:rPr>
            </w:pPr>
          </w:p>
        </w:tc>
        <w:tc>
          <w:tcPr>
            <w:tcW w:w="70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Lease</w:t>
            </w:r>
          </w:p>
        </w:tc>
        <w:tc>
          <w:tcPr>
            <w:tcW w:w="120" w:type="dxa"/>
            <w:vAlign w:val="bottom"/>
          </w:tcPr>
          <w:p>
            <w:pPr>
              <w:spacing w:after="0"/>
              <w:rPr>
                <w:sz w:val="12"/>
                <w:szCs w:val="12"/>
                <w:color w:val="auto"/>
              </w:rPr>
            </w:pPr>
          </w:p>
        </w:tc>
        <w:tc>
          <w:tcPr>
            <w:tcW w:w="68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Lease</w:t>
            </w:r>
          </w:p>
        </w:tc>
        <w:tc>
          <w:tcPr>
            <w:tcW w:w="1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60" w:type="dxa"/>
            <w:vAlign w:val="bottom"/>
          </w:tcPr>
          <w:p>
            <w:pPr>
              <w:spacing w:after="0"/>
              <w:rPr>
                <w:sz w:val="12"/>
                <w:szCs w:val="12"/>
                <w:color w:val="auto"/>
              </w:rPr>
            </w:pPr>
          </w:p>
        </w:tc>
        <w:tc>
          <w:tcPr>
            <w:tcW w:w="62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Lease</w:t>
            </w:r>
          </w:p>
        </w:tc>
        <w:tc>
          <w:tcPr>
            <w:tcW w:w="240" w:type="dxa"/>
            <w:vAlign w:val="bottom"/>
          </w:tcPr>
          <w:p>
            <w:pPr>
              <w:spacing w:after="0"/>
              <w:rPr>
                <w:sz w:val="12"/>
                <w:szCs w:val="12"/>
                <w:color w:val="auto"/>
              </w:rPr>
            </w:pPr>
          </w:p>
        </w:tc>
        <w:tc>
          <w:tcPr>
            <w:tcW w:w="740" w:type="dxa"/>
            <w:vAlign w:val="bottom"/>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Building base rent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279,406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227,201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9,101</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676,929</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base rent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93,969</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71,256</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11,785</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194,939</w:t>
            </w:r>
          </w:p>
        </w:tc>
        <w:tc>
          <w:tcPr>
            <w:tcW w:w="0" w:type="dxa"/>
            <w:vAlign w:val="bottom"/>
          </w:tcPr>
          <w:p>
            <w:pPr>
              <w:spacing w:after="0"/>
              <w:rPr>
                <w:sz w:val="1"/>
                <w:szCs w:val="1"/>
                <w:color w:val="auto"/>
              </w:rPr>
            </w:pPr>
          </w:p>
        </w:tc>
      </w:tr>
      <w:tr>
        <w:trPr>
          <w:trHeight w:val="267"/>
        </w:trPr>
        <w:tc>
          <w:tcPr>
            <w:tcW w:w="20" w:type="dxa"/>
            <w:vAlign w:val="bottom"/>
            <w:tcBorders>
              <w:bottom w:val="single" w:sz="8" w:color="CCEEFF"/>
            </w:tcBorders>
          </w:tcPr>
          <w:p>
            <w:pPr>
              <w:spacing w:after="0"/>
              <w:rPr>
                <w:sz w:val="23"/>
                <w:szCs w:val="23"/>
                <w:color w:val="auto"/>
              </w:rPr>
            </w:pPr>
          </w:p>
        </w:tc>
        <w:tc>
          <w:tcPr>
            <w:tcW w:w="1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Percentage rent</w:t>
            </w: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82,595</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28,452</w:t>
            </w: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10,020</w:t>
            </w: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10,308</w:t>
            </w: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10,637</w:t>
            </w: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148,647</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1840" w:type="dxa"/>
            <w:vAlign w:val="bottom"/>
            <w:gridSpan w:val="3"/>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Total cash rental income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455,970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326,909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14,525</w:t>
            </w:r>
          </w:p>
        </w:tc>
        <w:tc>
          <w:tcPr>
            <w:tcW w:w="24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1,020,515</w:t>
            </w:r>
          </w:p>
        </w:tc>
        <w:tc>
          <w:tcPr>
            <w:tcW w:w="0" w:type="dxa"/>
            <w:vAlign w:val="bottom"/>
          </w:tcPr>
          <w:p>
            <w:pPr>
              <w:spacing w:after="0"/>
              <w:rPr>
                <w:sz w:val="1"/>
                <w:szCs w:val="1"/>
                <w:color w:val="auto"/>
              </w:rPr>
            </w:pPr>
          </w:p>
        </w:tc>
      </w:tr>
      <w:tr>
        <w:trPr>
          <w:trHeight w:val="216"/>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w:t>
            </w: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Straight-line rent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8,926</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(10,555)</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Ground rent in revenue</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14,905</w:t>
            </w:r>
          </w:p>
        </w:tc>
        <w:tc>
          <w:tcPr>
            <w:tcW w:w="0" w:type="dxa"/>
            <w:vAlign w:val="bottom"/>
          </w:tcPr>
          <w:p>
            <w:pPr>
              <w:spacing w:after="0"/>
              <w:rPr>
                <w:sz w:val="1"/>
                <w:szCs w:val="1"/>
                <w:color w:val="auto"/>
              </w:rPr>
            </w:pPr>
          </w:p>
        </w:tc>
      </w:tr>
      <w:tr>
        <w:trPr>
          <w:trHeight w:val="267"/>
        </w:trPr>
        <w:tc>
          <w:tcPr>
            <w:tcW w:w="20" w:type="dxa"/>
            <w:vAlign w:val="bottom"/>
            <w:tcBorders>
              <w:bottom w:val="single" w:sz="8" w:color="CCEEFF"/>
            </w:tcBorders>
          </w:tcPr>
          <w:p>
            <w:pPr>
              <w:spacing w:after="0"/>
              <w:rPr>
                <w:sz w:val="23"/>
                <w:szCs w:val="23"/>
                <w:color w:val="auto"/>
              </w:rPr>
            </w:pPr>
          </w:p>
        </w:tc>
        <w:tc>
          <w:tcPr>
            <w:tcW w:w="1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Other rental revenue</w:t>
            </w: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rental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14,525</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income from</w:t>
            </w:r>
          </w:p>
        </w:tc>
        <w:tc>
          <w:tcPr>
            <w:tcW w:w="14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16,976</w:t>
            </w:r>
          </w:p>
        </w:tc>
        <w:tc>
          <w:tcPr>
            <w:tcW w:w="16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mortgaged real estate</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income from real</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467,213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322,124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14,525</w:t>
            </w:r>
          </w:p>
        </w:tc>
        <w:tc>
          <w:tcPr>
            <w:tcW w:w="24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1,050,166</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20" w:firstLine="8"/>
        <w:spacing w:after="0" w:line="281" w:lineRule="auto"/>
        <w:tabs>
          <w:tab w:leader="none" w:pos="25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Included in cash rental income were rent credits of $337.5 million that were recognized in connection with the Tropicana Las Vegas and Morgantown transactions with Penn. See Note 7 in the Notes to the Consolidated Financial Statements for additional information.</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Gaming, food, beverage and other revenue</w:t>
      </w:r>
    </w:p>
    <w:p>
      <w:pPr>
        <w:spacing w:after="0" w:line="255"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18"/>
          <w:szCs w:val="18"/>
          <w:color w:val="auto"/>
        </w:rPr>
        <w:t>Gaming, food, beverage and other revenue for our TRS Properties decreased by $25.4 million, or 19.8%, for the year ended December 31, 2020, as compared to the year ended December 31, 2019. These properties were closed in mid-March 2020 due to COVID-19. Hollywood Casino Baton Rouge reopened to the public on May 18, 2020 and Hollywood Casino Perryville reopened on June 19, 2020 with various restrictions to limit capacity in accordance with regulatory requirements. Results since reopening have exceeded the corresponding periods in the prior years as spend per visit has increased which has more than offset lower visitation levels.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expenses for the years ended December 31, 2020 and 2019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8"/>
        </w:trPr>
        <w:tc>
          <w:tcPr>
            <w:tcW w:w="5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rights and ground lease expense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from disposition of properties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(45,092.4)%</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impairment charges</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(92,159)</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Gaming, food, beverage and other expense</w:t>
      </w:r>
    </w:p>
    <w:p>
      <w:pPr>
        <w:spacing w:after="0" w:line="229" w:lineRule="exact"/>
        <w:rPr>
          <w:sz w:val="20"/>
          <w:szCs w:val="20"/>
          <w:color w:val="auto"/>
        </w:rPr>
      </w:pPr>
    </w:p>
    <w:p>
      <w:pPr>
        <w:ind w:right="420" w:firstLine="647"/>
        <w:spacing w:after="0" w:line="265" w:lineRule="auto"/>
        <w:rPr>
          <w:sz w:val="20"/>
          <w:szCs w:val="20"/>
          <w:color w:val="auto"/>
        </w:rPr>
      </w:pPr>
      <w:r>
        <w:rPr>
          <w:rFonts w:ascii="Times New Roman" w:cs="Times New Roman" w:eastAsia="Times New Roman" w:hAnsi="Times New Roman"/>
          <w:sz w:val="18"/>
          <w:szCs w:val="18"/>
          <w:color w:val="auto"/>
        </w:rPr>
        <w:t>Gaming, food, beverage and other expense for our TRS Properties decreased by approximately $18.0 million, or 24.1%, for the year ended December 31, 2020, as compared to the year ended December 31, 2019, primarily due to the impact of COVID-19, which temporarily forced our TRS Properties to close as previously discussed.</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Land rights and ground lease expense</w:t>
      </w:r>
    </w:p>
    <w:p>
      <w:pPr>
        <w:spacing w:after="0" w:line="255" w:lineRule="exact"/>
        <w:rPr>
          <w:sz w:val="20"/>
          <w:szCs w:val="20"/>
          <w:color w:val="auto"/>
        </w:rPr>
      </w:pPr>
    </w:p>
    <w:p>
      <w:pPr>
        <w:ind w:right="100" w:firstLine="647"/>
        <w:spacing w:after="0" w:line="281" w:lineRule="auto"/>
        <w:rPr>
          <w:sz w:val="20"/>
          <w:szCs w:val="20"/>
          <w:color w:val="auto"/>
        </w:rPr>
      </w:pPr>
      <w:r>
        <w:rPr>
          <w:rFonts w:ascii="Times New Roman" w:cs="Times New Roman" w:eastAsia="Times New Roman" w:hAnsi="Times New Roman"/>
          <w:sz w:val="18"/>
          <w:szCs w:val="18"/>
          <w:color w:val="auto"/>
        </w:rPr>
        <w:t>Land rights and ground lease expense includes the amortization of land rights and rent expense related to the Company's long-term ground leases. Land rights and ground lease expense decreased by $13.4 million, or 31.6%, for the year</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ended December 31, 2020, as compared to the year ended December 31, 2019, primarily due to the acceleration of amortization expense of $6.3 million related to the closure of Penn's Resorts Casino Tunica property in 2019 and lower ground lease rents paid by our tenants in 2020 that are based on the facilities' revenues which declined due to the impact of COVID-19. We sublease these ground leases back to our tenants, who are responsible for payment directly to the applicable landlord. These amounts are required to be recorded in both revenue and expense within the consolidated statements of income as we have concluded that as the lessee the Company is the primary obligor under the ground leases.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206" w:lineRule="exact"/>
        <w:rPr>
          <w:sz w:val="20"/>
          <w:szCs w:val="20"/>
          <w:color w:val="auto"/>
        </w:rPr>
      </w:pPr>
    </w:p>
    <w:p>
      <w:pPr>
        <w:ind w:right="400" w:firstLine="647"/>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items such as compensation costs (including stock-based compensation awards), professional services and costs associated with development activities. General and administrative expenses increased by $3.2 million, or 4.9%, for the year ended December 31, 2020, as compared to the year ended December 31, 2019. This is primarily attributable to the negative impact from severance and stock acceleration charges of $6.3 million, related to the departure of our former chief financial officer which were partially offset by lower payroll costs primarily attributable to the temporary closures of our TRS Properties due to COVID-19 and lower bonus expense.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Gains and losses from dispositions of property</w:t>
      </w:r>
    </w:p>
    <w:p>
      <w:pPr>
        <w:spacing w:after="0" w:line="255" w:lineRule="exact"/>
        <w:rPr>
          <w:sz w:val="20"/>
          <w:szCs w:val="20"/>
          <w:color w:val="auto"/>
        </w:rPr>
      </w:pPr>
    </w:p>
    <w:p>
      <w:pPr>
        <w:ind w:right="220" w:firstLine="647"/>
        <w:spacing w:after="0" w:line="260" w:lineRule="auto"/>
        <w:rPr>
          <w:sz w:val="20"/>
          <w:szCs w:val="20"/>
          <w:color w:val="auto"/>
        </w:rPr>
      </w:pPr>
      <w:r>
        <w:rPr>
          <w:rFonts w:ascii="Times New Roman" w:cs="Times New Roman" w:eastAsia="Times New Roman" w:hAnsi="Times New Roman"/>
          <w:sz w:val="18"/>
          <w:szCs w:val="18"/>
          <w:color w:val="auto"/>
        </w:rPr>
        <w:t>In connection with the Exchange Agreement with Caesars, whereby the Company acquired Waterloo and Bettendorf to replace Tropicana Evansville under the Amended and Restated Caesars Master Lease, the Company recorded a non-cash gain of $41.4 million in the fourth quarter of 2020 which represented the difference between the fair value of the properties received compared to the carrying value of Tropicana Evansville and the cash payment of $5.7 million.</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Depreciation expense</w:t>
      </w:r>
    </w:p>
    <w:p>
      <w:pPr>
        <w:spacing w:after="0" w:line="255" w:lineRule="exact"/>
        <w:rPr>
          <w:sz w:val="20"/>
          <w:szCs w:val="20"/>
          <w:color w:val="auto"/>
        </w:rPr>
      </w:pPr>
    </w:p>
    <w:p>
      <w:pPr>
        <w:ind w:right="80" w:firstLine="647"/>
        <w:spacing w:after="0" w:line="265" w:lineRule="auto"/>
        <w:rPr>
          <w:sz w:val="20"/>
          <w:szCs w:val="20"/>
          <w:color w:val="auto"/>
        </w:rPr>
      </w:pPr>
      <w:r>
        <w:rPr>
          <w:rFonts w:ascii="Times New Roman" w:cs="Times New Roman" w:eastAsia="Times New Roman" w:hAnsi="Times New Roman"/>
          <w:sz w:val="18"/>
          <w:szCs w:val="18"/>
          <w:color w:val="auto"/>
        </w:rPr>
        <w:t>Depreciation expense decreased by $9.5 million, or 3.9%, to $231.0 million for the year ended December 31, 2020 as compared to the year ended December 31, 2019, primarily due to the closure of the Resorts Casino Tunica property in 2019 which resulted in the acceleration of $10.3 million of depreciation expense to bring the net book value related to the building value of this property to zero.</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Loan impairment charges</w:t>
      </w:r>
    </w:p>
    <w:p>
      <w:pPr>
        <w:spacing w:after="0" w:line="255" w:lineRule="exact"/>
        <w:rPr>
          <w:sz w:val="20"/>
          <w:szCs w:val="20"/>
          <w:color w:val="auto"/>
        </w:rPr>
      </w:pPr>
    </w:p>
    <w:p>
      <w:pPr>
        <w:ind w:right="140" w:firstLine="647"/>
        <w:spacing w:after="0" w:line="256" w:lineRule="auto"/>
        <w:rPr>
          <w:sz w:val="20"/>
          <w:szCs w:val="20"/>
          <w:color w:val="auto"/>
        </w:rPr>
      </w:pPr>
      <w:r>
        <w:rPr>
          <w:rFonts w:ascii="Times New Roman" w:cs="Times New Roman" w:eastAsia="Times New Roman" w:hAnsi="Times New Roman"/>
          <w:sz w:val="18"/>
          <w:szCs w:val="18"/>
          <w:color w:val="auto"/>
        </w:rPr>
        <w:t>On March 17, 2017 the Company provided the Casino Queen Loan to CQ Holding Company, to partially finance its acquisition of Lady Luck Casino in Marquette, Iowa. During 2018, the operating results of Casino Queen declined substantially and Casino Queen defaulted under its senior credit agreement and also the Casino Queen Loan. As a result, the operations of Casino Queen were put up for sale during the fourth quarter of 2018. At December 31, 2018, active negotiations for the sale of Casino Queen's operations were taking place and full payment of the principal was still expected, due to the anticipation that the operations were to be sold in the near term for an amount allowing for repayment of the full $13.0 million of loan principal due to GLPI.</w:t>
      </w:r>
    </w:p>
    <w:p>
      <w:pPr>
        <w:spacing w:after="0" w:line="212" w:lineRule="exact"/>
        <w:rPr>
          <w:sz w:val="20"/>
          <w:szCs w:val="20"/>
          <w:color w:val="auto"/>
        </w:rPr>
      </w:pPr>
    </w:p>
    <w:p>
      <w:pPr>
        <w:ind w:right="180" w:firstLine="647"/>
        <w:spacing w:after="0" w:line="288" w:lineRule="auto"/>
        <w:rPr>
          <w:sz w:val="20"/>
          <w:szCs w:val="20"/>
          <w:color w:val="auto"/>
        </w:rPr>
      </w:pPr>
      <w:r>
        <w:rPr>
          <w:rFonts w:ascii="Times New Roman" w:cs="Times New Roman" w:eastAsia="Times New Roman" w:hAnsi="Times New Roman"/>
          <w:sz w:val="17"/>
          <w:szCs w:val="17"/>
          <w:color w:val="auto"/>
        </w:rPr>
        <w:t>During 2019, the operating results of Casino Queen continued to decline, the secured debt of Casino Queen was sold to a third-party casino operator at a discount and the Company no longer expected the Casino Queen Loan to be repaid. Therefore, the Company recorded an impairment charge of $13.0 million through the Consolidated Statement of Income for the year ended December 31, 2019 to reflect the write-off of the Casino Queen Loan.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(expenses) for the years ended December 31, 2020 and 2019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8"/>
        </w:trPr>
        <w:tc>
          <w:tcPr>
            <w:tcW w:w="5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debt extinguishment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(299,686)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5" w:lineRule="exact"/>
        <w:rPr>
          <w:sz w:val="20"/>
          <w:szCs w:val="20"/>
          <w:color w:val="auto"/>
        </w:rPr>
      </w:pPr>
    </w:p>
    <w:p>
      <w:pPr>
        <w:ind w:right="160" w:firstLine="647"/>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2020, interest expense related to our fixed and variable rate borrowings was $282.1 million, as compared to $301.5 million in the year ended December 31, 2019. Interest expense decreased primarily due to refinancing activities, such as the issuance of $400 million of 3.35% senior unsecured notes due 2024 and $700 million of 4.000% senior unsecured notes due 2030 during the third quarter of 2019. These proceeds were utilized to repay higher cost unsecured borrowings with near term maturities. Interest expense also benefited from the first quarter 2020 redemption of $215.2 million of 4.875% senior unsecured notes that were due in November 2020 and $400.0 million of 4.375% of senior unsecured notes that were due in April 2021, which were funded by borrowings under our revolving credit facility. Towards the end of the first quarter of 2020, we fully drew down our revolving credit facility by borrowing just over $530 million to increase liquidity levels given the near term uncertainty associated with COVID-19. We subsequently repaid all of our outstanding advances on our revolving credit facility on June 25, 2020, with cash on hand and the net proceeds from our 4.00%, $500 million unsecured note issuance due in January 2031 and Term Loan A-2 borrowings. On August 18, 2020, we raised an additional $200 million of 4.00%, unsecured notes at a premium to par and used the proceeds to repay Term Loan A-1 borrowings. Although these latter two transactions had a negative impact on interest expense they further increased the duration and fixed rate nature of our debt profile.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Losses on debt extinguishment</w:t>
      </w:r>
    </w:p>
    <w:p>
      <w:pPr>
        <w:spacing w:after="0" w:line="255"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resulting in the retirement of such senior notes. The Company recorded losses on the early extinguishment of debt related to the current year retirements of $18.1 million for the year ended December 31, 2020 primarily for call premium charges and debt issuance write-offs.</w:t>
      </w:r>
    </w:p>
    <w:p>
      <w:pPr>
        <w:spacing w:after="0" w:line="209" w:lineRule="exact"/>
        <w:rPr>
          <w:sz w:val="20"/>
          <w:szCs w:val="20"/>
          <w:color w:val="auto"/>
        </w:rPr>
      </w:pPr>
    </w:p>
    <w:p>
      <w:pPr>
        <w:ind w:right="20" w:firstLine="647"/>
        <w:spacing w:after="0" w:line="254" w:lineRule="auto"/>
        <w:rPr>
          <w:sz w:val="20"/>
          <w:szCs w:val="20"/>
          <w:color w:val="auto"/>
        </w:rPr>
      </w:pPr>
      <w:r>
        <w:rPr>
          <w:rFonts w:ascii="Times New Roman" w:cs="Times New Roman" w:eastAsia="Times New Roman" w:hAnsi="Times New Roman"/>
          <w:sz w:val="18"/>
          <w:szCs w:val="18"/>
          <w:color w:val="auto"/>
        </w:rPr>
        <w:t>On September 12, 2019, the Company completed a cash tender offer (the "2019 Tender Offer") to purchase its $1,000 million aggregate principal amount 4.875% Senior Unsecured Notes due 2020 (the "2020 Notes"). The Company received early tenders from the holders of approximately $782.6 million in aggregate principal of the 2020 Notes, or approximately 78% of its outstanding 2020 Notes, in connection with the 2019 Tender Offer at a price of 102.337% of the unpaid principal amount plus accrued and unpaid interest through the settlement date. Subsequent to the early tender deadline, an additional $2.2 million in aggregate principal of the 2020 Notes was tendered at a price of 99.337% of the unpaid principal amount plus accrued and unpaid interest through the settlement date, for a total redemption of $784.8 million of the 2020 Notes. The Company recorded a loss on the early extinguishment of debt related to the 2019 Tender Offer, of approximately $21.0 million, for the difference between the reacquisition price of the tendered 2020 Notes and their net carrying value.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55" w:lineRule="exact"/>
        <w:rPr>
          <w:sz w:val="20"/>
          <w:szCs w:val="20"/>
          <w:color w:val="auto"/>
        </w:rPr>
      </w:pPr>
    </w:p>
    <w:p>
      <w:pPr>
        <w:jc w:val="both"/>
        <w:ind w:right="60" w:firstLine="647"/>
        <w:spacing w:after="0" w:line="258" w:lineRule="auto"/>
        <w:rPr>
          <w:sz w:val="20"/>
          <w:szCs w:val="20"/>
          <w:color w:val="auto"/>
        </w:rPr>
      </w:pPr>
      <w:r>
        <w:rPr>
          <w:rFonts w:ascii="Times New Roman" w:cs="Times New Roman" w:eastAsia="Times New Roman" w:hAnsi="Times New Roman"/>
          <w:sz w:val="18"/>
          <w:szCs w:val="18"/>
          <w:color w:val="auto"/>
        </w:rPr>
        <w:t>Our income tax expense decreased $0.9 million for the year ended December 31, 2020 as compared to the year ended December 31, 2019. During the year ended December 31, 2020, we had income tax expense of approximately $3.9 million, compared to income tax expense of $4.8 million during the year ended December 31, 2019. Our income tax expense is primarily driven from the operations of the TRS Segment, which are taxed at the corporate rate. Our effective tax rate (income taxes as a percentage of income before income taxes) was 0.8% and 1.2% for the years ended December 31, 2020 and 2019,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647"/>
        <w:spacing w:after="0" w:line="281"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flow from operations, borrowings from banks, and proceeds from the issuance of debt and equity securities.</w:t>
      </w:r>
    </w:p>
    <w:p>
      <w:pPr>
        <w:spacing w:after="0" w:line="163" w:lineRule="exact"/>
        <w:rPr>
          <w:sz w:val="20"/>
          <w:szCs w:val="20"/>
          <w:color w:val="auto"/>
        </w:rPr>
      </w:pPr>
    </w:p>
    <w:p>
      <w:pPr>
        <w:ind w:right="120" w:firstLine="647"/>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$428.1 million and $750.3 million during the years ended December 31, 2020 and 2019, respectively. The decrease in net cash provided by operating activities of $322.2 million for the year ended December 31, 2020 as compared to the year ended December 31, 2019 was primarily due to a decrease in cash receipts from tenants and customers of $361.6 million, partially offset by $21.9 million and $13.4 million decreases in cash paid for operating expenses and interest, respectively. The decrease in cash receipts collected from our tenants and customers for the year ended December 31, 2020 as compared to the corresponding period in the prior year was primarily due to the recognition of $337.5 million in non-cash rent recognized in connection with the Tropicana Las Vegas and Morgantown transactions and the impact of COVID-19, which forced our TRS Properties to temporarily close in mid-March 2020 until May and June of 2020. The reason for the decline in cash paid for operating expenses is primarily attributable to the temporary closures of our TRS properties.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firstLine="647"/>
        <w:spacing w:after="0" w:line="258" w:lineRule="auto"/>
        <w:rPr>
          <w:sz w:val="20"/>
          <w:szCs w:val="20"/>
          <w:color w:val="auto"/>
        </w:rPr>
      </w:pPr>
      <w:r>
        <w:rPr>
          <w:rFonts w:ascii="Times New Roman" w:cs="Times New Roman" w:eastAsia="Times New Roman" w:hAnsi="Times New Roman"/>
          <w:sz w:val="18"/>
          <w:szCs w:val="18"/>
          <w:color w:val="auto"/>
        </w:rPr>
        <w:t>Investing activities used net cash of $9.5 million and $2.8 million during the years ended December 31, 2020 and 2019, respectively. Net cash used in investing activities during the year ended December 31, 2020 primarily consisted of capital expenditures of $3.1 million and $5.9 million for the acquisition of real estate assets primarily relating to the Evansville swap transaction. Net cash used in investing activities during the year ended December 31, 2019 primarily consisted of capital expenditures of $3.0 million, partially offset by proceeds from sales of property and equipment of $0.2 million.</w:t>
      </w:r>
    </w:p>
    <w:p>
      <w:pPr>
        <w:spacing w:after="0" w:line="209" w:lineRule="exact"/>
        <w:rPr>
          <w:sz w:val="20"/>
          <w:szCs w:val="20"/>
          <w:color w:val="auto"/>
        </w:rPr>
      </w:pPr>
    </w:p>
    <w:p>
      <w:pPr>
        <w:ind w:right="20" w:firstLine="647"/>
        <w:spacing w:after="0" w:line="255" w:lineRule="auto"/>
        <w:rPr>
          <w:sz w:val="20"/>
          <w:szCs w:val="20"/>
          <w:color w:val="auto"/>
        </w:rPr>
      </w:pPr>
      <w:r>
        <w:rPr>
          <w:rFonts w:ascii="Times New Roman" w:cs="Times New Roman" w:eastAsia="Times New Roman" w:hAnsi="Times New Roman"/>
          <w:sz w:val="18"/>
          <w:szCs w:val="18"/>
          <w:color w:val="auto"/>
        </w:rPr>
        <w:t>Financing activities provided net cash of $63.2 million during the year ended December 31, 2020 and used net cash of $746.4 million during the year ended December 31, 2019. Net cash provided by financing activities for the year ended December 31, 2020 was driven by $2,076.4 million of proceeds from the issuance of long-term debt and $320.9 million of net proceeds from the issuance of common stock. During the year ended December 31, 2020, we issued approximately 9.2 million shares of our common stock in a primary equity offering and approximately 0.1 million shares of common stock through our ATM. This was partially offset by repayments of long-term debt of $2,060.9 million, dividend payments of $230.5 million, $15.7 million of premium and related costs paid on the tender of senior unsecured notes, taxes paid related to shares withheld for tax purposes on restricted stock award vestings of $15.3 million and financing costs of $11.6 million.</w:t>
      </w:r>
    </w:p>
    <w:p>
      <w:pPr>
        <w:spacing w:after="0" w:line="213" w:lineRule="exact"/>
        <w:rPr>
          <w:sz w:val="20"/>
          <w:szCs w:val="20"/>
          <w:color w:val="auto"/>
        </w:rPr>
      </w:pPr>
    </w:p>
    <w:p>
      <w:pPr>
        <w:ind w:right="40" w:firstLine="647"/>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2019 was driven by repayments of long-term debt of $1,477.9 million, dividend payments of $589.1 million, $18.9 million of premium and related costs paid on the tender of senior unsecured notes, taxes paid related to shares withheld for tax purposes on restricted stock award vestings, net of stock option exercises of $9.1 million and financing costs of $10.0 million, partially offset by $1,358.9 million of proceeds from the issuance of long-term debt. During the year ended December 31, 2019, the Company issued $1,100.0 million par value in new senior unsecured notes, completed a cash tender for a portion of our 2020 Notes, partially repaid borrowings under our Term Loan A-1 and revolving credit facilities and launched a $600 million ATM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20" w:firstLine="647"/>
        <w:spacing w:after="0" w:line="258" w:lineRule="auto"/>
        <w:rPr>
          <w:sz w:val="20"/>
          <w:szCs w:val="20"/>
          <w:color w:val="auto"/>
        </w:rPr>
      </w:pPr>
      <w:r>
        <w:rPr>
          <w:rFonts w:ascii="Times New Roman" w:cs="Times New Roman" w:eastAsia="Times New Roman" w:hAnsi="Times New Roman"/>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09" w:lineRule="exact"/>
        <w:rPr>
          <w:sz w:val="20"/>
          <w:szCs w:val="20"/>
          <w:color w:val="auto"/>
        </w:rPr>
      </w:pPr>
    </w:p>
    <w:p>
      <w:pPr>
        <w:jc w:val="both"/>
        <w:ind w:right="100" w:firstLine="647"/>
        <w:spacing w:after="0" w:line="265" w:lineRule="auto"/>
        <w:rPr>
          <w:sz w:val="20"/>
          <w:szCs w:val="20"/>
          <w:color w:val="auto"/>
        </w:rPr>
      </w:pPr>
      <w:r>
        <w:rPr>
          <w:rFonts w:ascii="Times New Roman" w:cs="Times New Roman" w:eastAsia="Times New Roman" w:hAnsi="Times New Roman"/>
          <w:sz w:val="18"/>
          <w:szCs w:val="18"/>
          <w:color w:val="auto"/>
        </w:rPr>
        <w:t>During the years ended December 31, 2020 and 2019 we spent approximately $3.1 million and $3.0 million respectively, for capital maintenance expenditures. The majority of the capital maintenance expenditures were for slot machines and slot machine equipment at our TRS Properties. Our tenants are responsible for capital maintenance expenditures at our leased properties.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Credit Facility</w:t>
      </w:r>
    </w:p>
    <w:p>
      <w:pPr>
        <w:spacing w:after="0" w:line="255" w:lineRule="exact"/>
        <w:rPr>
          <w:sz w:val="20"/>
          <w:szCs w:val="20"/>
          <w:color w:val="auto"/>
        </w:rPr>
      </w:pPr>
    </w:p>
    <w:p>
      <w:pPr>
        <w:ind w:firstLine="647"/>
        <w:spacing w:after="0" w:line="281" w:lineRule="auto"/>
        <w:rPr>
          <w:sz w:val="20"/>
          <w:szCs w:val="20"/>
          <w:color w:val="auto"/>
        </w:rPr>
      </w:pPr>
      <w:r>
        <w:rPr>
          <w:rFonts w:ascii="Times New Roman" w:cs="Times New Roman" w:eastAsia="Times New Roman" w:hAnsi="Times New Roman"/>
          <w:sz w:val="18"/>
          <w:szCs w:val="18"/>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w:t>
      </w:r>
    </w:p>
    <w:p>
      <w:pPr>
        <w:spacing w:after="0" w:line="190" w:lineRule="exact"/>
        <w:rPr>
          <w:sz w:val="20"/>
          <w:szCs w:val="20"/>
          <w:color w:val="auto"/>
        </w:rPr>
      </w:pPr>
    </w:p>
    <w:p>
      <w:pPr>
        <w:ind w:right="80" w:firstLine="647"/>
        <w:spacing w:after="0" w:line="271" w:lineRule="auto"/>
        <w:rPr>
          <w:sz w:val="20"/>
          <w:szCs w:val="20"/>
          <w:color w:val="auto"/>
        </w:rPr>
      </w:pPr>
      <w:r>
        <w:rPr>
          <w:rFonts w:ascii="Times New Roman" w:cs="Times New Roman" w:eastAsia="Times New Roman" w:hAnsi="Times New Roman"/>
          <w:sz w:val="17"/>
          <w:szCs w:val="17"/>
          <w:color w:val="auto"/>
        </w:rPr>
        <w:t>The Company fully drew down on its Revolver in the first quarter of 2020 to increase its liquidity position and repay certain senior unsecured notes as described below.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on June 25, 2020, the Company also closed on an offering of $500 million of 4.00% unsecured senior notes due in January 2031 priced at a slight discount to par. The Company utilized the proceeds from these two financings along with cash on hand to repay all outstanding obligations under its Revolver. On August 18, 2020, the Company borrowed an additional $200 million of 4.00% unsecured senior notes due in January 2031 priced at a premium to par. The Company utilized the net proceeds from this additional borrowing to repay indebtedness under the Term Loan A-1 facility.</w:t>
      </w:r>
    </w:p>
    <w:p>
      <w:pPr>
        <w:spacing w:after="0" w:line="203" w:lineRule="exact"/>
        <w:rPr>
          <w:sz w:val="20"/>
          <w:szCs w:val="20"/>
          <w:color w:val="auto"/>
        </w:rPr>
      </w:pPr>
    </w:p>
    <w:p>
      <w:pPr>
        <w:ind w:right="360" w:firstLine="647"/>
        <w:spacing w:after="0" w:line="281" w:lineRule="auto"/>
        <w:rPr>
          <w:sz w:val="20"/>
          <w:szCs w:val="20"/>
          <w:color w:val="auto"/>
        </w:rPr>
      </w:pPr>
      <w:r>
        <w:rPr>
          <w:rFonts w:ascii="Times New Roman" w:cs="Times New Roman" w:eastAsia="Times New Roman" w:hAnsi="Times New Roman"/>
          <w:sz w:val="18"/>
          <w:szCs w:val="18"/>
          <w:color w:val="auto"/>
        </w:rPr>
        <w:t>At December 31, 2020, the Amended Credit Facility had a gross outstanding balance of $424.0 million, consisting of the $424.0 million Term Loan A-2 facility. No amounts were outstanding under the Revolver. Additionally, at December 31,</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2020, the Company was contingently obligated under letters of credit issued pursuant to the Amended Credit Facility with face amounts aggregating approximately $0.4 million, resulting in $1,174.6 million of available borrowing capacity under the Revolver.</w:t>
      </w:r>
    </w:p>
    <w:p>
      <w:pPr>
        <w:spacing w:after="0" w:line="190" w:lineRule="exact"/>
        <w:rPr>
          <w:sz w:val="20"/>
          <w:szCs w:val="20"/>
          <w:color w:val="auto"/>
        </w:rPr>
      </w:pPr>
    </w:p>
    <w:p>
      <w:pPr>
        <w:ind w:right="80" w:firstLine="647"/>
        <w:spacing w:after="0" w:line="254" w:lineRule="auto"/>
        <w:rPr>
          <w:sz w:val="20"/>
          <w:szCs w:val="20"/>
          <w:color w:val="auto"/>
        </w:rPr>
      </w:pPr>
      <w:r>
        <w:rPr>
          <w:rFonts w:ascii="Times New Roman" w:cs="Times New Roman" w:eastAsia="Times New Roman" w:hAnsi="Times New Roman"/>
          <w:sz w:val="18"/>
          <w:szCs w:val="18"/>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Amended Credit Facility. At December 31, 2020,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Amended Credit Facility. At December 31, 2020, the commitment fee rate was 0.25%. The Company is not required to repay any loans under the Amended Credit Facility prior to maturity and may prepay all or any portion of the loans under the Amended Credit Facility prior to maturity without premium or penalty, subject to reimbursement of any LIBOR breakage costs of the lenders. The Company's wholly owned subsidiary, GLP Capital is the primary obligor under the Amended Credit Facility, which is guaranteed by GLPI.</w:t>
      </w:r>
    </w:p>
    <w:p>
      <w:pPr>
        <w:spacing w:after="0" w:line="216" w:lineRule="exact"/>
        <w:rPr>
          <w:sz w:val="20"/>
          <w:szCs w:val="20"/>
          <w:color w:val="auto"/>
        </w:rPr>
      </w:pPr>
    </w:p>
    <w:p>
      <w:pPr>
        <w:ind w:firstLine="647"/>
        <w:spacing w:after="0" w:line="253" w:lineRule="auto"/>
        <w:rPr>
          <w:sz w:val="20"/>
          <w:szCs w:val="20"/>
          <w:color w:val="auto"/>
        </w:rPr>
      </w:pPr>
      <w:r>
        <w:rPr>
          <w:rFonts w:ascii="Times New Roman" w:cs="Times New Roman" w:eastAsia="Times New Roman" w:hAnsi="Times New Roman"/>
          <w:sz w:val="18"/>
          <w:szCs w:val="18"/>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December 31, 2020, the Company was in compliance with all required financial covenants under the Amended Credit Facility.</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December 31, 2020, the Company had an outstanding balance of $5,375.0 million of senior unsecured notes (the "Senior Notes").</w:t>
      </w:r>
    </w:p>
    <w:p>
      <w:pPr>
        <w:spacing w:after="0" w:line="251"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incurring a loss on the early extinguishment of debt related to the redemption of $17.3 million, primarily for call premium charges and debt issuance write-offs.</w:t>
      </w:r>
    </w:p>
    <w:p>
      <w:pPr>
        <w:spacing w:after="0" w:line="209" w:lineRule="exact"/>
        <w:rPr>
          <w:sz w:val="20"/>
          <w:szCs w:val="20"/>
          <w:color w:val="auto"/>
        </w:rPr>
      </w:pPr>
    </w:p>
    <w:p>
      <w:pPr>
        <w:jc w:val="both"/>
        <w:ind w:firstLine="647"/>
        <w:spacing w:after="0" w:line="245" w:lineRule="auto"/>
        <w:rPr>
          <w:sz w:val="20"/>
          <w:szCs w:val="20"/>
          <w:color w:val="auto"/>
        </w:rPr>
      </w:pPr>
      <w:r>
        <w:rPr>
          <w:rFonts w:ascii="Times New Roman" w:cs="Times New Roman" w:eastAsia="Times New Roman" w:hAnsi="Times New Roman"/>
          <w:sz w:val="18"/>
          <w:szCs w:val="18"/>
          <w:color w:val="auto"/>
        </w:rPr>
        <w:t>On June 25, 2020, the Company issued $500 million of 4.00% senior unsecured notes due January 2031 at an issue price equal to 98.827% of the principal amount to repay indebtedness under its Revolver. On August 18, 2020 the Company issued an additional $200 million of 4.00% senior unsecured notes due January 2031 at an issue price equal to 103.824% of the principal amount to repay Term Loan A-1 indebtedness, incurring a loss on the early extinguishment of debt of $0.8 million, related to debt issuance write-offs. These bond offerings have extended the maturities of our long-term debt.</w:t>
      </w:r>
    </w:p>
    <w:p>
      <w:pPr>
        <w:spacing w:after="0" w:line="207" w:lineRule="exact"/>
        <w:rPr>
          <w:sz w:val="20"/>
          <w:szCs w:val="20"/>
          <w:color w:val="auto"/>
        </w:rPr>
      </w:pPr>
    </w:p>
    <w:p>
      <w:pPr>
        <w:ind w:right="20" w:firstLine="647"/>
        <w:spacing w:after="0" w:line="255" w:lineRule="auto"/>
        <w:rPr>
          <w:sz w:val="20"/>
          <w:szCs w:val="20"/>
          <w:color w:val="auto"/>
        </w:rPr>
      </w:pPr>
      <w:r>
        <w:rPr>
          <w:rFonts w:ascii="Times New Roman" w:cs="Times New Roman" w:eastAsia="Times New Roman" w:hAnsi="Times New Roman"/>
          <w:sz w:val="18"/>
          <w:szCs w:val="18"/>
          <w:color w:val="auto"/>
        </w:rPr>
        <w:t>On August 29, 2019, the Company issued $400 million of 3.35% Senior Unsecured Notes maturing on September 1, 2024 at an issue price equal to 99.899% of the principal amount (the "2024 Notes") and $700 million of 4.00% Senior Unsecured Notes maturing on January 15, 2030 at an issue price equal to 99.751% of the principal amount (the "2030 Notes"). Interest on the 2024 Notes is payable semi-annually on March 1 and September 1 of each year, commencing on March 1, 2020. Interest on the 2030 Notes is payable semi-annually on January 15 and July 15 of each year, commencing on January 15, 2020. The net proceeds from the sale of the 2024 Notes and 2030 Notes were used to (i) finance the Company's cash tender offer to purchase its 4.875% Senior Unsecured Notes due 2020 (described below) (ii) repay outstanding borrowings under the Company's revolving credit facility and (iii) repay a portion of the outstanding borrowings under the Company's Term Loan A-1 facility.</w:t>
      </w:r>
    </w:p>
    <w:p>
      <w:pPr>
        <w:spacing w:after="0" w:line="213" w:lineRule="exact"/>
        <w:rPr>
          <w:sz w:val="20"/>
          <w:szCs w:val="20"/>
          <w:color w:val="auto"/>
        </w:rPr>
      </w:pPr>
    </w:p>
    <w:p>
      <w:pPr>
        <w:ind w:right="140" w:firstLine="647"/>
        <w:spacing w:after="0" w:line="265" w:lineRule="auto"/>
        <w:rPr>
          <w:sz w:val="20"/>
          <w:szCs w:val="20"/>
          <w:color w:val="auto"/>
        </w:rPr>
      </w:pPr>
      <w:r>
        <w:rPr>
          <w:rFonts w:ascii="Times New Roman" w:cs="Times New Roman" w:eastAsia="Times New Roman" w:hAnsi="Times New Roman"/>
          <w:sz w:val="18"/>
          <w:szCs w:val="18"/>
          <w:color w:val="auto"/>
        </w:rPr>
        <w:t>On September 12, 2019, the Company completed a cash tender offer (the "2019 Tender Offer") to purchase its $1,000 million aggregate principal amount 4.875% Senior Unsecured Notes due 2020 (the "2020 Notes"). The Company received early tenders from the holders of approximately $782.6 million in aggregate principal of the 2020 Notes, or approximately 78% of its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outstanding 2020 Notes, in connection with the 2019 Tender Offer at a price of 102.337% of the unpaid principal amount plus accrued and unpaid interest through the settlement date. Subsequent to the early tender deadline, an additional $2.2 million in aggregate principal of the 2020 Notes was tendered at a price of 99.337% of the unpaid principal amount plus accrued and unpaid interest through the settlement date, for a total redemption of $784.8 million of the 2020 Notes. The Company recorded a loss on the early extinguishment of debt related to the 2019 Tender Offer, of approximately $21.0 million, for the difference between the reacquisition price of the tendered 2020 Notes and their net carrying value.</w:t>
      </w:r>
    </w:p>
    <w:p>
      <w:pPr>
        <w:spacing w:after="0" w:line="115" w:lineRule="exact"/>
        <w:rPr>
          <w:sz w:val="20"/>
          <w:szCs w:val="20"/>
          <w:color w:val="auto"/>
        </w:rPr>
      </w:pPr>
    </w:p>
    <w:p>
      <w:pPr>
        <w:ind w:right="200" w:firstLine="647"/>
        <w:spacing w:after="0" w:line="254" w:lineRule="auto"/>
        <w:rPr>
          <w:sz w:val="20"/>
          <w:szCs w:val="20"/>
          <w:color w:val="auto"/>
        </w:rPr>
      </w:pPr>
      <w:r>
        <w:rPr>
          <w:rFonts w:ascii="Times New Roman" w:cs="Times New Roman" w:eastAsia="Times New Roman" w:hAnsi="Times New Roman"/>
          <w:sz w:val="18"/>
          <w:szCs w:val="18"/>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108" w:lineRule="exact"/>
        <w:rPr>
          <w:sz w:val="20"/>
          <w:szCs w:val="20"/>
          <w:color w:val="auto"/>
        </w:rPr>
      </w:pPr>
    </w:p>
    <w:p>
      <w:pPr>
        <w:ind w:right="20" w:firstLine="647"/>
        <w:spacing w:after="0" w:line="260" w:lineRule="auto"/>
        <w:rPr>
          <w:sz w:val="20"/>
          <w:szCs w:val="20"/>
          <w:color w:val="auto"/>
        </w:rPr>
      </w:pPr>
      <w:r>
        <w:rPr>
          <w:rFonts w:ascii="Times New Roman" w:cs="Times New Roman" w:eastAsia="Times New Roman" w:hAnsi="Times New Roman"/>
          <w:sz w:val="18"/>
          <w:szCs w:val="18"/>
          <w:color w:val="auto"/>
        </w:rPr>
        <w:t xml:space="preserve">The Senior Notes were issued by GLP Capital, L.P. and GLP Financing II, Inc. (the "Issuers"), two wholly-owned subsidiaries of GLPI, and are guaranteed on a senior unsecured basis by GLPI. The guarantees of GLPI are full and unconditional. The Senior Notes are the Issuers' senior unsecured obligations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the Issuers' senior indebtedness, including the Credit Facility, and senior in right of payment to all of the Issuers' subordinated indebtedness, without giving effect to collateral arrangements.</w:t>
      </w:r>
    </w:p>
    <w:p>
      <w:pPr>
        <w:spacing w:after="0" w:line="114" w:lineRule="exact"/>
        <w:rPr>
          <w:sz w:val="20"/>
          <w:szCs w:val="20"/>
          <w:color w:val="auto"/>
        </w:rPr>
      </w:pPr>
    </w:p>
    <w:p>
      <w:pPr>
        <w:ind w:firstLine="647"/>
        <w:spacing w:after="0" w:line="288" w:lineRule="auto"/>
        <w:rPr>
          <w:sz w:val="20"/>
          <w:szCs w:val="20"/>
          <w:color w:val="auto"/>
        </w:rPr>
      </w:pPr>
      <w:r>
        <w:rPr>
          <w:rFonts w:ascii="Times New Roman" w:cs="Times New Roman" w:eastAsia="Times New Roman" w:hAnsi="Times New Roman"/>
          <w:sz w:val="17"/>
          <w:szCs w:val="17"/>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2020, the Company was in compliance with all required financial covenants under its Senior Notes.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 Liability</w:t>
      </w:r>
    </w:p>
    <w:p>
      <w:pPr>
        <w:spacing w:after="0" w:line="255" w:lineRule="exact"/>
        <w:rPr>
          <w:sz w:val="20"/>
          <w:szCs w:val="20"/>
          <w:color w:val="auto"/>
        </w:rPr>
      </w:pPr>
    </w:p>
    <w:p>
      <w:pPr>
        <w:ind w:right="120" w:firstLine="647"/>
        <w:spacing w:after="0" w:line="312" w:lineRule="auto"/>
        <w:rPr>
          <w:sz w:val="20"/>
          <w:szCs w:val="20"/>
          <w:color w:val="auto"/>
        </w:rPr>
      </w:pPr>
      <w:r>
        <w:rPr>
          <w:rFonts w:ascii="Times New Roman" w:cs="Times New Roman" w:eastAsia="Times New Roman" w:hAnsi="Times New Roman"/>
          <w:sz w:val="17"/>
          <w:szCs w:val="17"/>
          <w:color w:val="auto"/>
        </w:rPr>
        <w:t>The Company assumed the finance lease obligations related to certain assets at its Aurora, Illinois property. GLPI recorded the asset and liability associated with the finance lease on its consolidated balance sheet. The original term of the finance lease is 30 years and it will terminate in 2026.</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Summarized financial information for Subsidiary Issuers and Parent Guarantor</w:t>
      </w:r>
    </w:p>
    <w:p>
      <w:pPr>
        <w:spacing w:after="0" w:line="51"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3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86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0" w:type="dxa"/>
            <w:vAlign w:val="bottom"/>
          </w:tcPr>
          <w:p>
            <w:pPr>
              <w:spacing w:after="0"/>
              <w:rPr>
                <w:sz w:val="1"/>
                <w:szCs w:val="1"/>
                <w:color w:val="auto"/>
              </w:rPr>
            </w:pPr>
          </w:p>
        </w:tc>
      </w:tr>
      <w:tr>
        <w:trPr>
          <w:trHeight w:val="223"/>
        </w:trPr>
        <w:tc>
          <w:tcPr>
            <w:tcW w:w="3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2,720,767</w:t>
            </w:r>
          </w:p>
        </w:tc>
        <w:tc>
          <w:tcPr>
            <w:tcW w:w="240" w:type="dxa"/>
            <w:vAlign w:val="bottom"/>
          </w:tcPr>
          <w:p>
            <w:pPr>
              <w:spacing w:after="0"/>
              <w:rPr>
                <w:sz w:val="19"/>
                <w:szCs w:val="19"/>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2,514,806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Real estate loans</w:t>
            </w:r>
          </w:p>
        </w:tc>
        <w:tc>
          <w:tcPr>
            <w:tcW w:w="86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0" w:type="dxa"/>
            <w:vAlign w:val="bottom"/>
          </w:tcPr>
          <w:p>
            <w:pPr>
              <w:spacing w:after="0"/>
              <w:rPr>
                <w:sz w:val="1"/>
                <w:szCs w:val="1"/>
                <w:color w:val="auto"/>
              </w:rPr>
            </w:pPr>
          </w:p>
        </w:tc>
      </w:tr>
      <w:tr>
        <w:trPr>
          <w:trHeight w:val="229"/>
        </w:trPr>
        <w:tc>
          <w:tcPr>
            <w:tcW w:w="3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Right-of-use assets and land rights, net</w:t>
            </w:r>
          </w:p>
        </w:tc>
        <w:tc>
          <w:tcPr>
            <w:tcW w:w="8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121,866</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175"/>
        </w:trPr>
        <w:tc>
          <w:tcPr>
            <w:tcW w:w="364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Long term debt, net of unamortized debt</w:t>
            </w:r>
          </w:p>
        </w:tc>
        <w:tc>
          <w:tcPr>
            <w:tcW w:w="8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costs, bond premiums and original</w:t>
            </w:r>
          </w:p>
        </w:tc>
        <w:tc>
          <w:tcPr>
            <w:tcW w:w="860" w:type="dxa"/>
            <w:vAlign w:val="bottom"/>
          </w:tcPr>
          <w:p>
            <w:pPr>
              <w:spacing w:after="0"/>
              <w:rPr>
                <w:sz w:val="15"/>
                <w:szCs w:val="15"/>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5,754,689</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5,737,962</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discounts</w:t>
            </w:r>
          </w:p>
        </w:tc>
        <w:tc>
          <w:tcPr>
            <w:tcW w:w="860" w:type="dxa"/>
            <w:vAlign w:val="bottom"/>
          </w:tcPr>
          <w:p>
            <w:pPr>
              <w:spacing w:after="0"/>
              <w:rPr>
                <w:sz w:val="19"/>
                <w:szCs w:val="19"/>
                <w:color w:val="auto"/>
              </w:rPr>
            </w:pPr>
          </w:p>
        </w:tc>
        <w:tc>
          <w:tcPr>
            <w:tcW w:w="2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interest</w:t>
            </w:r>
          </w:p>
        </w:tc>
        <w:tc>
          <w:tcPr>
            <w:tcW w:w="8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60,695</w:t>
            </w:r>
          </w:p>
        </w:tc>
        <w:tc>
          <w:tcPr>
            <w:tcW w:w="0" w:type="dxa"/>
            <w:vAlign w:val="bottom"/>
          </w:tcPr>
          <w:p>
            <w:pPr>
              <w:spacing w:after="0"/>
              <w:rPr>
                <w:sz w:val="1"/>
                <w:szCs w:val="1"/>
                <w:color w:val="auto"/>
              </w:rPr>
            </w:pPr>
          </w:p>
        </w:tc>
      </w:tr>
      <w:tr>
        <w:trPr>
          <w:trHeight w:val="229"/>
        </w:trPr>
        <w:tc>
          <w:tcPr>
            <w:tcW w:w="3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58,654</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rental revenue</w:t>
            </w:r>
          </w:p>
        </w:tc>
        <w:tc>
          <w:tcPr>
            <w:tcW w:w="8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265,891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271,837</w:t>
            </w: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tc>
        <w:tc>
          <w:tcPr>
            <w:tcW w:w="780" w:type="dxa"/>
            <w:vAlign w:val="bottom"/>
            <w:shd w:val="clear" w:color="auto" w:fill="CCEEFF"/>
          </w:tcPr>
          <w:p>
            <w:pPr>
              <w:spacing w:after="0"/>
              <w:rPr>
                <w:sz w:val="17"/>
                <w:szCs w:val="17"/>
                <w:color w:val="auto"/>
              </w:rPr>
            </w:pPr>
          </w:p>
        </w:tc>
        <w:tc>
          <w:tcPr>
            <w:tcW w:w="2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w:t>
            </w:r>
          </w:p>
        </w:tc>
      </w:tr>
      <w:tr>
        <w:trPr>
          <w:trHeight w:val="229"/>
        </w:trPr>
        <w:tc>
          <w:tcPr>
            <w:tcW w:w="36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2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31, 2019</w:t>
            </w:r>
          </w:p>
        </w:tc>
      </w:tr>
      <w:tr>
        <w:trPr>
          <w:trHeight w:val="223"/>
        </w:trPr>
        <w:tc>
          <w:tcPr>
            <w:tcW w:w="3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580,428</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575,451</w:t>
            </w:r>
          </w:p>
        </w:tc>
      </w:tr>
      <w:tr>
        <w:trPr>
          <w:trHeight w:val="229"/>
        </w:trPr>
        <w:tc>
          <w:tcPr>
            <w:tcW w:w="3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from operations</w:t>
            </w:r>
          </w:p>
        </w:tc>
        <w:tc>
          <w:tcPr>
            <w:tcW w:w="760" w:type="dxa"/>
            <w:vAlign w:val="bottom"/>
            <w:shd w:val="clear" w:color="auto" w:fill="CCEEFF"/>
          </w:tcPr>
          <w:p>
            <w:pPr>
              <w:spacing w:after="0"/>
              <w:rPr>
                <w:sz w:val="19"/>
                <w:szCs w:val="19"/>
                <w:color w:val="auto"/>
              </w:rPr>
            </w:pPr>
          </w:p>
        </w:tc>
        <w:tc>
          <w:tcPr>
            <w:tcW w:w="2440" w:type="dxa"/>
            <w:vAlign w:val="bottom"/>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rPr>
              <w:t>446,708</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384,170</w:t>
            </w:r>
          </w:p>
        </w:tc>
      </w:tr>
      <w:tr>
        <w:trPr>
          <w:trHeight w:val="229"/>
        </w:trPr>
        <w:tc>
          <w:tcPr>
            <w:tcW w:w="3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spacing w:after="0"/>
              <w:rPr>
                <w:sz w:val="19"/>
                <w:szCs w:val="19"/>
                <w:color w:val="auto"/>
              </w:rPr>
            </w:pPr>
          </w:p>
        </w:tc>
        <w:tc>
          <w:tcPr>
            <w:tcW w:w="24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(282,142)</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(301,520)</w:t>
            </w:r>
          </w:p>
        </w:tc>
      </w:tr>
      <w:tr>
        <w:trPr>
          <w:trHeight w:val="229"/>
        </w:trPr>
        <w:tc>
          <w:tcPr>
            <w:tcW w:w="3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CEEFF"/>
          </w:tcPr>
          <w:p>
            <w:pPr>
              <w:spacing w:after="0"/>
              <w:rPr>
                <w:sz w:val="19"/>
                <w:szCs w:val="19"/>
                <w:color w:val="auto"/>
              </w:rPr>
            </w:pPr>
          </w:p>
        </w:tc>
        <w:tc>
          <w:tcPr>
            <w:tcW w:w="2440" w:type="dxa"/>
            <w:vAlign w:val="bottom"/>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rPr>
              <w:t>146,323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61,734</w:t>
            </w:r>
          </w:p>
        </w:tc>
      </w:tr>
    </w:tbl>
    <w:p>
      <w:pPr>
        <w:spacing w:after="0" w:line="200" w:lineRule="exact"/>
        <w:rPr>
          <w:sz w:val="20"/>
          <w:szCs w:val="20"/>
          <w:color w:val="auto"/>
        </w:rPr>
      </w:pPr>
    </w:p>
    <w:p>
      <w:pPr>
        <w:spacing w:after="0" w:line="361" w:lineRule="exact"/>
        <w:rPr>
          <w:sz w:val="20"/>
          <w:szCs w:val="20"/>
          <w:color w:val="auto"/>
        </w:rPr>
      </w:pPr>
    </w:p>
    <w:p>
      <w:pPr>
        <w:ind w:right="40" w:firstLine="324"/>
        <w:spacing w:after="0" w:line="260" w:lineRule="auto"/>
        <w:rPr>
          <w:sz w:val="20"/>
          <w:szCs w:val="20"/>
          <w:color w:val="auto"/>
        </w:rPr>
      </w:pPr>
      <w:r>
        <w:rPr>
          <w:rFonts w:ascii="Times New Roman" w:cs="Times New Roman" w:eastAsia="Times New Roman" w:hAnsi="Times New Roman"/>
          <w:sz w:val="18"/>
          <w:szCs w:val="18"/>
          <w:color w:val="auto"/>
        </w:rPr>
        <w:t>The financial information presented above is that of the subsidiary issuers and parent guarantor and the financial information of non-issuer subsidiaries has been excluded. The financial information of subsidiary issuers and the parent guarantor has been presented on a combined basis; however, the only asset on the parent guarantor balance sheet is its investment in subsidiaries which is not included in the presentation above in accordance with the disclosure requirements.</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had no off-balance sheet arrangements at December 31, 2020 and 2019.</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Requirements</w:t>
      </w:r>
    </w:p>
    <w:p>
      <w:pPr>
        <w:spacing w:after="0" w:line="253" w:lineRule="exact"/>
        <w:rPr>
          <w:sz w:val="20"/>
          <w:szCs w:val="20"/>
          <w:color w:val="auto"/>
        </w:rPr>
      </w:pPr>
    </w:p>
    <w:p>
      <w:pPr>
        <w:ind w:right="140" w:firstLine="647"/>
        <w:spacing w:after="0" w:line="255" w:lineRule="auto"/>
        <w:rPr>
          <w:sz w:val="20"/>
          <w:szCs w:val="20"/>
          <w:color w:val="auto"/>
        </w:rPr>
      </w:pPr>
      <w:r>
        <w:rPr>
          <w:rFonts w:ascii="Times New Roman" w:cs="Times New Roman" w:eastAsia="Times New Roman" w:hAnsi="Times New Roman"/>
          <w:sz w:val="18"/>
          <w:szCs w:val="18"/>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213"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While the Company's Board of Directors declared a cash dividend of $0.70 for the first quarter of 2020, quarterly dividends of $0.60 per share on the Company's common stock were declared for both the second, third and fourth quarters. These dividends consisted of a combination of cash and shares of the Company's common stock. The cash component of the dividend (other than cash paid in lieu of fractional shares) did not exceed 20% in the aggregate, or $0.12 per share, with the balance, or $0.48 per share, payable in shares of the Company's common stock. This quarterly dividend level reflected the impact of the COVID-19 closures on the Company's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LIBOR Transition</w:t>
      </w:r>
    </w:p>
    <w:p>
      <w:pPr>
        <w:spacing w:after="0" w:line="253" w:lineRule="exact"/>
        <w:rPr>
          <w:sz w:val="20"/>
          <w:szCs w:val="20"/>
          <w:color w:val="auto"/>
        </w:rPr>
      </w:pPr>
    </w:p>
    <w:p>
      <w:pPr>
        <w:ind w:right="420" w:firstLine="647"/>
        <w:spacing w:after="0" w:line="260" w:lineRule="auto"/>
        <w:rPr>
          <w:sz w:val="20"/>
          <w:szCs w:val="20"/>
          <w:color w:val="auto"/>
        </w:rPr>
      </w:pPr>
      <w:r>
        <w:rPr>
          <w:rFonts w:ascii="Times New Roman" w:cs="Times New Roman" w:eastAsia="Times New Roman" w:hAnsi="Times New Roman"/>
          <w:sz w:val="18"/>
          <w:szCs w:val="18"/>
          <w:color w:val="auto"/>
        </w:rPr>
        <w:t>The majority of our debt is at fixed rates and our exposure to variable interest rates is currently limited to our revolving credit facility and our Term Loan A-2. Both of these debt instruments are indexed to LIBOR which is expected to be phased out during late 2021 through mid-2023. The discontinuance of LIBOR would affect our interest expense and earnings. The borrowings under our Amended Credit Facility will be subject to the expected LIBOR transition. LIBOR is currently expected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to transition to a new standard rate, the Secured Overnight Financing Rate (“SOFR”). We are currently monitoring the transition and cannot be certain whether SOFR will become the standard rate for our variable rate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25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Based on our current level of operations and anticipated earnings, we believe that cash generated from operations and cash on hand, together with amounts available under our Amended Credit Facility, will be adequate to meet our anticipated debt service requirements, capital expenditures, working capital needs and dividend requirements. During 2020, we refinanced our near term debt obligations and as such have no significant obligations coming due until 2023 and we issued common shares in advance of the planned 2021 closing of the Bally's transaction. We also announced a project to move our Hollywood Casino Baton Rouge property landside in early 2022. On December 15, 2020, we announced that Penn had exercised its option to acquire the gaming operations at Hollywood Casino Perryville for $31.1 million and that we entered into an agreement to sell the gaming operations of Hollywood Casino Baton Rouge for $28.2 million to Casino Queen. The Company will retain ownership of the real estate assets at Hollywood Casino Baton Rouge and will simultaneously enter into the Casino Queen Master Lease. Rent under the Casino Queen Master Lease will be adjusted upon completion of the project to reflect a yield of 8.25% on the Company's project costs. Both transactions are expected to close in the second half of 2021, subject to regulatory approvals and other customary closing conditions.</w:t>
      </w:r>
    </w:p>
    <w:p>
      <w:pPr>
        <w:spacing w:after="0" w:line="21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addition, 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ATM Program)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of this Annual Report on Form 10-K for a discussion of the risk related to our capital structure.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620" w:firstLine="647"/>
        <w:spacing w:after="0" w:line="281" w:lineRule="auto"/>
        <w:rPr>
          <w:sz w:val="20"/>
          <w:szCs w:val="20"/>
          <w:color w:val="auto"/>
        </w:rPr>
      </w:pPr>
      <w:r>
        <w:rPr>
          <w:rFonts w:ascii="Times New Roman" w:cs="Times New Roman" w:eastAsia="Times New Roman" w:hAnsi="Times New Roman"/>
          <w:sz w:val="18"/>
          <w:szCs w:val="18"/>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63" w:lineRule="exact"/>
        <w:rPr>
          <w:sz w:val="20"/>
          <w:szCs w:val="20"/>
          <w:color w:val="auto"/>
        </w:rPr>
      </w:pPr>
    </w:p>
    <w:p>
      <w:pPr>
        <w:ind w:right="80" w:firstLine="647"/>
        <w:spacing w:after="0" w:line="255" w:lineRule="auto"/>
        <w:rPr>
          <w:sz w:val="20"/>
          <w:szCs w:val="20"/>
          <w:color w:val="auto"/>
        </w:rPr>
      </w:pPr>
      <w:r>
        <w:rPr>
          <w:rFonts w:ascii="Times New Roman" w:cs="Times New Roman" w:eastAsia="Times New Roman" w:hAnsi="Times New Roman"/>
          <w:sz w:val="18"/>
          <w:szCs w:val="18"/>
          <w:color w:val="auto"/>
        </w:rPr>
        <w:t>GLPI’s primary market risk exposure is interest rate risk with respect to its indebtedness of $5,799.9 million at December 31, 2020. Furthermore, $5,375.0 million of our obligations are the senior unsecured notes that have fixed interest rates with maturity dates ranging from two and one-half years to ten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GLPI also expects to manage its exposure to interest rate risk by maintaining a mix of fixed and variable rates for its indebtedness. However, the provisions of the Code applicable to REITs substantially limit GLPI’s ability to hedge its assets and liabilities.</w:t>
      </w:r>
    </w:p>
    <w:p>
      <w:pPr>
        <w:spacing w:after="0" w:line="187" w:lineRule="exact"/>
        <w:rPr>
          <w:sz w:val="20"/>
          <w:szCs w:val="20"/>
          <w:color w:val="auto"/>
        </w:rPr>
      </w:pPr>
    </w:p>
    <w:p>
      <w:pPr>
        <w:ind w:right="60" w:firstLine="647"/>
        <w:spacing w:after="0" w:line="260" w:lineRule="auto"/>
        <w:rPr>
          <w:sz w:val="20"/>
          <w:szCs w:val="20"/>
          <w:color w:val="auto"/>
        </w:rPr>
      </w:pPr>
      <w:r>
        <w:rPr>
          <w:rFonts w:ascii="Times New Roman" w:cs="Times New Roman" w:eastAsia="Times New Roman" w:hAnsi="Times New Roman"/>
          <w:sz w:val="18"/>
          <w:szCs w:val="18"/>
          <w:color w:val="auto"/>
        </w:rPr>
        <w:t>The table below provides information at December 31, 2020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for our variable rate debt are based on implied forward LIBOR rates at December 31, 2020.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1/01/21-</w:t>
            </w:r>
          </w:p>
        </w:tc>
        <w:tc>
          <w:tcPr>
            <w:tcW w:w="220" w:type="dxa"/>
            <w:vAlign w:val="bottom"/>
          </w:tcPr>
          <w:p>
            <w:pPr>
              <w:spacing w:after="0"/>
              <w:rPr>
                <w:sz w:val="13"/>
                <w:szCs w:val="13"/>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1/01/22-</w:t>
            </w: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1/01/23- 12/31/23</w:t>
            </w:r>
          </w:p>
        </w:tc>
        <w:tc>
          <w:tcPr>
            <w:tcW w:w="9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1/01/24-</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1/01/25 12/31/25</w:t>
            </w:r>
          </w:p>
        </w:tc>
        <w:tc>
          <w:tcPr>
            <w:tcW w:w="220" w:type="dxa"/>
            <w:vAlign w:val="bottom"/>
          </w:tcPr>
          <w:p>
            <w:pPr>
              <w:spacing w:after="0"/>
              <w:rPr>
                <w:sz w:val="13"/>
                <w:szCs w:val="13"/>
                <w:color w:val="auto"/>
              </w:rPr>
            </w:pP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44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11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debt: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Fixed rate</w:t>
            </w:r>
          </w:p>
        </w:tc>
        <w:tc>
          <w:tcPr>
            <w:tcW w:w="10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4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color w:val="auto"/>
              </w:rPr>
              <w:t>400,000</w:t>
            </w:r>
          </w:p>
        </w:tc>
        <w:tc>
          <w:tcPr>
            <w:tcW w:w="28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color w:val="auto"/>
              </w:rPr>
              <w:t>850,000</w:t>
            </w:r>
          </w:p>
        </w:tc>
        <w:tc>
          <w:tcPr>
            <w:tcW w:w="22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color w:val="auto"/>
              </w:rPr>
              <w:t>3,625,000</w:t>
            </w:r>
          </w:p>
        </w:tc>
        <w:tc>
          <w:tcPr>
            <w:tcW w:w="26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5,375,000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6,026,840</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5.38 %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3.35 %</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5.25 %</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4.88 %</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424,019</w:t>
            </w: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424,019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424,019</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Average interest rate </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170370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37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8"/>
        <w:spacing w:after="0" w:line="229" w:lineRule="auto"/>
        <w:tabs>
          <w:tab w:leader="none" w:pos="542"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rate, reflective of forward LIBOR plus the spread over LIBOR applicable to variable-rate borrowing. For considerations surrounding the phase out of LIBOR refer to the Liquidity and Capital Resources discussion in this Annual Report on Form 10-K.</w:t>
      </w: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and Leisure Properties, Inc. and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Gaming and Leisure Properties, Inc. and Subsidiaries (the "Company") as of December 31, 2020 and 2019, the related consolidated statements of income, changes in shareholders’ equity (deficit), and cash flows, for each of the three years in the period ended December 31, 2020, and the related notes and the schedules listed in the Index at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19, 2021, expressed an unqualified opinion on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Classification - Lease Term - See Note 14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performs a lease classification test upon the entry into any new tenant lease or lease modification to determine if the Company will account for the lease as an operating, sales-type lease, or direct financing lease. The accounting guidance under ASC 842 is complex and requires the use of judgments and assumptions by management to determine the proper accounting treatment of a lease. The lease classification tests and the resulting calculations require subjective judgments, such as determining the likelihood a tenant will exercise all renewal options, in order to determine the lease term. A slight change in estimate or judgment can result in a material difference in the financial statement presentation.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Given the significant judgments made by management to determine the expected lease term, we performed audit procedures to assess the reasonableness of such judgments, which required a high degree of auditor judgment.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Our audit procedures related to the judgments surrounding the determination of lease term for any new or reassessed lease included the following, among others:</w:t>
      </w:r>
    </w:p>
    <w:p>
      <w:pPr>
        <w:spacing w:after="0" w:line="55" w:lineRule="exact"/>
        <w:rPr>
          <w:sz w:val="20"/>
          <w:szCs w:val="20"/>
          <w:color w:val="auto"/>
        </w:rPr>
      </w:pPr>
    </w:p>
    <w:p>
      <w:pPr>
        <w:ind w:left="660" w:hanging="329"/>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management’s assessment of the likelihood a tenant would exercise all renewal options.</w:t>
      </w:r>
    </w:p>
    <w:p>
      <w:pPr>
        <w:spacing w:after="0" w:line="11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significant judgments management made to determine the expected lease term by:</w:t>
      </w:r>
    </w:p>
    <w:p>
      <w:pPr>
        <w:spacing w:after="0" w:line="116" w:lineRule="exact"/>
        <w:rPr>
          <w:rFonts w:ascii="Times New Roman" w:cs="Times New Roman" w:eastAsia="Times New Roman" w:hAnsi="Times New Roman"/>
          <w:sz w:val="18"/>
          <w:szCs w:val="18"/>
          <w:color w:val="auto"/>
        </w:rPr>
      </w:pPr>
    </w:p>
    <w:p>
      <w:pPr>
        <w:ind w:left="1300" w:right="40" w:hanging="321"/>
        <w:spacing w:after="0" w:line="281"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significance of the leased assets to the tenant’s operations by examining available information including tenant’s financial statements.</w:t>
      </w:r>
    </w:p>
    <w:p>
      <w:pPr>
        <w:spacing w:after="0" w:line="189"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historical pattern of tenant lease modifications by examining both confirming and contradictory evidence.</w:t>
      </w:r>
    </w:p>
    <w:p>
      <w:pPr>
        <w:spacing w:after="0" w:line="251"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lease agreements to examine material lease provisions considered by management in their analysis.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Gaming and Leisure Properties, Inc. and Subsidiaries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02"/>
        </w:trPr>
        <w:tc>
          <w:tcPr>
            <w:tcW w:w="8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7,287,158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7,100,555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used in operations,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of Tropicana Las Vegas,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loans</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303,684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and land rights,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838,734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9,034,368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8,434,298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Gaming, property, and other taxes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183,971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 of unamortized debt issuance costs, bond premiums and original issuance discounts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5,754,689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5,737,962</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rental revenue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328,485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6,359,350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6,360,053</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($.01 par value, 50,000,000 shares authorized, no shares issued or outstanding at December 31,</w:t>
            </w:r>
          </w:p>
        </w:tc>
        <w:tc>
          <w:tcPr>
            <w:tcW w:w="1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2020 and December 31, 2019)</w:t>
            </w:r>
          </w:p>
        </w:tc>
        <w:tc>
          <w:tcPr>
            <w:tcW w:w="12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Common stock ($.01 par value, 500,000,000 shares authorized, 232,452,220 and 214,694,165 shares issued</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29"/>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outstanding at December 31, 2020 and December 31, 2019, respectively)</w:t>
            </w: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4,284,789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3,959,383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(1,612,096)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(1,887,285)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2,675,018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2,074,245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9,034,368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8,434,298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Gaming and Leisure Properties, Inc. and Subsidiaries</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2"/>
        </w:trPr>
        <w:tc>
          <w:tcPr>
            <w:tcW w:w="5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1,031,036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996,166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747,654</w:t>
            </w:r>
          </w:p>
        </w:tc>
      </w:tr>
      <w:tr>
        <w:trPr>
          <w:trHeight w:val="229"/>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direct financing lease</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81,119</w:t>
            </w:r>
          </w:p>
        </w:tc>
      </w:tr>
      <w:tr>
        <w:trPr>
          <w:trHeight w:val="22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from real estate loans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r>
      <w:tr>
        <w:trPr>
          <w:trHeight w:val="229"/>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taxes paid by tenants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87,466</w:t>
            </w: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from real estate</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1,050,166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1,025,082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923,182</w:t>
            </w:r>
          </w:p>
        </w:tc>
      </w:tr>
      <w:tr>
        <w:trPr>
          <w:trHeight w:val="229"/>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132,545</w:t>
            </w: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1,055,727</w:t>
            </w:r>
          </w:p>
        </w:tc>
      </w:tr>
      <w:tr>
        <w:trPr>
          <w:trHeight w:val="216"/>
        </w:trPr>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77,127</w:t>
            </w:r>
          </w:p>
        </w:tc>
      </w:tr>
      <w:tr>
        <w:trPr>
          <w:trHeight w:val="22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88,757</w:t>
            </w:r>
          </w:p>
        </w:tc>
      </w:tr>
      <w:tr>
        <w:trPr>
          <w:trHeight w:val="229"/>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rights and ground lease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28,358</w:t>
            </w:r>
          </w:p>
        </w:tc>
      </w:tr>
      <w:tr>
        <w:trPr>
          <w:trHeight w:val="22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70,819</w:t>
            </w:r>
          </w:p>
        </w:tc>
      </w:tr>
      <w:tr>
        <w:trPr>
          <w:trHeight w:val="229"/>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losses from dispositions of properties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137,093</w:t>
            </w:r>
          </w:p>
        </w:tc>
      </w:tr>
      <w:tr>
        <w:trPr>
          <w:trHeight w:val="229"/>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 impairment charges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59,454</w:t>
            </w:r>
          </w:p>
        </w:tc>
      </w:tr>
      <w:tr>
        <w:trPr>
          <w:trHeight w:val="223"/>
        </w:trPr>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343,891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461,917</w:t>
            </w:r>
          </w:p>
        </w:tc>
      </w:tr>
      <w:tr>
        <w:trPr>
          <w:trHeight w:val="223"/>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809,274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593,810</w:t>
            </w:r>
          </w:p>
        </w:tc>
      </w:tr>
      <w:tr>
        <w:trPr>
          <w:trHeight w:val="196"/>
        </w:trPr>
        <w:tc>
          <w:tcPr>
            <w:tcW w:w="5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(247,684)</w:t>
            </w:r>
          </w:p>
        </w:tc>
      </w:tr>
      <w:tr>
        <w:trPr>
          <w:trHeight w:val="22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29"/>
        </w:trPr>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on debt extinguishment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(299,686)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(321,778)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(249,330)</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344,480</w:t>
            </w:r>
          </w:p>
        </w:tc>
      </w:tr>
      <w:tr>
        <w:trPr>
          <w:trHeight w:val="22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w:t>
            </w: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505,711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390,881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339,516</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bl>
    <w:p>
      <w:pPr>
        <w:spacing w:after="0" w:line="200" w:lineRule="exact"/>
        <w:rPr>
          <w:sz w:val="20"/>
          <w:szCs w:val="20"/>
          <w:color w:val="auto"/>
        </w:rPr>
      </w:pPr>
    </w:p>
    <w:p>
      <w:pPr>
        <w:spacing w:after="0" w:line="31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Gaming and Leisure Properties,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3900" w:type="dxa"/>
            <w:vAlign w:val="bottom"/>
          </w:tcPr>
          <w:p>
            <w:pPr>
              <w:spacing w:after="0"/>
              <w:rPr>
                <w:sz w:val="9"/>
                <w:szCs w:val="9"/>
                <w:color w:val="auto"/>
              </w:rPr>
            </w:pPr>
          </w:p>
        </w:tc>
        <w:tc>
          <w:tcPr>
            <w:tcW w:w="14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9"/>
                <w:szCs w:val="9"/>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9"/>
                <w:szCs w:val="9"/>
                <w:color w:val="auto"/>
              </w:rPr>
            </w:pPr>
          </w:p>
        </w:tc>
        <w:tc>
          <w:tcPr>
            <w:tcW w:w="124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9"/>
                <w:szCs w:val="9"/>
                <w:color w:val="auto"/>
              </w:rPr>
            </w:pPr>
          </w:p>
        </w:tc>
        <w:tc>
          <w:tcPr>
            <w:tcW w:w="1300" w:type="dxa"/>
            <w:vAlign w:val="bottom"/>
            <w:gridSpan w:val="2"/>
          </w:tcPr>
          <w:p>
            <w:pPr>
              <w:jc w:val="center"/>
              <w:ind w:right="32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9"/>
                <w:szCs w:val="9"/>
                <w:color w:val="auto"/>
              </w:rPr>
            </w:pPr>
          </w:p>
        </w:tc>
        <w:tc>
          <w:tcPr>
            <w:tcW w:w="1200" w:type="dxa"/>
            <w:vAlign w:val="bottom"/>
          </w:tcPr>
          <w:p>
            <w:pPr>
              <w:jc w:val="center"/>
              <w:ind w:right="93"/>
              <w:spacing w:after="0" w:line="11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12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212,717,549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3,933,829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2,458,247</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activity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activity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($2.57 per common share)</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(550,435)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 of new revenue standard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339,516</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214,211,932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3,952,503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2,265,607</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ATM Program offering costs, net of issuance of</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activity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activity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($2.74 per common share)</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(589,128)</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390,881</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214,694,165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3,959,383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2,074,245</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9,207,971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320,873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activity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($2.50 per common share)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8,021,799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(230,522)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505,711</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232,452,220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4,284,789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(1,612,096)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2,675,018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0"/>
        </w:trPr>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of Contents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5"/>
        </w:trPr>
        <w:tc>
          <w:tcPr>
            <w:tcW w:w="8140" w:type="dxa"/>
            <w:vAlign w:val="bottom"/>
            <w:gridSpan w:val="5"/>
          </w:tcPr>
          <w:p>
            <w:pPr>
              <w:jc w:val="center"/>
              <w:ind w:left="3031"/>
              <w:spacing w:after="0"/>
              <w:rPr>
                <w:sz w:val="20"/>
                <w:szCs w:val="20"/>
                <w:color w:val="auto"/>
              </w:rPr>
            </w:pPr>
            <w:r>
              <w:rPr>
                <w:rFonts w:ascii="Times New Roman" w:cs="Times New Roman" w:eastAsia="Times New Roman" w:hAnsi="Times New Roman"/>
                <w:sz w:val="16"/>
                <w:szCs w:val="16"/>
                <w:b w:val="1"/>
                <w:bCs w:val="1"/>
                <w:color w:val="auto"/>
              </w:rPr>
              <w:t>Gaming and Leisure Properties, Inc. and Subsidiaries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80" w:type="dxa"/>
            <w:vAlign w:val="bottom"/>
            <w:gridSpan w:val="3"/>
          </w:tcPr>
          <w:p>
            <w:pPr>
              <w:jc w:val="center"/>
              <w:ind w:left="4111"/>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00" w:type="dxa"/>
            <w:vAlign w:val="bottom"/>
            <w:gridSpan w:val="2"/>
          </w:tcPr>
          <w:p>
            <w:pPr>
              <w:jc w:val="center"/>
              <w:ind w:left="447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505,711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339,516</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148,365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bond premiums and discounts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(Gains) losses on dispositions of property</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61,888</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rent recognized</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Losses on debt extinguishment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 and goodwill impairment charges</w:t>
            </w:r>
          </w:p>
        </w:tc>
        <w:tc>
          <w:tcPr>
            <w:tcW w:w="3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59,454</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increase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interest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0" w:type="dxa"/>
            <w:vAlign w:val="bottom"/>
          </w:tcPr>
          <w:p>
            <w:pPr>
              <w:spacing w:after="0"/>
              <w:rPr>
                <w:sz w:val="1"/>
                <w:szCs w:val="1"/>
                <w:color w:val="auto"/>
              </w:rPr>
            </w:pPr>
          </w:p>
        </w:tc>
      </w:tr>
      <w:tr>
        <w:trPr>
          <w:trHeight w:val="229"/>
        </w:trPr>
        <w:tc>
          <w:tcPr>
            <w:tcW w:w="6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Gaming, property and other taxes and 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654,433</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project expenditures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real estate assets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(1,243,466)</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Originations of real estate loans</w:t>
            </w:r>
          </w:p>
        </w:tc>
        <w:tc>
          <w:tcPr>
            <w:tcW w:w="3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(303,684)</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Collections of principal payments on investment in direct financing lease</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(1,509,784)</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(550,435)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paid for shares withheld on restricted stock award vestings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2,593,405</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costs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(32,426)</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(2,060,884)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(1,164,117)</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Premium and related costs paid on tender of senior unsecured notes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852,080</w:t>
            </w:r>
          </w:p>
        </w:tc>
        <w:tc>
          <w:tcPr>
            <w:tcW w:w="0" w:type="dxa"/>
            <w:vAlign w:val="bottom"/>
          </w:tcPr>
          <w:p>
            <w:pPr>
              <w:spacing w:after="0"/>
              <w:rPr>
                <w:sz w:val="1"/>
                <w:szCs w:val="1"/>
                <w:color w:val="auto"/>
              </w:rPr>
            </w:pPr>
          </w:p>
        </w:tc>
      </w:tr>
      <w:tr>
        <w:trPr>
          <w:trHeight w:val="155"/>
        </w:trPr>
        <w:tc>
          <w:tcPr>
            <w:tcW w:w="67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including cash classified within</w:t>
            </w:r>
          </w:p>
        </w:tc>
        <w:tc>
          <w:tcPr>
            <w:tcW w:w="3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481,759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 held for sale</w:t>
            </w:r>
          </w:p>
        </w:tc>
        <w:tc>
          <w:tcPr>
            <w:tcW w:w="3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decrease in cash classified within assets held for sale</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w:t>
      </w:r>
      <w:r>
        <w:rPr>
          <w:rFonts w:ascii="Times New Roman" w:cs="Times New Roman" w:eastAsia="Times New Roman" w:hAnsi="Times New Roman"/>
          <w:sz w:val="16"/>
          <w:szCs w:val="16"/>
          <w:color w:val="auto"/>
        </w:rPr>
        <w:t>20</w:t>
      </w:r>
      <w:r>
        <w:rPr>
          <w:rFonts w:ascii="Times New Roman" w:cs="Times New Roman" w:eastAsia="Times New Roman" w:hAnsi="Times New Roman"/>
          <w:sz w:val="18"/>
          <w:szCs w:val="18"/>
          <w:color w:val="auto"/>
        </w:rPr>
        <w:t xml:space="preserve"> to the Consolidated Financial Statements for supplemental cash flow information.</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6" w:right="6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Gaming and Leisure Properties,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Basis of Presentation</w:t>
      </w:r>
    </w:p>
    <w:p>
      <w:pPr>
        <w:spacing w:after="0" w:line="229" w:lineRule="exact"/>
        <w:rPr>
          <w:sz w:val="20"/>
          <w:szCs w:val="20"/>
          <w:color w:val="auto"/>
        </w:rPr>
      </w:pPr>
    </w:p>
    <w:p>
      <w:pPr>
        <w:ind w:right="40" w:firstLine="647"/>
        <w:spacing w:after="0" w:line="268" w:lineRule="auto"/>
        <w:rPr>
          <w:sz w:val="20"/>
          <w:szCs w:val="20"/>
          <w:color w:val="auto"/>
        </w:rPr>
      </w:pPr>
      <w:r>
        <w:rPr>
          <w:rFonts w:ascii="Times New Roman" w:cs="Times New Roman" w:eastAsia="Times New Roman" w:hAnsi="Times New Roman"/>
          <w:sz w:val="17"/>
          <w:szCs w:val="17"/>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Spinoffs and Reverse Spinoffs ("</w:t>
      </w:r>
      <w:r>
        <w:rPr>
          <w:rFonts w:ascii="Times New Roman" w:cs="Times New Roman" w:eastAsia="Times New Roman" w:hAnsi="Times New Roman"/>
          <w:sz w:val="18"/>
          <w:szCs w:val="18"/>
          <w:color w:val="auto"/>
        </w:rPr>
        <w:t>ASC 505"</w:t>
      </w:r>
      <w:r>
        <w:rPr>
          <w:rFonts w:ascii="Times New Roman" w:cs="Times New Roman" w:eastAsia="Times New Roman" w:hAnsi="Times New Roman"/>
          <w:sz w:val="18"/>
          <w:szCs w:val="18"/>
          <w:i w:val="1"/>
          <w:iCs w:val="1"/>
          <w:color w:val="auto"/>
        </w:rPr>
        <w:t>).</w:t>
      </w:r>
    </w:p>
    <w:p>
      <w:pPr>
        <w:spacing w:after="0" w:line="233" w:lineRule="exact"/>
        <w:rPr>
          <w:sz w:val="20"/>
          <w:szCs w:val="20"/>
          <w:color w:val="auto"/>
        </w:rPr>
      </w:pPr>
    </w:p>
    <w:p>
      <w:pPr>
        <w:ind w:right="40" w:firstLine="647"/>
        <w:spacing w:after="0" w:line="238" w:lineRule="auto"/>
        <w:rPr>
          <w:sz w:val="20"/>
          <w:szCs w:val="20"/>
          <w:color w:val="auto"/>
        </w:rPr>
      </w:pPr>
      <w:r>
        <w:rPr>
          <w:rFonts w:ascii="Times New Roman" w:cs="Times New Roman" w:eastAsia="Times New Roman" w:hAnsi="Times New Roman"/>
          <w:sz w:val="18"/>
          <w:szCs w:val="18"/>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addition, during 2020, the Company and Tropicana LV, LLC, a wholly owned subsidiary of the Company which holds the real estate of Tropicana Las Vegas, elected to treat Tropicana LV, LLC as a TRS, which together with the TRS Properties and GLP Holdings, Inc. is the Company's TRS Segment (the "TRS Segment").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213" w:lineRule="exact"/>
        <w:rPr>
          <w:sz w:val="20"/>
          <w:szCs w:val="20"/>
          <w:color w:val="auto"/>
        </w:rPr>
      </w:pPr>
    </w:p>
    <w:p>
      <w:pPr>
        <w:jc w:val="both"/>
        <w:ind w:firstLine="647"/>
        <w:spacing w:after="0" w:line="239" w:lineRule="auto"/>
        <w:rPr>
          <w:sz w:val="20"/>
          <w:szCs w:val="20"/>
          <w:color w:val="auto"/>
        </w:rPr>
      </w:pPr>
      <w:r>
        <w:rPr>
          <w:rFonts w:ascii="Times New Roman" w:cs="Times New Roman" w:eastAsia="Times New Roman" w:hAnsi="Times New Roman"/>
          <w:sz w:val="18"/>
          <w:szCs w:val="18"/>
          <w:color w:val="auto"/>
        </w:rPr>
        <w:t>GLPI’s primary business consists of acquiring, financing, and owning real estate property to be leased to gaming operators in triple-net lease arrangements. As of December 31, 2020, GLPI’s portfolio consisted of interests in 48 gaming and related facilities, including the TRS Properties, the real property associated with 33 gaming and related facilities operated by Penn, the real property associated with 7 gaming and related facilities operated by Caesars, the real property associated with 4 gaming and related facilities operated by Boyd and the real property associated with the Casino Queen Holding Company Inc. ("Casino Queen") in East St. Louis, Illinois. These facilities, including our corporate headquarters building, are geographically diversified across 16 states and contain approximately 24.3 million square feet. As of December 31, 2020, the Company's properties were 100% occupied. GLPI expects to continue growing its portfolio by pursuing opportunities to acquire additional gaming facilities to lease to gaming operators under prudent terms.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 Master Lease and Casino Queen Lease</w:t>
      </w:r>
    </w:p>
    <w:p>
      <w:pPr>
        <w:spacing w:after="0" w:line="253" w:lineRule="exact"/>
        <w:rPr>
          <w:sz w:val="20"/>
          <w:szCs w:val="20"/>
          <w:color w:val="auto"/>
        </w:rPr>
      </w:pPr>
    </w:p>
    <w:p>
      <w:pPr>
        <w:ind w:right="40" w:firstLine="647"/>
        <w:spacing w:after="0" w:line="258" w:lineRule="auto"/>
        <w:rPr>
          <w:sz w:val="20"/>
          <w:szCs w:val="20"/>
          <w:color w:val="auto"/>
        </w:rPr>
      </w:pPr>
      <w:r>
        <w:rPr>
          <w:rFonts w:ascii="Times New Roman" w:cs="Times New Roman" w:eastAsia="Times New Roman" w:hAnsi="Times New Roman"/>
          <w:sz w:val="18"/>
          <w:szCs w:val="18"/>
          <w:color w:val="auto"/>
        </w:rPr>
        <w:t>As a result of the Spin-Off, GLPI owns substantially all of Penn’s former real property assets (as of the consummation of the Spin-Off) and leases back most of those assets to Penn for use by its subsidiaries, under a unitary master lease, a triple-net operating lease the term of which expires October 31, 2033, with no purchase option, followed by three remaining 5-year renewal options (exercisable by the tenant) on the same terms and conditions (the "Penn Master Lease"), and GLPI also owns and operates the TRS Segment. GLPI leases the Casino Queen property in East St. Louis back to its operators on a triple-net basis on terms similar to those in the Penn Master Lease (the "Casino Queen Lease").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Pinnacle Master Lease, Boyd Master Lease and Belterra Park Lease</w:t>
      </w:r>
    </w:p>
    <w:p>
      <w:pPr>
        <w:spacing w:after="0" w:line="253" w:lineRule="exact"/>
        <w:rPr>
          <w:sz w:val="20"/>
          <w:szCs w:val="20"/>
          <w:color w:val="auto"/>
        </w:rPr>
      </w:pPr>
    </w:p>
    <w:p>
      <w:pPr>
        <w:ind w:right="20" w:firstLine="647"/>
        <w:spacing w:after="0" w:line="270" w:lineRule="auto"/>
        <w:rPr>
          <w:sz w:val="20"/>
          <w:szCs w:val="20"/>
          <w:color w:val="auto"/>
        </w:rPr>
      </w:pPr>
      <w:r>
        <w:rPr>
          <w:rFonts w:ascii="Times New Roman" w:cs="Times New Roman" w:eastAsia="Times New Roman" w:hAnsi="Times New Roman"/>
          <w:sz w:val="17"/>
          <w:szCs w:val="17"/>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Gaming Corporation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satisfaction of the Belterra Park Loan, subject to a long-term lease (the "Belterra Park Lease") with a Boyd affiliate operating the property. The Belterra</w:t>
      </w:r>
    </w:p>
    <w:p>
      <w:pPr>
        <w:spacing w:after="0" w:line="4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Meadows Lease</w:t>
      </w:r>
    </w:p>
    <w:p>
      <w:pPr>
        <w:spacing w:after="0" w:line="253" w:lineRule="exact"/>
        <w:rPr>
          <w:sz w:val="20"/>
          <w:szCs w:val="20"/>
          <w:color w:val="auto"/>
        </w:rPr>
      </w:pPr>
    </w:p>
    <w:p>
      <w:pPr>
        <w:jc w:val="both"/>
        <w:ind w:firstLine="647"/>
        <w:spacing w:after="0" w:line="239" w:lineRule="auto"/>
        <w:rPr>
          <w:sz w:val="20"/>
          <w:szCs w:val="20"/>
          <w:color w:val="auto"/>
        </w:rPr>
      </w:pPr>
      <w:r>
        <w:rPr>
          <w:rFonts w:ascii="Times New Roman" w:cs="Times New Roman" w:eastAsia="Times New Roman" w:hAnsi="Times New Roman"/>
          <w:sz w:val="18"/>
          <w:szCs w:val="18"/>
          <w:color w:val="auto"/>
        </w:rPr>
        <w:t>The real estate assets of the Meadows are leased to Penn pursuant to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Caesars Master Lease</w:t>
      </w:r>
    </w:p>
    <w:p>
      <w:pPr>
        <w:spacing w:after="0" w:line="253" w:lineRule="exact"/>
        <w:rPr>
          <w:sz w:val="20"/>
          <w:szCs w:val="20"/>
          <w:color w:val="auto"/>
        </w:rPr>
      </w:pPr>
    </w:p>
    <w:p>
      <w:pPr>
        <w:jc w:val="both"/>
        <w:ind w:firstLine="647"/>
        <w:spacing w:after="0" w:line="251" w:lineRule="auto"/>
        <w:rPr>
          <w:sz w:val="20"/>
          <w:szCs w:val="20"/>
          <w:color w:val="auto"/>
        </w:rPr>
      </w:pPr>
      <w:r>
        <w:rPr>
          <w:rFonts w:ascii="Times New Roman" w:cs="Times New Roman" w:eastAsia="Times New Roman" w:hAnsi="Times New Roman"/>
          <w:sz w:val="18"/>
          <w:szCs w:val="18"/>
          <w:color w:val="auto"/>
        </w:rPr>
        <w:t>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Entertainment Corporation (NASDAQ: CZR)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On December 18, 2020, the Company and Caesars completed an Exchange Agreement with subsidiaries of Caesars in which Caesars transferred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 the Company the real estate assets of Waterloo and Bettendorf in exchange for the transfer by the Company to Caesars of the real property assets of Tropicana Evansville, plus a cash payment of $5.7 million. This resulted in a non-cash gain of $41.4 million which represented the difference between the fair value of the properties received compared to the carrying value of Tropicana Evansville and the cash payment made.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Lumière Place Lease</w:t>
      </w:r>
    </w:p>
    <w:p>
      <w:pPr>
        <w:spacing w:after="0" w:line="253"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Tropicana Las Vegas</w:t>
      </w:r>
    </w:p>
    <w:p>
      <w:pPr>
        <w:spacing w:after="0" w:line="253"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On April 16, 2020, the Company and certain of its subsidiaries acquired the real property associated with the Tropicana Las Vegas Casino Hotel Resort ("Tropicana Las Vegas") from Penn in exchange for $307.5 million of rent credits to be applied against future rent obligations. This asset has been placed in our TRS Segment. See Note 7 for further details related to this transaction.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Morgantown Lease</w:t>
      </w:r>
    </w:p>
    <w:p>
      <w:pPr>
        <w:spacing w:after="0" w:line="253"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Consumer Price Index ("the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 (the "Morgantown Lease").</w:t>
      </w:r>
    </w:p>
    <w:p>
      <w:pPr>
        <w:spacing w:after="0" w:line="216"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In the first quarter of 2020, it became clear that there was a global outbreak of a new strain of novel coronavirus COVID-19 ("COVID-19"). The global, domestic and local response to the COVID-19 outbreak continues to evolve. Responses to the COVID-19 outbreak have included mandates from federal, state, and/or local authorities that required temporary closures of or imposed limitations on the operations of non-essential businesses. All of the Company's tenants' casino operations, in addition to the Company's two TRS Properties, were closed in mid-March. Our properties began reopening at limited capacity in May and by early July nearly all had resumed operations at limited capacity. However, in the fourth quarter, increased spread of COVID-19 led some jurisdictions to impose temporary closures once again. As of the date of this filing, only one of our properties remains closed.</w:t>
      </w:r>
    </w:p>
    <w:p>
      <w:pPr>
        <w:spacing w:after="0" w:line="118" w:lineRule="exact"/>
        <w:rPr>
          <w:sz w:val="20"/>
          <w:szCs w:val="20"/>
          <w:color w:val="auto"/>
        </w:rPr>
      </w:pPr>
    </w:p>
    <w:p>
      <w:pPr>
        <w:ind w:right="300" w:firstLine="647"/>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GLPI and its subsidiaries. All intercompany accounts and transactions have been eliminated in consolidation.</w:t>
      </w:r>
    </w:p>
    <w:p>
      <w:pPr>
        <w:spacing w:after="0" w:line="82" w:lineRule="exact"/>
        <w:rPr>
          <w:sz w:val="20"/>
          <w:szCs w:val="20"/>
          <w:color w:val="auto"/>
        </w:rPr>
      </w:pPr>
    </w:p>
    <w:p>
      <w:pPr>
        <w:ind w:right="60" w:firstLine="647"/>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may differ from those estimates. Certain prior period amounts have been reclassified to conform to the current period presentation, specifically gains and losses from dispositions of properties were previously classified within General and administrative expenses and are now presented separately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Investments</w:t>
      </w:r>
    </w:p>
    <w:p>
      <w:pPr>
        <w:spacing w:after="0" w:line="161"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18"/>
          <w:szCs w:val="18"/>
          <w:color w:val="auto"/>
        </w:rPr>
        <w:t>Real estate investments primarily represent land and buildings leased to the Company's tenants. The Company records the acquisition of real estate assets at fair value, including acquisition and closing costs. The cost of properties developed by the Company include costs of construction, property taxes, interest and other miscellaneous costs incurred during the development period until the project is substantially complete and available for occupancy. The Company considers the period of future benefit of the asset to determine the appropriate useful lives. Depreciation is computed using a straight-line method over the estimated useful lives of the buildings and building improvements which are generally between 10 to 31 years.</w:t>
      </w:r>
    </w:p>
    <w:p>
      <w:pPr>
        <w:spacing w:after="0" w:line="101" w:lineRule="exact"/>
        <w:rPr>
          <w:sz w:val="20"/>
          <w:szCs w:val="20"/>
          <w:color w:val="auto"/>
        </w:rPr>
      </w:pPr>
    </w:p>
    <w:p>
      <w:pPr>
        <w:ind w:right="20" w:firstLine="647"/>
        <w:spacing w:after="0" w:line="253" w:lineRule="auto"/>
        <w:rPr>
          <w:sz w:val="20"/>
          <w:szCs w:val="20"/>
          <w:color w:val="auto"/>
        </w:rPr>
      </w:pPr>
      <w:r>
        <w:rPr>
          <w:rFonts w:ascii="Times New Roman" w:cs="Times New Roman" w:eastAsia="Times New Roman" w:hAnsi="Times New Roman"/>
          <w:sz w:val="18"/>
          <w:szCs w:val="18"/>
          <w:color w:val="auto"/>
        </w:rPr>
        <w:t>The Company continually monitors events and circumstances that could indicate that the carrying amount of its real estate investments may not be recoverable or realized. The factors considered by the Company in performing these assessments include evaluating whether the tenant is current on its lease payments, the tenant’s rent coverage ratio, the financial stability of the tenant and its parent company, and any other relevant factors. When indicators of potential impairment suggest that the carrying value of a real estate investment may not be recoverable, the Company estimates the fair value of the investment by calculating the undiscounted future cash flows from the use and eventual disposition of the investment. This amount is compared to the asset's carrying value. If the Company determines the carrying amount is not recoverable, it would recognize an impairment charge equivalent to the amount required to reduce the carrying value of the asset to its estimated fair value, calculated in accordance with GAAP. The Company groups its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Used in Operations</w:t>
      </w:r>
    </w:p>
    <w:p>
      <w:pPr>
        <w:spacing w:after="0" w:line="161" w:lineRule="exact"/>
        <w:rPr>
          <w:sz w:val="20"/>
          <w:szCs w:val="20"/>
          <w:color w:val="auto"/>
        </w:rPr>
      </w:pPr>
    </w:p>
    <w:p>
      <w:pPr>
        <w:jc w:val="both"/>
        <w:ind w:right="100" w:firstLine="647"/>
        <w:spacing w:after="0" w:line="265"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represent assets used by the Company's TRS Properties and certain corporate assets. Maintenance and repairs that neither add materially to the value of the asset nor appreciably prolong its useful life are charged to expense as incurred. Gains or losses on the disposal of property and equipment are included in the determination of income.</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of property and equipment is recorded using the straight-line method over the following estimated useful lives:</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to 34 years</w:t>
            </w: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to 31 years</w:t>
            </w: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31 years</w:t>
            </w:r>
          </w:p>
        </w:tc>
      </w:tr>
    </w:tbl>
    <w:p>
      <w:pPr>
        <w:spacing w:after="0" w:line="224" w:lineRule="exact"/>
        <w:rPr>
          <w:sz w:val="20"/>
          <w:szCs w:val="20"/>
          <w:color w:val="auto"/>
        </w:rPr>
      </w:pPr>
    </w:p>
    <w:p>
      <w:pPr>
        <w:ind w:right="140" w:firstLine="647"/>
        <w:spacing w:after="0" w:line="281" w:lineRule="auto"/>
        <w:rPr>
          <w:sz w:val="20"/>
          <w:szCs w:val="20"/>
          <w:color w:val="auto"/>
        </w:rPr>
      </w:pPr>
      <w:r>
        <w:rPr>
          <w:rFonts w:ascii="Times New Roman" w:cs="Times New Roman" w:eastAsia="Times New Roman" w:hAnsi="Times New Roman"/>
          <w:sz w:val="18"/>
          <w:szCs w:val="18"/>
          <w:color w:val="auto"/>
        </w:rPr>
        <w:t>Leasehold improvements are depreciated over the shorter of the estimated useful life of the improvement or the related lease term. The estimated useful lives are determined based on the nature of the assets as well as the Company's current operating strategy.</w:t>
      </w:r>
    </w:p>
    <w:p>
      <w:pPr>
        <w:spacing w:after="0" w:line="95" w:lineRule="exact"/>
        <w:rPr>
          <w:sz w:val="20"/>
          <w:szCs w:val="20"/>
          <w:color w:val="auto"/>
        </w:rPr>
      </w:pPr>
    </w:p>
    <w:p>
      <w:pPr>
        <w:ind w:right="100" w:firstLine="647"/>
        <w:spacing w:after="0" w:line="254" w:lineRule="auto"/>
        <w:rPr>
          <w:sz w:val="20"/>
          <w:szCs w:val="20"/>
          <w:color w:val="auto"/>
        </w:rPr>
      </w:pPr>
      <w:r>
        <w:rPr>
          <w:rFonts w:ascii="Times New Roman" w:cs="Times New Roman" w:eastAsia="Times New Roman" w:hAnsi="Times New Roman"/>
          <w:sz w:val="18"/>
          <w:szCs w:val="18"/>
          <w:color w:val="auto"/>
        </w:rPr>
        <w:t>The Company reviews the carrying value of its property and equipment for possible impairment whenever events or changes in circumstances indicate that the carrying value of an asset may not be recoverable based upon the estimated undiscounted future cash flows expected to result from its use and eventual disposition. If the Company determines the carrying amount is not recoverable, it would recognize an impairment charge equivalent to the amount required to reduce the carrying value of the asset to its estimated fair value, calculated in accordance with GAAP. In estimating expected future cash flows for determining whether an asset is impaired, assets are grouped at the individual property level. In assessing the recoverability of the carrying value of property and equipment,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 for these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Loans and Other Loans Receivable</w:t>
      </w:r>
    </w:p>
    <w:p>
      <w:pPr>
        <w:spacing w:after="0" w:line="148" w:lineRule="exact"/>
        <w:rPr>
          <w:sz w:val="20"/>
          <w:szCs w:val="20"/>
          <w:color w:val="auto"/>
        </w:rPr>
      </w:pPr>
    </w:p>
    <w:p>
      <w:pPr>
        <w:ind w:right="60" w:firstLine="647"/>
        <w:spacing w:after="0" w:line="255" w:lineRule="auto"/>
        <w:rPr>
          <w:sz w:val="20"/>
          <w:szCs w:val="20"/>
          <w:color w:val="auto"/>
        </w:rPr>
      </w:pPr>
      <w:r>
        <w:rPr>
          <w:rFonts w:ascii="Times New Roman" w:cs="Times New Roman" w:eastAsia="Times New Roman" w:hAnsi="Times New Roman"/>
          <w:sz w:val="18"/>
          <w:szCs w:val="18"/>
          <w:color w:val="auto"/>
        </w:rPr>
        <w:t>The Company may periodically loan funds to casino owner-operators for the purchase of gaming related real estate and/or operations. Loans for the purchase of real estate assets of gaming-related properties are classified as real estate loans on the Company's consolidated balance sheets, while loans for an operator's general operations are classified as loans receivable on the Company's consolidated balance sheets. Loans receivable are recorded on the Company's consolidated balance sheets at carrying value which approximates fair value since collection of principal is reasonably assured. Interest income related to real estate loans is recorded as interest income from real estate loans within the Company's consolidated statements of income in the period earned, whereas interest income related to other loans receivable is recorded as non-operating interest income within the Company's consolidated statements of income in the period earned.</w:t>
      </w:r>
    </w:p>
    <w:p>
      <w:pPr>
        <w:spacing w:after="0" w:line="117" w:lineRule="exact"/>
        <w:rPr>
          <w:sz w:val="20"/>
          <w:szCs w:val="20"/>
          <w:color w:val="auto"/>
        </w:rPr>
      </w:pPr>
    </w:p>
    <w:p>
      <w:pPr>
        <w:ind w:right="60" w:firstLine="647"/>
        <w:spacing w:after="0" w:line="254" w:lineRule="auto"/>
        <w:rPr>
          <w:sz w:val="20"/>
          <w:szCs w:val="20"/>
          <w:color w:val="auto"/>
        </w:rPr>
      </w:pPr>
      <w:r>
        <w:rPr>
          <w:rFonts w:ascii="Times New Roman" w:cs="Times New Roman" w:eastAsia="Times New Roman" w:hAnsi="Times New Roman"/>
          <w:sz w:val="18"/>
          <w:szCs w:val="18"/>
          <w:color w:val="auto"/>
        </w:rPr>
        <w:t xml:space="preserve">Prior to the adoption of Accounting Standards Update ("ASU") No. 2016-13,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on Financial Instruments </w:t>
      </w:r>
      <w:r>
        <w:rPr>
          <w:rFonts w:ascii="Times New Roman" w:cs="Times New Roman" w:eastAsia="Times New Roman" w:hAnsi="Times New Roman"/>
          <w:sz w:val="18"/>
          <w:szCs w:val="18"/>
          <w:color w:val="auto"/>
        </w:rPr>
        <w:t>("ASU 2016-13"), the Company evaluated loans for impairment when it was probable that it would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all amounts due according to the contractual terms of the agreement. All amounts due under the contractual terms of the agreement means that both contractual interest payments and contractual principal payments will be collected as scheduled in the loan agreement. Indicators of impairment may include delinquent payments, a decline in the credit worthiness of a debtor, or a decline in the underlying property/tenant’s performance. The Company measures loan impairment based upon the present value of expected future cash flows discounted at the loan’s original effective interest rate. The determination of whether loans are impaired involves judgments and assumptions based on objective and subjective factors. If an impairment occurs, the Company will reduce the carrying value of the loan and record a corresponding charge to net income.</w:t>
      </w:r>
    </w:p>
    <w:p>
      <w:pPr>
        <w:spacing w:after="0" w:line="124" w:lineRule="exact"/>
        <w:rPr>
          <w:sz w:val="20"/>
          <w:szCs w:val="20"/>
          <w:color w:val="auto"/>
        </w:rPr>
      </w:pPr>
    </w:p>
    <w:p>
      <w:pPr>
        <w:ind w:right="120" w:firstLine="647"/>
        <w:spacing w:after="0" w:line="265" w:lineRule="auto"/>
        <w:rPr>
          <w:sz w:val="20"/>
          <w:szCs w:val="20"/>
          <w:color w:val="auto"/>
        </w:rPr>
      </w:pPr>
      <w:r>
        <w:rPr>
          <w:rFonts w:ascii="Times New Roman" w:cs="Times New Roman" w:eastAsia="Times New Roman" w:hAnsi="Times New Roman"/>
          <w:sz w:val="18"/>
          <w:szCs w:val="18"/>
          <w:color w:val="auto"/>
        </w:rPr>
        <w:t>The Company's adoption of Accounting Standards Update ASU 2016-13 on January 1, 2020 (as described in Note 3) did not result in the Company recording any allowances against its real estate loans for expected losses. The Company has no outstanding loans as of December 31, 2020. See Note 8 for further details.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Assets and Lease Liabilities</w:t>
      </w:r>
    </w:p>
    <w:p>
      <w:pPr>
        <w:spacing w:after="0" w:line="161" w:lineRule="exact"/>
        <w:rPr>
          <w:sz w:val="20"/>
          <w:szCs w:val="20"/>
          <w:color w:val="auto"/>
        </w:rPr>
      </w:pPr>
    </w:p>
    <w:p>
      <w:pPr>
        <w:ind w:right="60" w:firstLine="647"/>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consolidated balance sheet at the lease commencement date for operating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(in which the Company acts as lessee) cannot readily be determined, the Company utilizes its own estimated incremental borrowing rates to determine the present value of its lease payments. Consideration is given to the Company's recent debt issuances, as well as publicly available data for instruments with similar characteristics, including tenor, when determining the incremental borrowing rates of the Company's leases.</w:t>
      </w:r>
    </w:p>
    <w:p>
      <w:pPr>
        <w:spacing w:after="0" w:line="119"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18"/>
          <w:szCs w:val="18"/>
          <w:color w:val="auto"/>
        </w:rPr>
        <w:t>The Company includes options to extend a lease in its lease term when it is reasonably certain that the Company will exercise those renewal options. In the instance of the Company's ground leases associated with its tenant occupied properties, the Company has included all available renewal options in the lease term, as it intends to renew these leases indefinitely. The Company accounts for the lease and nonlease components (as necessary) of its leases of all classes of underlying assets as a single lease component. Leases with a term of 12 months or less are not recorded on the Company's consolidated balance sheet.</w:t>
      </w:r>
    </w:p>
    <w:p>
      <w:pPr>
        <w:spacing w:after="0" w:line="101" w:lineRule="exact"/>
        <w:rPr>
          <w:sz w:val="20"/>
          <w:szCs w:val="20"/>
          <w:color w:val="auto"/>
        </w:rPr>
      </w:pPr>
    </w:p>
    <w:p>
      <w:pPr>
        <w:ind w:right="20" w:firstLine="647"/>
        <w:spacing w:after="0" w:line="256" w:lineRule="auto"/>
        <w:rPr>
          <w:sz w:val="20"/>
          <w:szCs w:val="20"/>
          <w:color w:val="auto"/>
        </w:rPr>
      </w:pPr>
      <w:r>
        <w:rPr>
          <w:rFonts w:ascii="Times New Roman" w:cs="Times New Roman" w:eastAsia="Times New Roman" w:hAnsi="Times New Roman"/>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18" w:lineRule="exact"/>
        <w:rPr>
          <w:sz w:val="20"/>
          <w:szCs w:val="20"/>
          <w:color w:val="auto"/>
        </w:rPr>
      </w:pPr>
    </w:p>
    <w:p>
      <w:pPr>
        <w:ind w:right="40" w:firstLine="647"/>
        <w:spacing w:after="0" w:line="260" w:lineRule="auto"/>
        <w:rPr>
          <w:sz w:val="20"/>
          <w:szCs w:val="20"/>
          <w:color w:val="auto"/>
        </w:rPr>
      </w:pPr>
      <w:r>
        <w:rPr>
          <w:rFonts w:ascii="Times New Roman" w:cs="Times New Roman" w:eastAsia="Times New Roman" w:hAnsi="Times New Roman"/>
          <w:sz w:val="18"/>
          <w:szCs w:val="18"/>
          <w:color w:val="auto"/>
        </w:rPr>
        <w:t xml:space="preserve">Right-of-use assets and land rights are monitored for potential impairment in much the same way as the Company's real estate assets, using the impairment model in ASC 360 -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8" w:lineRule="exact"/>
        <w:rPr>
          <w:sz w:val="20"/>
          <w:szCs w:val="20"/>
          <w:color w:val="auto"/>
        </w:rPr>
      </w:pPr>
    </w:p>
    <w:p>
      <w:pPr>
        <w:ind w:right="500" w:firstLine="647"/>
        <w:spacing w:after="0" w:line="281" w:lineRule="auto"/>
        <w:rPr>
          <w:sz w:val="20"/>
          <w:szCs w:val="20"/>
          <w:color w:val="auto"/>
        </w:rPr>
      </w:pPr>
      <w:r>
        <w:rPr>
          <w:rFonts w:ascii="Times New Roman" w:cs="Times New Roman" w:eastAsia="Times New Roman" w:hAnsi="Times New Roman"/>
          <w:sz w:val="18"/>
          <w:szCs w:val="18"/>
          <w:color w:val="auto"/>
        </w:rPr>
        <w:t>The Company considers all cash balances and highly-liquid investments with original maturities of three months or less to be cash and cash equivalents.</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48" w:lineRule="exact"/>
        <w:rPr>
          <w:sz w:val="20"/>
          <w:szCs w:val="20"/>
          <w:color w:val="auto"/>
        </w:rPr>
      </w:pPr>
    </w:p>
    <w:p>
      <w:pPr>
        <w:ind w:right="80" w:firstLine="647"/>
        <w:spacing w:after="0" w:line="258" w:lineRule="auto"/>
        <w:rPr>
          <w:sz w:val="20"/>
          <w:szCs w:val="20"/>
          <w:color w:val="auto"/>
        </w:rPr>
      </w:pPr>
      <w:r>
        <w:rPr>
          <w:rFonts w:ascii="Times New Roman" w:cs="Times New Roman" w:eastAsia="Times New Roman" w:hAnsi="Times New Roman"/>
          <w:sz w:val="18"/>
          <w:szCs w:val="18"/>
          <w:color w:val="auto"/>
        </w:rPr>
        <w:t>Prepaid expenses consist of expenditures for goods or services before the goods are used or the services are received. These amounts are deferred and charged to operations as the benefits are realized and primarily consist of prepayments for insurance, property taxes and other contracts that will be expensed during the subsequent year. It also includes transaction costs that will be allocated to purchase price upon the closing of an asset acquisition. Other assets primarily consists of accounts receivable and deferred compensation plan assets (See Note 13 for further details on the deferred compensation plan).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61" w:lineRule="exact"/>
        <w:rPr>
          <w:sz w:val="20"/>
          <w:szCs w:val="20"/>
          <w:color w:val="auto"/>
        </w:rPr>
      </w:pPr>
    </w:p>
    <w:p>
      <w:pPr>
        <w:ind w:right="40" w:firstLine="647"/>
        <w:spacing w:after="0" w:line="258" w:lineRule="auto"/>
        <w:rPr>
          <w:sz w:val="20"/>
          <w:szCs w:val="20"/>
          <w:color w:val="auto"/>
        </w:rPr>
      </w:pPr>
      <w:r>
        <w:rPr>
          <w:rFonts w:ascii="Times New Roman" w:cs="Times New Roman" w:eastAsia="Times New Roman" w:hAnsi="Times New Roman"/>
          <w:sz w:val="18"/>
          <w:szCs w:val="18"/>
          <w:color w:val="auto"/>
        </w:rPr>
        <w:t xml:space="preserve">The Company's goodwill and intangible assets are the result of the contribution of Hollywood Casino Baton Rouge and Hollywood Casino Perryville in connection with the Spin-Off. The Company's goodwill resides on the books of its Hollywood Casino Baton Rouge subsidiary, while the other intangible asset represents a gaming license on the books of its Hollywood Casino Perryville subsidiary. Both subsidiaries are members of the TRS Segment and are considered separate reporting units under ASC 350 -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Goodwill is tested at the reporting unit level, which is an operating segment or one level below an operating segment for which discrete financial information is available</w:t>
      </w:r>
    </w:p>
    <w:p>
      <w:pPr>
        <w:spacing w:after="0" w:line="101"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Under ASC 350, the Company is required to test goodwill for impairment at least annually and whenever events or circumstances indicate that it is more likely than not that goodwill may be impaired. The Company has elected to perform its annual goodwill impairment test as of October 1 of each year. In accordance with ASC 350, the Company tests goodwill for impairment subsequent to testing its other long-lived assets for impairment.</w:t>
      </w:r>
    </w:p>
    <w:p>
      <w:pPr>
        <w:spacing w:after="0" w:line="110"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18"/>
          <w:szCs w:val="18"/>
          <w:color w:val="auto"/>
        </w:rPr>
        <w:t>In accordance with ASC 350, the Company considers its Hollywood Casino Perryville gaming license an indefinite-lived intangible asset that does not require amortization based on the Company's future expectations to operate this casino indefinitely, as well as the gaming industry's historical experience in renewing these intangible assets at minimal cost with various state gaming commissions. Rather, the Company's gaming license is tested annually, or more frequently if indicators of impairment exist, for impairment by comparing the fair value of the recorded asset to its carrying amount. If the carrying amount of the indefinite-life intangible asset exceeds its fair value, an impairment loss is recognized.</w:t>
      </w:r>
    </w:p>
    <w:p>
      <w:pPr>
        <w:spacing w:after="0" w:line="115"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The Company calculates the fair value of its gaming license using the Greenfield Method under the income approach. The Greenfield Method estimates the fair value of the gaming license assuming the Company built a casino with similar utility to that of the existing facility. The method assumes a theoretical start-up company going into business without any assets other than the intangible asset being valued. As such the value of the license is a function of the following items:</w:t>
      </w:r>
    </w:p>
    <w:p>
      <w:pPr>
        <w:spacing w:after="0" w:line="101" w:lineRule="exact"/>
        <w:rPr>
          <w:sz w:val="20"/>
          <w:szCs w:val="20"/>
          <w:color w:val="auto"/>
        </w:rPr>
      </w:pPr>
    </w:p>
    <w:p>
      <w:pPr>
        <w:ind w:left="660" w:hanging="329"/>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revenues and operating cash flows;</w:t>
      </w:r>
    </w:p>
    <w:p>
      <w:pPr>
        <w:spacing w:after="0" w:line="157"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Theoretical construction costs and duration;</w:t>
      </w:r>
    </w:p>
    <w:p>
      <w:pPr>
        <w:spacing w:after="0" w:line="157"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expenses;</w:t>
      </w:r>
    </w:p>
    <w:p>
      <w:pPr>
        <w:spacing w:after="0" w:line="14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that reflects the level of risk associated with receiving future cash flows attributable to the license; and</w:t>
      </w:r>
    </w:p>
    <w:p>
      <w:pPr>
        <w:spacing w:after="0" w:line="157"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useful life of the license</w:t>
      </w:r>
    </w:p>
    <w:p>
      <w:pPr>
        <w:spacing w:after="0" w:line="157" w:lineRule="exact"/>
        <w:rPr>
          <w:sz w:val="20"/>
          <w:szCs w:val="20"/>
          <w:color w:val="auto"/>
        </w:rPr>
      </w:pPr>
    </w:p>
    <w:p>
      <w:pPr>
        <w:ind w:right="20" w:firstLine="647"/>
        <w:spacing w:after="0" w:line="253" w:lineRule="auto"/>
        <w:rPr>
          <w:sz w:val="20"/>
          <w:szCs w:val="20"/>
          <w:color w:val="auto"/>
        </w:rPr>
      </w:pPr>
      <w:r>
        <w:rPr>
          <w:rFonts w:ascii="Times New Roman" w:cs="Times New Roman" w:eastAsia="Times New Roman" w:hAnsi="Times New Roman"/>
          <w:sz w:val="18"/>
          <w:szCs w:val="18"/>
          <w:color w:val="auto"/>
        </w:rPr>
        <w:t>The evaluation of goodwill and indefinite-lived intangible assets requires the use of estimates about future operating results to determine the estimated fair value of the reporting unit and the indefinite-lived intangible assets. The Company must make various assumptions and estimates in performing its impairment testing. The implied fair value includes estimates of future cash flows that are based on reasonable and supportable assumptions, which represent the Company's best estimates of the cash flows expected to result from the use of the assets. Changes in estimates, increases in the Company's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the Company's estimates. If the Company's ongoing estimates of future cash flows are not met, the Company may have to record impairment charges in future accounting periods. The Company's estimates of cash flows are based on the current regulatory and economic climates, as well as recent operating information and budgets. These estimates could be negatively impacted by changes in federal, state or local regulations, economic downturns, or other events.</w:t>
      </w:r>
    </w:p>
    <w:p>
      <w:pPr>
        <w:spacing w:after="0" w:line="110" w:lineRule="exact"/>
        <w:rPr>
          <w:sz w:val="20"/>
          <w:szCs w:val="20"/>
          <w:color w:val="auto"/>
        </w:rPr>
      </w:pPr>
    </w:p>
    <w:p>
      <w:pPr>
        <w:jc w:val="both"/>
        <w:ind w:right="20" w:firstLine="647"/>
        <w:spacing w:after="0" w:line="280" w:lineRule="auto"/>
        <w:rPr>
          <w:sz w:val="20"/>
          <w:szCs w:val="20"/>
          <w:color w:val="auto"/>
        </w:rPr>
      </w:pPr>
      <w:r>
        <w:rPr>
          <w:rFonts w:ascii="Times New Roman" w:cs="Times New Roman" w:eastAsia="Times New Roman" w:hAnsi="Times New Roman"/>
          <w:sz w:val="17"/>
          <w:szCs w:val="17"/>
          <w:color w:val="auto"/>
        </w:rPr>
        <w:t>Forecasted cash flows can be significantly impacted by the local economy in which the Company's subsidiaries operate. For example, increases in unemployment rates can result in decreased customer visitations and/or lower customer spend per visit. In addition, new legislation which approves gaming in nearby jurisdictions or further expands gaming in jurisdictions in which the Company operates can result in increased competition for the property. This generally has a negative effect on profitability once competitors become established, as a certain level of cannibalization occurs absent an overall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customer visitations. Lastly, increases in gaming taxes approved by state regulatory bodies can negatively impact forecasted cash flows.</w:t>
      </w:r>
    </w:p>
    <w:p>
      <w:pPr>
        <w:spacing w:after="0" w:line="144" w:lineRule="exact"/>
        <w:rPr>
          <w:sz w:val="20"/>
          <w:szCs w:val="20"/>
          <w:color w:val="auto"/>
        </w:rPr>
      </w:pPr>
    </w:p>
    <w:p>
      <w:pPr>
        <w:ind w:right="20" w:firstLine="647"/>
        <w:spacing w:after="0" w:line="260" w:lineRule="auto"/>
        <w:rPr>
          <w:sz w:val="20"/>
          <w:szCs w:val="20"/>
          <w:color w:val="auto"/>
        </w:rPr>
      </w:pPr>
      <w:r>
        <w:rPr>
          <w:rFonts w:ascii="Times New Roman" w:cs="Times New Roman" w:eastAsia="Times New Roman" w:hAnsi="Times New Roman"/>
          <w:sz w:val="18"/>
          <w:szCs w:val="18"/>
          <w:color w:val="auto"/>
        </w:rPr>
        <w:t>Assumptions and estimates about future cash flow levels are complex and subjective. They are sensitive to changes in underlying assumptions and can be affected by a variety of factors, including external factors, such as industry, geopolitical and economic trends, and internal factors, such as changes in the Company's business strategy, which may reallocate capital and resources to different or new opportunities which management believes will enhance the Company's overall value but may be to the detriment of its existing operations.</w:t>
      </w:r>
    </w:p>
    <w:p>
      <w:pPr>
        <w:spacing w:after="0" w:line="114" w:lineRule="exact"/>
        <w:rPr>
          <w:sz w:val="20"/>
          <w:szCs w:val="20"/>
          <w:color w:val="auto"/>
        </w:rPr>
      </w:pPr>
    </w:p>
    <w:p>
      <w:pPr>
        <w:ind w:right="540" w:firstLine="647"/>
        <w:spacing w:after="0" w:line="281" w:lineRule="auto"/>
        <w:rPr>
          <w:sz w:val="20"/>
          <w:szCs w:val="20"/>
          <w:color w:val="auto"/>
        </w:rPr>
      </w:pPr>
      <w:r>
        <w:rPr>
          <w:rFonts w:ascii="Times New Roman" w:cs="Times New Roman" w:eastAsia="Times New Roman" w:hAnsi="Times New Roman"/>
          <w:sz w:val="18"/>
          <w:szCs w:val="18"/>
          <w:color w:val="auto"/>
        </w:rPr>
        <w:t>The Company reclassified its goodwill and other intangible assets into Assets held for sale at December 31, 2020. See Note 6 for additional discussion.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Bond Premiums and Discounts</w:t>
      </w:r>
    </w:p>
    <w:p>
      <w:pPr>
        <w:spacing w:after="0" w:line="148" w:lineRule="exact"/>
        <w:rPr>
          <w:sz w:val="20"/>
          <w:szCs w:val="20"/>
          <w:color w:val="auto"/>
        </w:rPr>
      </w:pPr>
    </w:p>
    <w:p>
      <w:pPr>
        <w:jc w:val="both"/>
        <w:ind w:right="120" w:firstLine="647"/>
        <w:spacing w:after="0" w:line="272" w:lineRule="auto"/>
        <w:rPr>
          <w:sz w:val="20"/>
          <w:szCs w:val="20"/>
          <w:color w:val="auto"/>
        </w:rPr>
      </w:pPr>
      <w:r>
        <w:rPr>
          <w:rFonts w:ascii="Times New Roman" w:cs="Times New Roman" w:eastAsia="Times New Roman" w:hAnsi="Times New Roman"/>
          <w:sz w:val="17"/>
          <w:szCs w:val="17"/>
          <w:color w:val="auto"/>
        </w:rPr>
        <w:t xml:space="preserve">Debt issuance costs that are incurred by the Company in connection with the issuance of debt are deferred and amortized to interest expense over the contractual term of the underlying indebtedness. In accordance with ASU 2015-03, </w:t>
      </w:r>
      <w:r>
        <w:rPr>
          <w:rFonts w:ascii="Times New Roman" w:cs="Times New Roman" w:eastAsia="Times New Roman" w:hAnsi="Times New Roman"/>
          <w:sz w:val="17"/>
          <w:szCs w:val="17"/>
          <w:i w:val="1"/>
          <w:iCs w:val="1"/>
          <w:color w:val="auto"/>
        </w:rPr>
        <w:t>Interest - Imputation of Interest (Subtopic 835-30): Simplifying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Presentation of Debt Issuance Costs, </w:t>
      </w:r>
      <w:r>
        <w:rPr>
          <w:rFonts w:ascii="Times New Roman" w:cs="Times New Roman" w:eastAsia="Times New Roman" w:hAnsi="Times New Roman"/>
          <w:sz w:val="17"/>
          <w:szCs w:val="17"/>
          <w:color w:val="auto"/>
        </w:rPr>
        <w:t>the Company records long-term debt net of unamortized debt issuance costs on its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the Company records long-term debt net of any unamortized bond premiums and original issuance discounts on its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original issuance discounts or bond premiums are also amortized to interest expense over the contractual term of the underlying indebtedness.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55" w:lineRule="exact"/>
        <w:rPr>
          <w:sz w:val="20"/>
          <w:szCs w:val="20"/>
          <w:color w:val="auto"/>
        </w:rPr>
      </w:pPr>
    </w:p>
    <w:p>
      <w:pPr>
        <w:ind w:right="20" w:firstLine="647"/>
        <w:spacing w:after="0" w:line="258"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09" w:lineRule="exact"/>
        <w:rPr>
          <w:sz w:val="20"/>
          <w:szCs w:val="20"/>
          <w:color w:val="auto"/>
        </w:rPr>
      </w:pPr>
    </w:p>
    <w:p>
      <w:pPr>
        <w:ind w:left="660" w:hanging="329"/>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 for identical assets or liabilities.</w:t>
      </w:r>
    </w:p>
    <w:p>
      <w:pPr>
        <w:spacing w:after="0" w:line="251" w:lineRule="exact"/>
        <w:rPr>
          <w:rFonts w:ascii="Times New Roman" w:cs="Times New Roman" w:eastAsia="Times New Roman" w:hAnsi="Times New Roman"/>
          <w:sz w:val="18"/>
          <w:szCs w:val="18"/>
          <w:color w:val="auto"/>
        </w:rPr>
      </w:pPr>
    </w:p>
    <w:p>
      <w:pPr>
        <w:ind w:left="660" w:right="280" w:hanging="329"/>
        <w:spacing w:after="0" w:line="28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89"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 as there is little, if any, related market activity.</w:t>
      </w:r>
    </w:p>
    <w:p>
      <w:pPr>
        <w:spacing w:after="0" w:line="251" w:lineRule="exact"/>
        <w:rPr>
          <w:sz w:val="20"/>
          <w:szCs w:val="20"/>
          <w:color w:val="auto"/>
        </w:rPr>
      </w:pPr>
    </w:p>
    <w:p>
      <w:pPr>
        <w:ind w:right="240" w:firstLine="356"/>
        <w:spacing w:after="0" w:line="281"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5" w:lineRule="exact"/>
        <w:rPr>
          <w:sz w:val="20"/>
          <w:szCs w:val="20"/>
          <w:color w:val="auto"/>
        </w:rPr>
      </w:pPr>
    </w:p>
    <w:p>
      <w:pPr>
        <w:ind w:firstLine="647"/>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rental revenue from tenants, including rental abatements, lease incentives and contractually fixed increases attributable to operating leases, on a straight-line basis over the term of the related leases when collectability is reasonably assured in accordance with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Additionally, percentage rent that is fixed and determinable at the lease inception date is recorded on a straight-line basis over the lease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in the recognition of deferred rental revenue on the Company’s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213"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Additionally, 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firstLine="647"/>
        <w:spacing w:after="0" w:line="281" w:lineRule="auto"/>
        <w:rPr>
          <w:sz w:val="20"/>
          <w:szCs w:val="20"/>
          <w:color w:val="auto"/>
        </w:rPr>
      </w:pPr>
      <w:r>
        <w:rPr>
          <w:rFonts w:ascii="Times New Roman" w:cs="Times New Roman" w:eastAsia="Times New Roman" w:hAnsi="Times New Roman"/>
          <w:sz w:val="18"/>
          <w:szCs w:val="18"/>
          <w:color w:val="auto"/>
        </w:rPr>
        <w:t>The Company may periodically loan funds to casino owner-operators for the purchase of gaming related real estate. Interest income related to real estate loans is recorded as revenue from real estate within the Company's consolidated statements of income in the period earned.</w:t>
      </w:r>
    </w:p>
    <w:p>
      <w:pPr>
        <w:spacing w:after="0" w:line="82" w:lineRule="exact"/>
        <w:rPr>
          <w:sz w:val="20"/>
          <w:szCs w:val="20"/>
          <w:color w:val="auto"/>
        </w:rPr>
      </w:pPr>
    </w:p>
    <w:p>
      <w:pPr>
        <w:ind w:right="20" w:firstLine="647"/>
        <w:spacing w:after="0" w:line="270" w:lineRule="auto"/>
        <w:rPr>
          <w:sz w:val="20"/>
          <w:szCs w:val="20"/>
          <w:color w:val="auto"/>
        </w:rPr>
      </w:pPr>
      <w:r>
        <w:rPr>
          <w:rFonts w:ascii="Times New Roman" w:cs="Times New Roman" w:eastAsia="Times New Roman" w:hAnsi="Times New Roman"/>
          <w:sz w:val="17"/>
          <w:szCs w:val="17"/>
          <w:color w:val="auto"/>
        </w:rPr>
        <w:t xml:space="preserve">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Gaming revenue is recognized net of certain sales incentives, including promotional allowances in accordance with ASC 606 - </w:t>
      </w:r>
      <w:r>
        <w:rPr>
          <w:rFonts w:ascii="Times New Roman" w:cs="Times New Roman" w:eastAsia="Times New Roman" w:hAnsi="Times New Roman"/>
          <w:sz w:val="17"/>
          <w:szCs w:val="17"/>
          <w:i w:val="1"/>
          <w:iCs w:val="1"/>
          <w:color w:val="auto"/>
        </w:rPr>
        <w:t>Revenues from Contracts with Customers</w:t>
      </w:r>
      <w:r>
        <w:rPr>
          <w:rFonts w:ascii="Times New Roman" w:cs="Times New Roman" w:eastAsia="Times New Roman" w:hAnsi="Times New Roman"/>
          <w:sz w:val="17"/>
          <w:szCs w:val="17"/>
          <w:color w:val="auto"/>
        </w:rPr>
        <w:t>. The Company also defers a portion of the revenue received from customers (who participate in the points-based loyalty programs) at the time of play until a later period when the points are redeemed or forfeited. Other revenues at the TRS Properties are derived from the properties' dining, retail and certain other ancillary activities and revenue for these activities is recognized as services are performed.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61" w:lineRule="exact"/>
        <w:rPr>
          <w:sz w:val="20"/>
          <w:szCs w:val="20"/>
          <w:color w:val="auto"/>
        </w:rPr>
      </w:pPr>
    </w:p>
    <w:p>
      <w:pPr>
        <w:ind w:right="260" w:firstLine="647"/>
        <w:spacing w:after="0" w:line="265" w:lineRule="auto"/>
        <w:rPr>
          <w:sz w:val="20"/>
          <w:szCs w:val="20"/>
          <w:color w:val="auto"/>
        </w:rPr>
      </w:pPr>
      <w:r>
        <w:rPr>
          <w:rFonts w:ascii="Times New Roman" w:cs="Times New Roman" w:eastAsia="Times New Roman" w:hAnsi="Times New Roman"/>
          <w:sz w:val="18"/>
          <w:szCs w:val="18"/>
          <w:color w:val="auto"/>
        </w:rPr>
        <w:t>The Company's Amended 2013 Long Term Incentive Compensation Plan (the "2013 Plan") provides for the Company to issue restricted stock awards, including performance-based restricted stock awards, and other equity or cash based awards to employees. Any director, employee or consultant shall be eligible to receive such awards.</w:t>
      </w:r>
    </w:p>
    <w:p>
      <w:pPr>
        <w:spacing w:after="0" w:line="108" w:lineRule="exact"/>
        <w:rPr>
          <w:sz w:val="20"/>
          <w:szCs w:val="20"/>
          <w:color w:val="auto"/>
        </w:rPr>
      </w:pPr>
    </w:p>
    <w:p>
      <w:pPr>
        <w:ind w:right="140" w:firstLine="647"/>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 compensation under ASC 718 -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third-party valuation firm to measure the fair value of performance-based restricted stock awards at grant date using the Monte Carlo model.</w:t>
      </w:r>
    </w:p>
    <w:p>
      <w:pPr>
        <w:spacing w:after="0" w:line="184" w:lineRule="exact"/>
        <w:rPr>
          <w:sz w:val="20"/>
          <w:szCs w:val="20"/>
          <w:color w:val="auto"/>
        </w:rPr>
      </w:pPr>
    </w:p>
    <w:p>
      <w:pPr>
        <w:ind w:right="220" w:firstLine="647"/>
        <w:spacing w:after="0" w:line="281" w:lineRule="auto"/>
        <w:rPr>
          <w:sz w:val="20"/>
          <w:szCs w:val="20"/>
          <w:color w:val="auto"/>
        </w:rPr>
      </w:pPr>
      <w:r>
        <w:rPr>
          <w:rFonts w:ascii="Times New Roman" w:cs="Times New Roman" w:eastAsia="Times New Roman" w:hAnsi="Times New Roman"/>
          <w:sz w:val="18"/>
          <w:szCs w:val="18"/>
          <w:color w:val="auto"/>
        </w:rPr>
        <w:t>The unrecognized compensation cost relating to restricted stock awards and performance-based restricted stock awards is recognized as expense over the awards’ remaining vesting periods.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15 for further information related to stock-based compensation.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1" w:lineRule="exact"/>
        <w:rPr>
          <w:sz w:val="20"/>
          <w:szCs w:val="20"/>
          <w:color w:val="auto"/>
        </w:rPr>
      </w:pPr>
    </w:p>
    <w:p>
      <w:pPr>
        <w:ind w:right="100" w:firstLine="647"/>
        <w:spacing w:after="0" w:line="281" w:lineRule="auto"/>
        <w:rPr>
          <w:sz w:val="20"/>
          <w:szCs w:val="20"/>
          <w:color w:val="auto"/>
        </w:rPr>
      </w:pPr>
      <w:r>
        <w:rPr>
          <w:rFonts w:ascii="Times New Roman" w:cs="Times New Roman" w:eastAsia="Times New Roman" w:hAnsi="Times New Roman"/>
          <w:sz w:val="18"/>
          <w:szCs w:val="18"/>
          <w:color w:val="auto"/>
        </w:rPr>
        <w:t>The TRS Segment is able to engage in activities resulting in income that would not be qualifying income for a REIT. As a result, certain activities of the Company which occur within its TRS Segment are subject to federal and state income taxes.</w:t>
      </w:r>
    </w:p>
    <w:p>
      <w:pPr>
        <w:spacing w:after="0" w:line="93" w:lineRule="exact"/>
        <w:rPr>
          <w:sz w:val="20"/>
          <w:szCs w:val="20"/>
          <w:color w:val="auto"/>
        </w:rPr>
      </w:pPr>
    </w:p>
    <w:p>
      <w:pPr>
        <w:ind w:right="120" w:firstLine="647"/>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 likely than not that some portion or all of the deferred tax assets will not be realized. The realizability of the deferred tax assets is evaluated by assessing the valuation allowance and by adjusting the amount of the allowance, if any, as necessary. The factors used to assess the likelihood of realization are the forecast of future taxable income.</w:t>
      </w:r>
    </w:p>
    <w:p>
      <w:pPr>
        <w:spacing w:after="0" w:line="107" w:lineRule="exact"/>
        <w:rPr>
          <w:sz w:val="20"/>
          <w:szCs w:val="20"/>
          <w:color w:val="auto"/>
        </w:rPr>
      </w:pPr>
    </w:p>
    <w:p>
      <w:pPr>
        <w:ind w:firstLine="647"/>
        <w:spacing w:after="0" w:line="280" w:lineRule="auto"/>
        <w:rPr>
          <w:sz w:val="20"/>
          <w:szCs w:val="20"/>
          <w:color w:val="auto"/>
        </w:rPr>
      </w:pPr>
      <w:r>
        <w:rPr>
          <w:rFonts w:ascii="Times New Roman" w:cs="Times New Roman" w:eastAsia="Times New Roman" w:hAnsi="Times New Roman"/>
          <w:sz w:val="17"/>
          <w:szCs w:val="17"/>
          <w:color w:val="auto"/>
        </w:rPr>
        <w:t>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The Company did not have any uncertain tax positions for the three years ended December 31, 2020.</w:t>
      </w:r>
    </w:p>
    <w:p>
      <w:pPr>
        <w:spacing w:after="0" w:line="99" w:lineRule="exact"/>
        <w:rPr>
          <w:sz w:val="20"/>
          <w:szCs w:val="20"/>
          <w:color w:val="auto"/>
        </w:rPr>
      </w:pPr>
    </w:p>
    <w:p>
      <w:pPr>
        <w:ind w:right="20" w:firstLine="647"/>
        <w:spacing w:after="0" w:line="258" w:lineRule="auto"/>
        <w:rPr>
          <w:sz w:val="20"/>
          <w:szCs w:val="20"/>
          <w:color w:val="auto"/>
        </w:rPr>
      </w:pPr>
      <w:r>
        <w:rPr>
          <w:rFonts w:ascii="Times New Roman" w:cs="Times New Roman" w:eastAsia="Times New Roman" w:hAnsi="Times New Roman"/>
          <w:sz w:val="18"/>
          <w:szCs w:val="18"/>
          <w:color w:val="auto"/>
        </w:rPr>
        <w:t>The Company is required under ASC 740 to disclose its accounting policy for classifying interest and penalties, the amount of interest and penalties charged to expense each period, as well as the cumulative amounts recorded in the consolidated balance sheets. If and when they occur, the Company will classify any income tax-related penalties and interest accrued related to unrecognized tax benefits in taxes on income within the consolidated statements of income. During the years ended December 31, 2020, 2019 and 2018, the Company recognized no penalties and interest, net of deferred income taxes.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40" w:firstLine="647"/>
        <w:spacing w:after="0" w:line="242" w:lineRule="auto"/>
        <w:rPr>
          <w:sz w:val="20"/>
          <w:szCs w:val="20"/>
          <w:color w:val="auto"/>
        </w:rPr>
      </w:pPr>
      <w:r>
        <w:rPr>
          <w:rFonts w:ascii="Times New Roman" w:cs="Times New Roman" w:eastAsia="Times New Roman" w:hAnsi="Times New Roman"/>
          <w:sz w:val="18"/>
          <w:szCs w:val="18"/>
          <w:color w:val="auto"/>
        </w:rPr>
        <w:t>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In addition, during 2020, the Company and Tropicana LV, LLC, a wholly owned subsidiary of the Company which holds the real estate of Tropicana Las Vegas, elected to treat Tropicana LV, LLC as a “taxable REIT subsidiary”.</w:t>
      </w:r>
    </w:p>
    <w:p>
      <w:pPr>
        <w:spacing w:after="0" w:line="116" w:lineRule="exact"/>
        <w:rPr>
          <w:sz w:val="20"/>
          <w:szCs w:val="20"/>
          <w:color w:val="auto"/>
        </w:rPr>
      </w:pPr>
    </w:p>
    <w:p>
      <w:pPr>
        <w:ind w:firstLine="647"/>
        <w:spacing w:after="0" w:line="254" w:lineRule="auto"/>
        <w:rPr>
          <w:sz w:val="20"/>
          <w:szCs w:val="20"/>
          <w:color w:val="auto"/>
        </w:rPr>
      </w:pPr>
      <w:r>
        <w:rPr>
          <w:rFonts w:ascii="Times New Roman" w:cs="Times New Roman" w:eastAsia="Times New Roman" w:hAnsi="Times New Roman"/>
          <w:sz w:val="18"/>
          <w:szCs w:val="18"/>
          <w:color w:val="auto"/>
        </w:rPr>
        <w:t>The Company continues to be organized and to operate in a manner that will permit the Company to qualify as a REIT. To qualify as a REIT, the Company must meet certain organizational and operational requirements, including a requirement to distribute at least 90% of its annual REIT taxable income to shareholders. As a REIT, the Company generally will not be subject to federal, state or local income tax on income that it distributes as dividends to its shareholders, except in those jurisdictions that do not allow a deduction for such distributions. If the Company fails to qualify as a REIT in any taxable year, it will be subject to U.S. federal, state and local income tax, including any applicable alternative minimum tax, on its taxable income at regular corporate income tax rates, and dividends paid to its shareholders would not be deductible by the Company in computing taxable income. Any resulting corporate liability could be substantial and could materially and adversely affect the Company's net income and net cash available for distribution to shareholders. Unless the Company was entitled to relief under certain Internal Revenue Code provisions, the Company also would be disqualified from re-electing to be taxed as a REIT for the four taxable years following the year in which it failed to qualify to be taxed as a REIT.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7"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The Company calculates earnings per share ("EPS") in accordance with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See Note 17 for further details on the Company's earnings per share calculations.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ind w:right="80" w:firstLine="647"/>
        <w:spacing w:after="0" w:line="258" w:lineRule="auto"/>
        <w:rPr>
          <w:sz w:val="20"/>
          <w:szCs w:val="20"/>
          <w:color w:val="auto"/>
        </w:rPr>
      </w:pPr>
      <w:r>
        <w:rPr>
          <w:rFonts w:ascii="Times New Roman" w:cs="Times New Roman" w:eastAsia="Times New Roman" w:hAnsi="Times New Roman"/>
          <w:sz w:val="18"/>
          <w:szCs w:val="18"/>
          <w:color w:val="auto"/>
        </w:rPr>
        <w:t xml:space="preserve">Consistent with how the Company’s Chief Operating Decision Maker (as such term is defined in ASC 280 -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reviews and assesses the Company’s financial performance, the Company has two reportable segments, GLP Capital, L.P. (a wholly-owned subsidiary of GLPI through which GLPI owns substantially all of its real estate assets) and the TRS Segment. The GLP Capital reportable segment consists of the leased real property and represents the majority of the Company’s business. The TRS Segment consists of Hollywood Casino Perryville and Hollywood Casino Baton Rouge, as well as the real estate of Tropicana Las Vegas. See Note 19 for further information with respect to the Company’s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1" w:lineRule="exact"/>
        <w:rPr>
          <w:sz w:val="20"/>
          <w:szCs w:val="20"/>
          <w:color w:val="auto"/>
        </w:rPr>
      </w:pPr>
    </w:p>
    <w:p>
      <w:pPr>
        <w:ind w:right="20" w:firstLine="566"/>
        <w:spacing w:after="0" w:line="253" w:lineRule="auto"/>
        <w:rPr>
          <w:sz w:val="20"/>
          <w:szCs w:val="20"/>
          <w:color w:val="auto"/>
        </w:rPr>
      </w:pPr>
      <w:r>
        <w:rPr>
          <w:rFonts w:ascii="Times New Roman" w:cs="Times New Roman" w:eastAsia="Times New Roman" w:hAnsi="Times New Roman"/>
          <w:sz w:val="18"/>
          <w:szCs w:val="18"/>
          <w:color w:val="auto"/>
        </w:rPr>
        <w:t>Concentrations of credit risk arise when a number of operators, tenants, or obligors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Additionally, concentrations of credit risk may arise when revenues of the Company are derived from a small number of tenants. As of December 31, 2020, substantially all of the Company's real estate properties were leased to Penn, Caesars and Boyd. During the year ended December 31, 2020, approximately 78%, 11% and 10% of the Company's collective income from real estate was derived from tenant leases and real estate loans with Penn, Caesars and Boyd, respectively. Revenues from our tenants are reported in the Company's GLP Capital, L.P. reportable segment. Penn, Caesars and Boyd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 Caesars and Boyd's respective websites for further financial information on these companies. Other than the Company's tenant concentration, management believes the Company's portfolio was reasonably diversified by geographical location and did not contain any other significant concentrations of credit risk. As of December 31, 2020, the Company's portfolio of 48 properties is diversified by location across 16 states.</w:t>
      </w:r>
    </w:p>
    <w:p>
      <w:pPr>
        <w:spacing w:after="0" w:line="105" w:lineRule="exact"/>
        <w:rPr>
          <w:sz w:val="20"/>
          <w:szCs w:val="20"/>
          <w:color w:val="auto"/>
        </w:rPr>
      </w:pPr>
    </w:p>
    <w:p>
      <w:pPr>
        <w:ind w:right="80" w:firstLine="647"/>
        <w:spacing w:after="0" w:line="260" w:lineRule="auto"/>
        <w:rPr>
          <w:sz w:val="20"/>
          <w:szCs w:val="20"/>
          <w:color w:val="auto"/>
        </w:rPr>
      </w:pPr>
      <w:r>
        <w:rPr>
          <w:rFonts w:ascii="Times New Roman" w:cs="Times New Roman" w:eastAsia="Times New Roman" w:hAnsi="Times New Roman"/>
          <w:sz w:val="18"/>
          <w:szCs w:val="18"/>
          <w:color w:val="auto"/>
        </w:rPr>
        <w:t>Financial instruments that subject the Company to credit risk consist of cash and cash equivalents, accounts receivable, real estate loans and other loans receivable. 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At times, the Company has bank deposits and overnight repurchase agreements that exceed federally-insured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 in 2020</w:t>
      </w:r>
    </w:p>
    <w:p>
      <w:pPr>
        <w:spacing w:after="0" w:line="251" w:lineRule="exact"/>
        <w:rPr>
          <w:sz w:val="20"/>
          <w:szCs w:val="20"/>
          <w:color w:val="auto"/>
        </w:rPr>
      </w:pPr>
    </w:p>
    <w:p>
      <w:pPr>
        <w:ind w:right="260" w:firstLine="647"/>
        <w:spacing w:after="0" w:line="277" w:lineRule="auto"/>
        <w:rPr>
          <w:sz w:val="20"/>
          <w:szCs w:val="20"/>
          <w:color w:val="auto"/>
        </w:rPr>
      </w:pPr>
      <w:r>
        <w:rPr>
          <w:rFonts w:ascii="Times New Roman" w:cs="Times New Roman" w:eastAsia="Times New Roman" w:hAnsi="Times New Roman"/>
          <w:sz w:val="17"/>
          <w:szCs w:val="17"/>
          <w:color w:val="auto"/>
        </w:rPr>
        <w:t xml:space="preserve">In August 2018, the FASB issued ASU No. 2018-15, </w:t>
      </w:r>
      <w:r>
        <w:rPr>
          <w:rFonts w:ascii="Times New Roman" w:cs="Times New Roman" w:eastAsia="Times New Roman" w:hAnsi="Times New Roman"/>
          <w:sz w:val="17"/>
          <w:szCs w:val="17"/>
          <w:i w:val="1"/>
          <w:iCs w:val="1"/>
          <w:color w:val="auto"/>
        </w:rPr>
        <w:t>Intangibles - Goodwill and Other - Internal Use Software (Subtopic 350-40: Customer's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Accounting for Implementation Costs Incurred in a Cloud Computing Arrangement that is a Service Contract (a consensus of the FASB Emerging Issues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Task Force</w:t>
      </w:r>
      <w:r>
        <w:rPr>
          <w:rFonts w:ascii="Times New Roman" w:cs="Times New Roman" w:eastAsia="Times New Roman" w:hAnsi="Times New Roman"/>
          <w:sz w:val="18"/>
          <w:szCs w:val="18"/>
          <w:color w:val="auto"/>
        </w:rPr>
        <w:t>) ("ASU 2018-15"). This ASU clarifies that entities should follow the guidance for capitalizing implementation costs incurred to develop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internal-use software to account for implementation costs of cloud computing arrangements that are service contracts. ASU 2018-15 does not change the accounting for the service component of a cloud computing arrangement. The Company's adoption of ASU 2018-15 on January 1, 2020 did not have an impact on its consolidated financial statements.</w:t>
      </w:r>
    </w:p>
    <w:p>
      <w:pPr>
        <w:spacing w:after="0" w:line="213" w:lineRule="exact"/>
        <w:rPr>
          <w:sz w:val="20"/>
          <w:szCs w:val="20"/>
          <w:color w:val="auto"/>
        </w:rPr>
      </w:pPr>
    </w:p>
    <w:p>
      <w:pPr>
        <w:ind w:right="20" w:firstLine="647"/>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This ASU introduces a new model for estimating credit losses for certain types of financial instruments, including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and other loans receivable,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impact of the adoption of this pronouncement was immaterial.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51" w:lineRule="exact"/>
        <w:rPr>
          <w:sz w:val="20"/>
          <w:szCs w:val="20"/>
          <w:color w:val="auto"/>
        </w:rPr>
      </w:pPr>
    </w:p>
    <w:p>
      <w:pPr>
        <w:ind w:firstLine="647"/>
        <w:spacing w:after="0" w:line="272" w:lineRule="auto"/>
        <w:rPr>
          <w:sz w:val="20"/>
          <w:szCs w:val="20"/>
          <w:color w:val="auto"/>
        </w:rPr>
      </w:pPr>
      <w:r>
        <w:rPr>
          <w:rFonts w:ascii="Times New Roman" w:cs="Times New Roman" w:eastAsia="Times New Roman" w:hAnsi="Times New Roman"/>
          <w:sz w:val="17"/>
          <w:szCs w:val="17"/>
          <w:color w:val="auto"/>
        </w:rPr>
        <w:t xml:space="preserve">In March 2020, the FASB issued ASU No. 2020-04, </w:t>
      </w:r>
      <w:r>
        <w:rPr>
          <w:rFonts w:ascii="Times New Roman" w:cs="Times New Roman" w:eastAsia="Times New Roman" w:hAnsi="Times New Roman"/>
          <w:sz w:val="17"/>
          <w:szCs w:val="17"/>
          <w:i w:val="1"/>
          <w:iCs w:val="1"/>
          <w:color w:val="auto"/>
        </w:rPr>
        <w:t>Reference Rate Reform</w:t>
      </w:r>
      <w:r>
        <w:rPr>
          <w:rFonts w:ascii="Times New Roman" w:cs="Times New Roman" w:eastAsia="Times New Roman" w:hAnsi="Times New Roman"/>
          <w:sz w:val="17"/>
          <w:szCs w:val="17"/>
          <w:color w:val="auto"/>
        </w:rPr>
        <w:t xml:space="preserve"> ("ASU 2020-04"). Reference rates such as London Interbank Offered Rate ("LIBOR") are widely used in a broad range of financial instruments and other agreements.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this reform initiative, certain widely used rates such as LIBOR are expected to be discontinued. ASU 2020-04 provides optional expedients for applying the guidance for contract modifications or other situations affected by reference rate reform, specifically addressing the accounting for modifications of contracts within the scope of ASC Topic 310 on receivables, ASC 470 on debt, and ASC 842 on leases and ASC subtopic 815-15 on embedded derivatives. Based on the limited amount of obligations and contracts the Company currently has that references LIBOR, the Company does not anticipate any material impact from this pronouncement on its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Real Estate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 estate investments, net, represent investments in 45 rental properties and the corporate headquarters building and is summarized as follows:</w:t>
      </w:r>
    </w:p>
    <w:p>
      <w:pPr>
        <w:spacing w:after="0" w:line="37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5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0"/>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6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2,667,616</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2,552,285</w:t>
            </w:r>
          </w:p>
        </w:tc>
      </w:tr>
      <w:tr>
        <w:trPr>
          <w:trHeight w:val="25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6,030,482</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5,749,211</w:t>
            </w:r>
          </w:p>
        </w:tc>
      </w:tr>
      <w:tr>
        <w:trPr>
          <w:trHeight w:val="236"/>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real estate investments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8,698,098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8,301,496</w:t>
            </w:r>
          </w:p>
        </w:tc>
      </w:tr>
      <w:tr>
        <w:trPr>
          <w:trHeight w:val="25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(1,410,940)</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(1,200,941)</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7,287,158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7,100,555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7"/>
        <w:spacing w:after="0" w:line="213" w:lineRule="auto"/>
        <w:rPr>
          <w:sz w:val="20"/>
          <w:szCs w:val="20"/>
          <w:color w:val="auto"/>
        </w:rPr>
      </w:pPr>
      <w:r>
        <w:rPr>
          <w:rFonts w:ascii="Times New Roman" w:cs="Times New Roman" w:eastAsia="Times New Roman" w:hAnsi="Times New Roman"/>
          <w:sz w:val="18"/>
          <w:szCs w:val="18"/>
          <w:color w:val="auto"/>
        </w:rPr>
        <w:t>The increase in real estate investments is primarily due to the Company acquiring the real estate of Belterra Park in satisfaction of the Belterra Park Loan in May 2020 and the acquisition of the real estate of Lumière Place in satisfaction of the CZR loan in September 2020 for $57.7 million ($11.7 million of which was allocated to land and land improvements and $46.0 million to building and improvements) and $246.0 million ($26.9 million of which was allocated to land and land improvements and $219.1 million to building and improvements), respectively. Additionally, the Exchange Transaction described in Note 1 which closed in December 2020, resulted in an increase to real estate investments of $72.6 million (net increase to land and improvements of $46.4 million and building and improvements of $26.2 million). Finally, the Company acquired the land underlying Penn's development project in Morgantown, Pennsylvania for $30.0 million.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Used in Operations</w:t>
      </w:r>
    </w:p>
    <w:p>
      <w:pPr>
        <w:spacing w:after="0" w:line="229" w:lineRule="exact"/>
        <w:rPr>
          <w:sz w:val="20"/>
          <w:szCs w:val="20"/>
          <w:color w:val="auto"/>
        </w:rPr>
      </w:pPr>
    </w:p>
    <w:p>
      <w:pPr>
        <w:ind w:right="180" w:firstLine="647"/>
        <w:spacing w:after="0" w:line="281" w:lineRule="auto"/>
        <w:rPr>
          <w:sz w:val="20"/>
          <w:szCs w:val="20"/>
          <w:color w:val="auto"/>
        </w:rPr>
      </w:pPr>
      <w:r>
        <w:rPr>
          <w:rFonts w:ascii="Times New Roman" w:cs="Times New Roman" w:eastAsia="Times New Roman" w:hAnsi="Times New Roman"/>
          <w:sz w:val="18"/>
          <w:szCs w:val="18"/>
          <w:color w:val="auto"/>
        </w:rPr>
        <w:t>Property and equipment used in operations, net, consists of the following and primarily represents the assets utilized at the TRS Properties as the real estate will be leased to third party operators subsequent to the completion of the sale transactions as discussed in Note 6.</w:t>
      </w:r>
    </w:p>
    <w:p>
      <w:pPr>
        <w:spacing w:after="0" w:line="101"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0"/>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6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30,540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30,492</w:t>
            </w:r>
          </w:p>
        </w:tc>
      </w:tr>
      <w:tr>
        <w:trPr>
          <w:trHeight w:val="25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117,333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116,904</w:t>
            </w:r>
          </w:p>
        </w:tc>
      </w:tr>
      <w:tr>
        <w:trPr>
          <w:trHeight w:val="25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 (1)</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28,767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118,766</w:t>
            </w:r>
          </w:p>
        </w:tc>
      </w:tr>
      <w:tr>
        <w:trPr>
          <w:trHeight w:val="25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6"/>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177,114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266,282</w:t>
            </w:r>
          </w:p>
        </w:tc>
      </w:tr>
      <w:tr>
        <w:trPr>
          <w:trHeight w:val="25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(1)</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(172,202)</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right="100" w:firstLine="8"/>
        <w:spacing w:after="0" w:line="281" w:lineRule="auto"/>
        <w:tabs>
          <w:tab w:leader="none" w:pos="2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decline at December 31, 2020 compared to the prior year is related to the reclassification of certain amounts to Assets held for sale. See Note 6 for further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Assets Held for Sale</w:t>
      </w:r>
    </w:p>
    <w:p>
      <w:pPr>
        <w:spacing w:after="0" w:line="255" w:lineRule="exact"/>
        <w:rPr>
          <w:sz w:val="20"/>
          <w:szCs w:val="20"/>
          <w:color w:val="auto"/>
        </w:rPr>
      </w:pPr>
    </w:p>
    <w:p>
      <w:pPr>
        <w:ind w:right="60" w:firstLine="180"/>
        <w:spacing w:after="0" w:line="254" w:lineRule="auto"/>
        <w:rPr>
          <w:sz w:val="20"/>
          <w:szCs w:val="20"/>
          <w:color w:val="auto"/>
        </w:rPr>
      </w:pPr>
      <w:r>
        <w:rPr>
          <w:rFonts w:ascii="Times New Roman" w:cs="Times New Roman" w:eastAsia="Times New Roman" w:hAnsi="Times New Roman"/>
          <w:sz w:val="18"/>
          <w:szCs w:val="18"/>
          <w:color w:val="auto"/>
        </w:rPr>
        <w:t>On November 25, 2020, the Company entered into a definitive agreement to sell the operations of our Hollywood Casino Baton Rouge to Casino Queen for $28.2 million. The Company will retain ownership of all real estate assets at Hollywood Casino Baton Rouge and will simultaneously enter into a master lease with Casino Queen, which will include the Casino Queen property in East St. Louis that is currently leased by us to Casino Queen and the Hollywood Casino Baton Rouge facility (the "Casino Queen Master Lease"). The initial annual cash rent on the retained real estate will be approximately $21.4 million and the Casino Queen Master Lease will have an initial term of 15 years with four 5 year renewal options exercisable by the tenant. Additionally, the Company will complete the current land side development project that is in process and the rent under the Casino Queen Master Lease will be adjusted upon delivery to reflect a yield of 8.25% on GLPI's project costs. The transaction is subject to customary closing conditions and regulatory approvals and is expected to close in the second half of 2021.</w:t>
      </w:r>
    </w:p>
    <w:p>
      <w:pPr>
        <w:spacing w:after="0" w:line="216"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On December 11, 2020, Penn agreed to purchase from the Company the operations of our Hollywood Casino Perryville, located in Perryville, Maryland, for $31.1 million, with the closing of such purchase, subject to regulatory approvals, expected to occur during the second half of 2021. Upon closing, the Company will lease the real estate of the Perryville facility to Penn pursuant to a lease providing for initial annual rent on the retained real estate of $7.77 million, subject to escalation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The Company has classified the operating assets of the two properties above as Assets held for sale since we expect these transactions to close within 12 months and classified the respective liabilities within Other liabilities on the Consolidated Balance Sheet which is comprised of the following. (in thousands)</w:t>
      </w:r>
    </w:p>
    <w:p>
      <w:pPr>
        <w:spacing w:after="0" w:line="250" w:lineRule="exact"/>
        <w:rPr>
          <w:sz w:val="20"/>
          <w:szCs w:val="20"/>
          <w:color w:val="auto"/>
        </w:rPr>
      </w:pPr>
    </w:p>
    <w:tbl>
      <w:tblPr>
        <w:tblLayout w:type="fixed"/>
        <w:tblInd w:w="3240" w:type="dxa"/>
        <w:tblCellMar>
          <w:top w:w="0" w:type="dxa"/>
          <w:left w:w="0" w:type="dxa"/>
          <w:bottom w:w="0" w:type="dxa"/>
          <w:right w:w="0" w:type="dxa"/>
        </w:tblCellMar>
      </w:tblPr>
      <w:tr>
        <w:trPr>
          <w:trHeight w:val="229"/>
        </w:trPr>
        <w:tc>
          <w:tcPr>
            <w:tcW w:w="3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Property and equipment, used in</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operations, net</w:t>
            </w:r>
          </w:p>
        </w:tc>
        <w:tc>
          <w:tcPr>
            <w:tcW w:w="10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Right-of-use assets and land rights,</w:t>
            </w:r>
          </w:p>
        </w:tc>
        <w:tc>
          <w:tcPr>
            <w:tcW w:w="10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0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22,131</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29"/>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61,448</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29"/>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Gaming, property and other taxes</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9"/>
        </w:trPr>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155"/>
        </w:trPr>
        <w:tc>
          <w:tcPr>
            <w:tcW w:w="34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b w:val="1"/>
                <w:bCs w:val="1"/>
                <w:color w:val="auto"/>
              </w:rPr>
              <w:t>Total which is classified in Other</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8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The assets held for sale reside in the Company's TRS Segment. See Note 19 for the pre-tax income of this segment for the years ended December 31, 2020, 2019 and 2018 which is comprised solely of the properties above with the exception of $2.7 million of depreciation expense associated with Tropicana Las Vegas for the year ended December 31, 2020.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 Acquisitions</w:t>
      </w:r>
    </w:p>
    <w:p>
      <w:pPr>
        <w:spacing w:after="0" w:line="253" w:lineRule="exact"/>
        <w:rPr>
          <w:sz w:val="20"/>
          <w:szCs w:val="20"/>
          <w:color w:val="auto"/>
        </w:rPr>
      </w:pPr>
    </w:p>
    <w:p>
      <w:pPr>
        <w:ind w:right="660" w:firstLine="647"/>
        <w:spacing w:after="0" w:line="283" w:lineRule="auto"/>
        <w:rPr>
          <w:sz w:val="20"/>
          <w:szCs w:val="20"/>
          <w:color w:val="auto"/>
        </w:rPr>
      </w:pPr>
      <w:r>
        <w:rPr>
          <w:rFonts w:ascii="Times New Roman" w:cs="Times New Roman" w:eastAsia="Times New Roman" w:hAnsi="Times New Roman"/>
          <w:sz w:val="18"/>
          <w:szCs w:val="18"/>
          <w:color w:val="auto"/>
        </w:rPr>
        <w:t xml:space="preserve">The Company accounts for its acquisitions of real estate assets as asset acquisitions under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asset acquisition accounting, transaction costs incurred to acquire the purchased assets are also included as part of the asset cost.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Pending acquisitions</w:t>
      </w:r>
    </w:p>
    <w:p>
      <w:pPr>
        <w:spacing w:after="0" w:line="255"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On October 27, 2020, the Company entered into a series of definitive agreements pursuant to which a subsidiary of Bally's Corporation (NYSE: BALY) (Bally's) will acquire 100% of the equity interests in the Caesars subsidiary that currently operates Tropicana Evansville and the Company will reacquire the real property assets of Tropicana Evansville from Caesars for a cash purchase price of approximately $340.0 million. In addition, the Company entered into a real estate purchase agreement with Bally's pursuant to which the Company will purchase the real estate assets of the Dover Downs Hotel &amp; Casino, located in Dover, Delaware which is currently owned and operated by Bally's, for a cash purchase price of approximately $144.0 million. At the closing of the transactions, which are expected in mid-2021, subject to regulatory approvals, the Tropicana Evansville and Dover Downs Hotel and Casino facilities will be added to a new master lease between the Company and Bally's (the “Bally's Master Lease”). The Company anticipates that the Bally's Master Lease will have an initial term of 15 years, with no purchase option, followed by four five-year renewal options (exercisable by the tenant) on the same terms and conditions. Rent under the Bally's Master Lease will be $40.0 million annually and is subject to an annual escalator of up to 2% determined in relation to the annual increase in the CPI. The Company expects this transaction to close in mid-2021 following the completion of customary closing conditions and regulatory approvals. On November 6, 2020, the Company issued 9.2 million common shares at $36.25 per share to partially finance the funding required for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b w:val="1"/>
          <w:bCs w:val="1"/>
          <w:color w:val="auto"/>
        </w:rPr>
        <w:t>Current year acquisitions</w:t>
      </w:r>
    </w:p>
    <w:p>
      <w:pPr>
        <w:spacing w:after="0" w:line="255"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As previously discussed in Note 1, the impact of COVID-19 resulted in casino-wide closures by all of our tenants. As a result of COVID-19, on April 16, 2020, the Company and certain of its subsidiaries acquired the real property associated with the Tropicana Las Vegas from Penn in exchange for $307.5 million of rent credits, which were fully utilized in 2020 for rent due under the parties' existing leases.</w:t>
      </w:r>
    </w:p>
    <w:p>
      <w:pPr>
        <w:spacing w:after="0" w:line="204"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 The Company will conduct a sale process with respect to the Tropicana Las Vegas, with Penn receiving 75% of the net proceeds above $307.5 million (plus certain taxes, expenses and costs) if a sale agreement is signed during the first 12 months following closing and 50% of net proceeds above $307.5 million (plus certain taxes, expenses and costs) if a sale agreement is signed during the subsequent 12 months following closing. Penn will not be entitled to receive any net sale proceeds if the relevant sale agreement is signed at any time after 24 months from closing.</w:t>
      </w:r>
    </w:p>
    <w:p>
      <w:pPr>
        <w:spacing w:after="0" w:line="212"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The Company recorded an initial land and building value of $226.2 million and $81.3 million, respectively. During the year ended December 31, 2020 depreciation expense of $2.7 million was recorded. Additionally, deferred rent of $307.5 million was recorded at the acquisition date, which has been fully recognized for the year ended December 31, 2020.</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Tropicana Las Vegas assets are summarized below.</w:t>
      </w:r>
    </w:p>
    <w:p>
      <w:pPr>
        <w:spacing w:after="0" w:line="29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185"/>
        </w:trPr>
        <w:tc>
          <w:tcPr>
            <w:tcW w:w="5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5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Land and improvements</w:t>
            </w: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226,160</w:t>
            </w:r>
          </w:p>
        </w:tc>
      </w:tr>
      <w:tr>
        <w:trPr>
          <w:trHeight w:val="229"/>
        </w:trPr>
        <w:tc>
          <w:tcPr>
            <w:tcW w:w="56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81,340</w:t>
            </w:r>
          </w:p>
        </w:tc>
      </w:tr>
      <w:tr>
        <w:trPr>
          <w:trHeight w:val="223"/>
        </w:trPr>
        <w:tc>
          <w:tcPr>
            <w:tcW w:w="5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real estate of Tropicana Las Vegas</w:t>
            </w:r>
          </w:p>
        </w:tc>
        <w:tc>
          <w:tcPr>
            <w:tcW w:w="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307,500</w:t>
            </w:r>
          </w:p>
        </w:tc>
      </w:tr>
      <w:tr>
        <w:trPr>
          <w:trHeight w:val="229"/>
        </w:trPr>
        <w:tc>
          <w:tcPr>
            <w:tcW w:w="56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48"/>
        </w:trPr>
        <w:tc>
          <w:tcPr>
            <w:tcW w:w="56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Real estate of Tropicana Las Vegas , net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304,831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647"/>
        <w:spacing w:after="0" w:line="273" w:lineRule="auto"/>
        <w:rPr>
          <w:sz w:val="20"/>
          <w:szCs w:val="20"/>
          <w:color w:val="auto"/>
        </w:rPr>
      </w:pPr>
      <w:r>
        <w:rPr>
          <w:rFonts w:ascii="Times New Roman" w:cs="Times New Roman" w:eastAsia="Times New Roman" w:hAnsi="Times New Roman"/>
          <w:sz w:val="18"/>
          <w:szCs w:val="18"/>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fourth quarter of 2020. The Company is leasing the land back to an affiliate of Penn pursuant to the Morgantown Lease for an initial annual rent of $3.0 million, subject to escalation provisions following the opening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9" w:name="page80"/>
    <w:bookmarkEnd w:id="79"/>
    <w:p>
      <w:pPr>
        <w:jc w:val="both"/>
        <w:ind w:firstLine="647"/>
        <w:spacing w:after="0" w:line="273" w:lineRule="auto"/>
        <w:rPr>
          <w:sz w:val="20"/>
          <w:szCs w:val="20"/>
          <w:color w:val="auto"/>
        </w:rPr>
      </w:pPr>
      <w:r>
        <w:rPr>
          <w:rFonts w:ascii="Times New Roman" w:cs="Times New Roman" w:eastAsia="Times New Roman" w:hAnsi="Times New Roman"/>
          <w:sz w:val="18"/>
          <w:szCs w:val="18"/>
          <w:color w:val="auto"/>
        </w:rPr>
        <w:t>On October 27, 2020, the Company entered into an Exchange Agreement with subsidiaries of Caesars that own, respectively, Waterloo and Bettendorf. Pursuant to the terms of the agreement, Caesars transferred to the Company the real estate assets of the Waterloo and Bettendorf properties in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exchange for the transfer by the Company to Caesars of the real property assets of the Tropicana Evansville, plus a cash payment of $5.7 million. The exchange transaction closed on December 18, 2020, which resulted in the Waterloo and Bettendorf facilities being added to the Amended and Restated Caesars Master Lease and the rent increased by $0.5 million annually. The Company recorded a non-cash gain of $41.4 million in the fourth quarter of 2020 related to the transaction, which represented the difference between the fair value of the properties received compared to the carrying value of Tropicana Evansville and the cash payment of $5.7 million. The following table summarizes the fair value of the assets acquired in the Exchange Agreement and the carrying value of the Tropicana Evansville assets that were transferred to Caesars.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Bettendorf</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Waterloo</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64,262</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93,898</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85,150</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163,108</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investments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114,786</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142,220</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257,006</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Evansville Land and improvements</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(47,439)</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Evansville Buildings and improvements, net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(136,858)</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Evansville Right of use assets and land rights, net</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(55,456)</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Evansville, Operating Lease Liabilities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29,795</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Prior Year Acquisitions</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2018</w:t>
      </w:r>
    </w:p>
    <w:p>
      <w:pPr>
        <w:spacing w:after="0" w:line="255" w:lineRule="exact"/>
        <w:rPr>
          <w:sz w:val="20"/>
          <w:szCs w:val="20"/>
          <w:color w:val="auto"/>
        </w:rPr>
      </w:pPr>
    </w:p>
    <w:p>
      <w:pPr>
        <w:jc w:val="both"/>
        <w:ind w:right="40" w:firstLine="647"/>
        <w:spacing w:after="0" w:line="260" w:lineRule="auto"/>
        <w:rPr>
          <w:sz w:val="20"/>
          <w:szCs w:val="20"/>
          <w:color w:val="auto"/>
        </w:rPr>
      </w:pPr>
      <w:r>
        <w:rPr>
          <w:rFonts w:ascii="Times New Roman" w:cs="Times New Roman" w:eastAsia="Times New Roman" w:hAnsi="Times New Roman"/>
          <w:sz w:val="18"/>
          <w:szCs w:val="18"/>
          <w:color w:val="auto"/>
        </w:rPr>
        <w:t>On October 15, 2018, in conjunction with the Penn-Pinnacle Merger the Company acquired the real property assets of Plainridge Park from Penn for approximately $250.9 million. This property was added to the Amended Pinnacle Master Lease via the fourth amendment to the Pinnacle Master Lease and is leased to Penn which will continue to operate the property. The initial annual cash rent of $25.0 million for Plainridge Park will not be subject to rent escalators or adjustments.</w:t>
      </w:r>
    </w:p>
    <w:p>
      <w:pPr>
        <w:spacing w:after="0" w:line="209" w:lineRule="exact"/>
        <w:rPr>
          <w:sz w:val="20"/>
          <w:szCs w:val="20"/>
          <w:color w:val="auto"/>
        </w:rPr>
      </w:pPr>
    </w:p>
    <w:p>
      <w:pPr>
        <w:ind w:right="120" w:firstLine="647"/>
        <w:spacing w:after="0" w:line="254" w:lineRule="auto"/>
        <w:rPr>
          <w:sz w:val="20"/>
          <w:szCs w:val="20"/>
          <w:color w:val="auto"/>
        </w:rPr>
      </w:pPr>
      <w:r>
        <w:rPr>
          <w:rFonts w:ascii="Times New Roman" w:cs="Times New Roman" w:eastAsia="Times New Roman" w:hAnsi="Times New Roman"/>
          <w:sz w:val="18"/>
          <w:szCs w:val="18"/>
          <w:color w:val="auto"/>
        </w:rPr>
        <w:t>Also in conjunction with the Penn-Pinnacle Merger, the Pinnacle Master Lease was amended via the fourth amendment to such lease to allow for the sale of the operating assets of Ameristar Casino Hotel Kansas City, Ameristar Casino Resort Spa St. Charles and Belterra Casino Resort from Pinnacle to Boyd and to increase fixed rent under the lease by an additional $13.9 million annually. The Company entered into the Boyd Master Lease for these properties on terms similar to the Company’s existing master leases. As a result of the fourth amendment to the Pinnacle Master Lease, the Company reassessed the lease's classification and determined the new lease agreement qualified for operating lease treatment under ASC 840. Therefore, subsequent to the Penn-Pinnacle Merger, the Amended Pinnacle Master Lease is treated as an operating lease in its entirety, the building assets of $2.6 billion previously recorded as an investment in direct financing lease on the Company's consolidated balance sheet were recorded as real estate assets on the Company's consolidated balance sheet and all rent received under the Amended Pinnacle Master Lease is recorded as rental income on the Company's consolidated statement of income. The Amended Pinnacle Master Lease was assumed by Penn at the consummation of the Penn-Pinnacle Merger.</w:t>
      </w:r>
    </w:p>
    <w:p>
      <w:pPr>
        <w:spacing w:after="0" w:line="213" w:lineRule="exact"/>
        <w:rPr>
          <w:sz w:val="20"/>
          <w:szCs w:val="20"/>
          <w:color w:val="auto"/>
        </w:rPr>
      </w:pPr>
    </w:p>
    <w:p>
      <w:pPr>
        <w:ind w:right="160" w:firstLine="647"/>
        <w:spacing w:after="0" w:line="254" w:lineRule="auto"/>
        <w:rPr>
          <w:sz w:val="20"/>
          <w:szCs w:val="20"/>
          <w:color w:val="auto"/>
        </w:rPr>
      </w:pPr>
      <w:r>
        <w:rPr>
          <w:rFonts w:ascii="Times New Roman" w:cs="Times New Roman" w:eastAsia="Times New Roman" w:hAnsi="Times New Roman"/>
          <w:sz w:val="18"/>
          <w:szCs w:val="18"/>
          <w:color w:val="auto"/>
        </w:rPr>
        <w:t>On October 1, 2018, the Company acquired the real property assets of five casino properties from Tropicana and certain of its affiliates for approximately $992.5 million, pursuant to the Real Estate Purchase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and the rights to six long-term ground leases for land on which the operations of the acquired Tropicana properties reside. Concurrent with the Tropicana Acquisition, Caesars acquired the operating assets of these properties from Tropicana pursuant to the Tropicana Merger Agreement and leased the GLP Assets from the Company pursuant to the terms of a new unitary triple-net master lease with an initial term of 15 years, with no purchase option, followed by four successive 5-year renewal periods (exercisable by the tenant) on the same terms and conditions. Initial annual rent under the Caesars Master Lease was $87.6 million and is subject to annual rent escalators and biennial percentage rent adjustments.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0" w:name="page81"/>
    <w:bookmarkEnd w:id="80"/>
    <w:p>
      <w:pPr>
        <w:ind w:right="20" w:firstLine="647"/>
        <w:spacing w:after="0" w:line="281" w:lineRule="auto"/>
        <w:rPr>
          <w:sz w:val="20"/>
          <w:szCs w:val="20"/>
          <w:color w:val="auto"/>
        </w:rPr>
      </w:pPr>
      <w:r>
        <w:rPr>
          <w:rFonts w:ascii="Times New Roman" w:cs="Times New Roman" w:eastAsia="Times New Roman" w:hAnsi="Times New Roman"/>
          <w:sz w:val="18"/>
          <w:szCs w:val="18"/>
          <w:color w:val="auto"/>
        </w:rPr>
        <w:t>Purchase price allocations are primarily based on the fair values of assets acquired and liabilities assumed at the time of acquisition. The following table summarizes the purchase price allocation of the assets acquired in the Tropicana Acquisition (in thousands):</w:t>
      </w:r>
    </w:p>
    <w:p>
      <w:pPr>
        <w:spacing w:after="0" w:line="22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948,217</w:t>
            </w:r>
          </w:p>
        </w:tc>
      </w:tr>
      <w:tr>
        <w:trPr>
          <w:trHeight w:val="229"/>
        </w:trPr>
        <w:tc>
          <w:tcPr>
            <w:tcW w:w="7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Land rights, net</w:t>
            </w:r>
          </w:p>
        </w:tc>
        <w:tc>
          <w:tcPr>
            <w:tcW w:w="1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44,331</w:t>
            </w:r>
          </w:p>
        </w:tc>
      </w:tr>
      <w:tr>
        <w:trPr>
          <w:trHeight w:val="248"/>
        </w:trPr>
        <w:tc>
          <w:tcPr>
            <w:tcW w:w="77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purchase price</w:t>
            </w:r>
          </w:p>
        </w:tc>
        <w:tc>
          <w:tcPr>
            <w:tcW w:w="138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992,548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right="9820" w:firstLine="8"/>
        <w:spacing w:after="0" w:line="533" w:lineRule="auto"/>
        <w:tabs>
          <w:tab w:leader="none" w:pos="1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 Real Estate Loans</w:t>
      </w:r>
    </w:p>
    <w:p>
      <w:pPr>
        <w:spacing w:after="0" w:line="2" w:lineRule="exact"/>
        <w:rPr>
          <w:sz w:val="20"/>
          <w:szCs w:val="20"/>
          <w:color w:val="auto"/>
        </w:rPr>
      </w:pPr>
    </w:p>
    <w:p>
      <w:pPr>
        <w:ind w:right="160" w:firstLine="647"/>
        <w:spacing w:after="0" w:line="265" w:lineRule="auto"/>
        <w:rPr>
          <w:sz w:val="20"/>
          <w:szCs w:val="20"/>
          <w:color w:val="auto"/>
        </w:rPr>
      </w:pPr>
      <w:r>
        <w:rPr>
          <w:rFonts w:ascii="Times New Roman" w:cs="Times New Roman" w:eastAsia="Times New Roman" w:hAnsi="Times New Roman"/>
          <w:sz w:val="18"/>
          <w:szCs w:val="18"/>
          <w:color w:val="auto"/>
        </w:rPr>
        <w:t>As discussed in Note 1, the Company historically had the CZR loan outstanding which was utilized by Caesars in connection with its acquisition of Lumière Place. On June 24, 2020, the Company received approval from the Missouri Gaming Commission to own the Lumière Place real estate in satisfaction of the CZR loan, subject to the Lumière Place Lease, and closed this transaction on September 29, 2020.</w:t>
      </w:r>
    </w:p>
    <w:p>
      <w:pPr>
        <w:spacing w:after="0" w:line="204" w:lineRule="exact"/>
        <w:rPr>
          <w:sz w:val="20"/>
          <w:szCs w:val="20"/>
          <w:color w:val="auto"/>
        </w:rPr>
      </w:pPr>
    </w:p>
    <w:p>
      <w:pPr>
        <w:ind w:right="40" w:firstLine="647"/>
        <w:spacing w:after="0" w:line="258" w:lineRule="auto"/>
        <w:rPr>
          <w:sz w:val="20"/>
          <w:szCs w:val="20"/>
          <w:color w:val="auto"/>
        </w:rPr>
      </w:pPr>
      <w:r>
        <w:rPr>
          <w:rFonts w:ascii="Times New Roman" w:cs="Times New Roman" w:eastAsia="Times New Roman" w:hAnsi="Times New Roman"/>
          <w:sz w:val="18"/>
          <w:szCs w:val="18"/>
          <w:color w:val="auto"/>
        </w:rPr>
        <w:t>On October 15, 2018, Boyd purchased the real estate assets of Belterra Park from Pinnacle for a cash purchase price of $57.7 million, exclusive of transaction fees. Financing for the transaction was provided by the Company in the form of the Belterra Park Loan. The Belterra Park Loan's initial interest rate was equal to 11.11% and the loan matures in connection with the expiration of the Boyd Master Lease (as may be extended at the tenant's option to April 30, 2051). In May 2020, the Company acquired the real estate of Belterra Park in satisfaction of the Belterra Park Loan, subject to the Belterra Park Lease.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Loans Receivable</w:t>
      </w: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January 2014, the Company completed the asset acquisition of the real property associated with the Casino Queen in East</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St. Louis, Illinois. GLPI leases the property back to Casino Queen on a triple-net basis on terms similar to those in the Company's existing master leases. The Casino Queen Lease has an initial term of 15 years and the tenant has an option to renew it at the same terms and conditions for four successive 5-year periods.</w:t>
      </w:r>
    </w:p>
    <w:p>
      <w:pPr>
        <w:spacing w:after="0" w:line="212" w:lineRule="exact"/>
        <w:rPr>
          <w:sz w:val="20"/>
          <w:szCs w:val="20"/>
          <w:color w:val="auto"/>
        </w:rPr>
      </w:pPr>
    </w:p>
    <w:p>
      <w:pPr>
        <w:ind w:right="180" w:firstLine="647"/>
        <w:spacing w:after="0" w:line="256" w:lineRule="auto"/>
        <w:rPr>
          <w:sz w:val="20"/>
          <w:szCs w:val="20"/>
          <w:color w:val="auto"/>
        </w:rPr>
      </w:pPr>
      <w:r>
        <w:rPr>
          <w:rFonts w:ascii="Times New Roman" w:cs="Times New Roman" w:eastAsia="Times New Roman" w:hAnsi="Times New Roman"/>
          <w:sz w:val="18"/>
          <w:szCs w:val="18"/>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5.5-year term loan (the "Casino Queen Loan") to CQ Holding Company, Inc., an affiliate of Casino Queen ("CQ Holding Company"), to partially finance its acquisition of Lady Luck Casino in Marquette, Iowa. The Casino Queen Loan bears an interest rate of 15% and is prepayable at any time.</w:t>
      </w:r>
    </w:p>
    <w:p>
      <w:pPr>
        <w:spacing w:after="0" w:line="212" w:lineRule="exact"/>
        <w:rPr>
          <w:sz w:val="20"/>
          <w:szCs w:val="20"/>
          <w:color w:val="auto"/>
        </w:rPr>
      </w:pPr>
    </w:p>
    <w:p>
      <w:pPr>
        <w:ind w:right="20" w:firstLine="647"/>
        <w:spacing w:after="0" w:line="255" w:lineRule="auto"/>
        <w:rPr>
          <w:sz w:val="20"/>
          <w:szCs w:val="20"/>
          <w:color w:val="auto"/>
        </w:rPr>
      </w:pPr>
      <w:r>
        <w:rPr>
          <w:rFonts w:ascii="Times New Roman" w:cs="Times New Roman" w:eastAsia="Times New Roman" w:hAnsi="Times New Roman"/>
          <w:sz w:val="18"/>
          <w:szCs w:val="18"/>
          <w:color w:val="auto"/>
        </w:rPr>
        <w:t>On June 12, 2018, the Company received a Notice of Event of Default under the senior credit agreement of CQ Holding Company from the secured lender under such agreement, which reported a covenant default under its senior secured agreement. Under the terms of that agreement, when an event of default occurs, CQ Holding Company is prohibited from making cash payments to unsecured lenders such as GLPI. Therefore, beginning in June 2018 the interest due from CQ Holding Company under the Company's unsecured loan was paid in kind. In addition to the covenant violation noted above under its senior credit agreement, CQ Holding Company also had a payment default under the senior credit agreement. Furthermore, the Company notified Casino Queen of events of default under the Company's unsecured loan with CQ Holding Company, related to financial covenant violations during the year ended December 31, 2018.</w:t>
      </w:r>
    </w:p>
    <w:p>
      <w:pPr>
        <w:spacing w:after="0" w:line="119" w:lineRule="exact"/>
        <w:rPr>
          <w:sz w:val="20"/>
          <w:szCs w:val="20"/>
          <w:color w:val="auto"/>
        </w:rPr>
      </w:pPr>
    </w:p>
    <w:p>
      <w:pPr>
        <w:ind w:firstLine="647"/>
        <w:spacing w:after="0" w:line="255" w:lineRule="auto"/>
        <w:rPr>
          <w:sz w:val="20"/>
          <w:szCs w:val="20"/>
          <w:color w:val="auto"/>
        </w:rPr>
      </w:pPr>
      <w:r>
        <w:rPr>
          <w:rFonts w:ascii="Times New Roman" w:cs="Times New Roman" w:eastAsia="Times New Roman" w:hAnsi="Times New Roman"/>
          <w:sz w:val="18"/>
          <w:szCs w:val="18"/>
          <w:color w:val="auto"/>
        </w:rPr>
        <w:t>At December 31, 2018, active negotiations for the sale of Casino Queen's operations were taking place. Despite the payment and covenant defaults noted above, at that time, full payment of the principal was still expected, due to the anticipation that the operations were to be sold in the near term for an amount allowing for repayment of the full $13.0 million of loan principal due to GLPI. However, the paid-in-kind interest due to the Company at December 31, 2018 was not expected to be collected, resulting in an impairment charge of $1.5 million during the fourth quarter of 2018. The Company did not recognize the paid-in-kind interest income due to the Company for the quarter ended December 31, 2018 and took a charge for the previously recognized paid-in-kind interest income through the Company’s consolidated statement of earnings as a reversal of the paid-in-kind interest income recognized earlier in the year.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8" w:right="359" w:bottom="1440" w:gutter="0" w:footer="0" w:header="0"/>
        </w:sectPr>
      </w:pPr>
    </w:p>
    <w:bookmarkStart w:id="81" w:name="page82"/>
    <w:bookmarkEnd w:id="81"/>
    <w:p>
      <w:pPr>
        <w:ind w:right="100" w:firstLine="647"/>
        <w:spacing w:after="0" w:line="265" w:lineRule="auto"/>
        <w:rPr>
          <w:sz w:val="20"/>
          <w:szCs w:val="20"/>
          <w:color w:val="auto"/>
        </w:rPr>
      </w:pPr>
      <w:r>
        <w:rPr>
          <w:rFonts w:ascii="Times New Roman" w:cs="Times New Roman" w:eastAsia="Times New Roman" w:hAnsi="Times New Roman"/>
          <w:sz w:val="18"/>
          <w:szCs w:val="18"/>
          <w:color w:val="auto"/>
        </w:rPr>
        <w:t>During 2019, the operating results of Casino Queen continued to decline, the secured debt of Casino Queen was sold to a third-party casino operator at a discount and the Company no longer expected the loan to be repaid. Therefore, the Company recorded an impairment charge of $13.0 million through the Consolidated Statement of Income for the year ended December 31, 2019 to reflect the write-off of the Casino Queen Loan.</w:t>
      </w:r>
    </w:p>
    <w:p>
      <w:pPr>
        <w:spacing w:after="0" w:line="110" w:lineRule="exact"/>
        <w:rPr>
          <w:sz w:val="20"/>
          <w:szCs w:val="20"/>
          <w:color w:val="auto"/>
        </w:rPr>
      </w:pPr>
    </w:p>
    <w:p>
      <w:pPr>
        <w:ind w:right="40" w:firstLine="180"/>
        <w:spacing w:after="0" w:line="281" w:lineRule="auto"/>
        <w:rPr>
          <w:sz w:val="20"/>
          <w:szCs w:val="20"/>
          <w:color w:val="auto"/>
        </w:rPr>
      </w:pPr>
      <w:r>
        <w:rPr>
          <w:rFonts w:ascii="Times New Roman" w:cs="Times New Roman" w:eastAsia="Times New Roman" w:hAnsi="Times New Roman"/>
          <w:sz w:val="18"/>
          <w:szCs w:val="18"/>
          <w:color w:val="auto"/>
        </w:rPr>
        <w:t>Casino Queen was closed in mid-March due to COVID-19 and Casino Queen was in payment default on their lease starting in April 2020. The Company entered into a deferred rental agreement with Casino Queen and received all delinquent rental payments in the fourth quarter of 2020.</w:t>
      </w:r>
    </w:p>
    <w:p>
      <w:pPr>
        <w:spacing w:after="0" w:line="200" w:lineRule="exact"/>
        <w:rPr>
          <w:sz w:val="20"/>
          <w:szCs w:val="20"/>
          <w:color w:val="auto"/>
        </w:rPr>
      </w:pPr>
    </w:p>
    <w:p>
      <w:pPr>
        <w:spacing w:after="0" w:line="228" w:lineRule="exact"/>
        <w:rPr>
          <w:sz w:val="20"/>
          <w:szCs w:val="20"/>
          <w:color w:val="auto"/>
        </w:rPr>
      </w:pPr>
    </w:p>
    <w:p>
      <w:pPr>
        <w:ind w:right="8460" w:firstLine="8"/>
        <w:spacing w:after="0" w:line="533" w:lineRule="auto"/>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Assets and Lease Liabilities Lease Assets</w:t>
      </w:r>
    </w:p>
    <w:p>
      <w:pPr>
        <w:spacing w:after="0" w:line="2" w:lineRule="exact"/>
        <w:rPr>
          <w:sz w:val="20"/>
          <w:szCs w:val="20"/>
          <w:color w:val="auto"/>
        </w:rPr>
      </w:pPr>
    </w:p>
    <w:p>
      <w:pPr>
        <w:ind w:right="20" w:firstLine="647"/>
        <w:spacing w:after="0" w:line="253" w:lineRule="auto"/>
        <w:rPr>
          <w:sz w:val="20"/>
          <w:szCs w:val="20"/>
          <w:color w:val="auto"/>
        </w:rPr>
      </w:pPr>
      <w:r>
        <w:rPr>
          <w:rFonts w:ascii="Times New Roman" w:cs="Times New Roman" w:eastAsia="Times New Roman" w:hAnsi="Times New Roman"/>
          <w:sz w:val="18"/>
          <w:szCs w:val="18"/>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consolidated financial statements for these ground leases as the Company is considered the primary obligor. In conjunction with the adoption of ASU 2016-02 on January 1, 2019, the Company recorded right-of-use assets and related lease liabilities on its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consolidated balance sheet in conjunction with the Company's assumption of below market leases at the time it acquired the related land and building assets, the Company is required to report the right-of-use assets and land rights in the aggregate on the consolidated balance sheet.</w:t>
      </w:r>
    </w:p>
    <w:p>
      <w:pPr>
        <w:spacing w:after="0" w:line="218" w:lineRule="exact"/>
        <w:rPr>
          <w:sz w:val="20"/>
          <w:szCs w:val="20"/>
          <w:color w:val="auto"/>
        </w:rPr>
      </w:pPr>
    </w:p>
    <w:p>
      <w:pPr>
        <w:ind w:right="60" w:firstLine="647"/>
        <w:spacing w:after="0" w:line="256" w:lineRule="auto"/>
        <w:rPr>
          <w:sz w:val="20"/>
          <w:szCs w:val="20"/>
          <w:color w:val="auto"/>
        </w:rPr>
      </w:pPr>
      <w:r>
        <w:rPr>
          <w:rFonts w:ascii="Times New Roman" w:cs="Times New Roman" w:eastAsia="Times New Roman" w:hAnsi="Times New Roman"/>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Company's right-of use assets and land rights, net are detailed below (in thousands):</w:t>
      </w:r>
    </w:p>
    <w:p>
      <w:pPr>
        <w:spacing w:after="0" w:line="124"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4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9"/>
        </w:trPr>
        <w:tc>
          <w:tcPr>
            <w:tcW w:w="4660" w:type="dxa"/>
            <w:vAlign w:val="bottom"/>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Right-of-use assets - operating leases </w:t>
            </w:r>
            <w:r>
              <w:rPr>
                <w:rFonts w:ascii="Times New Roman" w:cs="Times New Roman" w:eastAsia="Times New Roman" w:hAnsi="Times New Roman"/>
                <w:sz w:val="23"/>
                <w:szCs w:val="23"/>
                <w:color w:val="auto"/>
                <w:vertAlign w:val="superscript"/>
              </w:rPr>
              <w:t>(1)</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151,339</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184,063</w:t>
            </w:r>
          </w:p>
        </w:tc>
      </w:tr>
      <w:tr>
        <w:trPr>
          <w:trHeight w:val="229"/>
        </w:trPr>
        <w:tc>
          <w:tcPr>
            <w:tcW w:w="4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Land rights, net</w:t>
            </w:r>
          </w:p>
        </w:tc>
        <w:tc>
          <w:tcPr>
            <w:tcW w:w="8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617,858</w:t>
            </w:r>
          </w:p>
        </w:tc>
        <w:tc>
          <w:tcPr>
            <w:tcW w:w="5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654,671</w:t>
            </w:r>
          </w:p>
        </w:tc>
      </w:tr>
      <w:tr>
        <w:trPr>
          <w:trHeight w:val="223"/>
        </w:trPr>
        <w:tc>
          <w:tcPr>
            <w:tcW w:w="4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Right-of-use assets and land rights, net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769,197</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838,734</w:t>
            </w:r>
          </w:p>
        </w:tc>
      </w:tr>
      <w:tr>
        <w:trPr>
          <w:trHeight w:val="20"/>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840" w:hanging="185"/>
        <w:spacing w:after="0"/>
        <w:tabs>
          <w:tab w:leader="none" w:pos="84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addition, there is $0.3 million of operating lease right-of-use assets included in assets held for sale.</w:t>
      </w:r>
    </w:p>
    <w:p>
      <w:pPr>
        <w:spacing w:after="0" w:line="224"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As described in Note 8, on December 18, 2020, the Company and Caesars completed an Exchange Agreement in which the Company transferred to Caesars the real property assets of Tropicana Evansville. In connection with the exchange, the Company removed the land right and right of use asset related to the long-term ground lease at this property which totaled $24.8 million and $30.7 million, respectively, at the closing of the transaction along with the lease liability of $29.8 million it had recorded on its Consolidated Balance Sheet for this lease.</w:t>
      </w:r>
    </w:p>
    <w:p>
      <w:pPr>
        <w:spacing w:after="0" w:line="209" w:lineRule="exact"/>
        <w:rPr>
          <w:sz w:val="20"/>
          <w:szCs w:val="20"/>
          <w:color w:val="auto"/>
        </w:rPr>
      </w:pPr>
    </w:p>
    <w:p>
      <w:pPr>
        <w:ind w:right="160" w:firstLine="647"/>
        <w:spacing w:after="0" w:line="258" w:lineRule="auto"/>
        <w:rPr>
          <w:sz w:val="20"/>
          <w:szCs w:val="20"/>
          <w:color w:val="auto"/>
        </w:rPr>
      </w:pPr>
      <w:r>
        <w:rPr>
          <w:rFonts w:ascii="Times New Roman" w:cs="Times New Roman" w:eastAsia="Times New Roman" w:hAnsi="Times New Roman"/>
          <w:sz w:val="18"/>
          <w:szCs w:val="18"/>
          <w:color w:val="auto"/>
        </w:rPr>
        <w:t>On June 30, 2019, the Resorts Casino Tunica property was closed by the Company's tenant, resulting in the acceleration of $6.3 million of land right amortization expense related to the long-term ground lease at this property and bringing the net book value of this land right to zero at December 31, 2019. Subsequent to the property's closure, the Company entered into an agreement to terminate the long-term ground lease for the Resorts Casino Tunica property, which became effective in February 2020. In connection with the exercised termination option, the Company remeasured the lease liability and adjusted the right-of-use asset it had recorded on its consolidated balance sheet for this lease to align with the new termination date.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Land Rights</w:t>
      </w:r>
    </w:p>
    <w:p>
      <w:pPr>
        <w:spacing w:after="0" w:line="255" w:lineRule="exact"/>
        <w:rPr>
          <w:sz w:val="20"/>
          <w:szCs w:val="20"/>
          <w:color w:val="auto"/>
        </w:rPr>
      </w:pPr>
    </w:p>
    <w:p>
      <w:pPr>
        <w:ind w:firstLine="647"/>
        <w:spacing w:after="0" w:line="281" w:lineRule="auto"/>
        <w:rPr>
          <w:sz w:val="20"/>
          <w:szCs w:val="20"/>
          <w:color w:val="auto"/>
        </w:rPr>
      </w:pPr>
      <w:r>
        <w:rPr>
          <w:rFonts w:ascii="Times New Roman" w:cs="Times New Roman" w:eastAsia="Times New Roman" w:hAnsi="Times New Roman"/>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303"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2"/>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rights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667,751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694,077</w:t>
            </w:r>
          </w:p>
        </w:tc>
      </w:tr>
      <w:tr>
        <w:trPr>
          <w:trHeight w:val="22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(49,893)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(39,406)</w:t>
            </w: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rights,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617,858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654,671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estimated future amortization expense related to the Company’s land rights by fiscal year is as follows (in thousands):</w:t>
      </w:r>
    </w:p>
    <w:p>
      <w:pPr>
        <w:spacing w:after="0" w:line="379"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344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9"/>
        </w:trPr>
        <w:tc>
          <w:tcPr>
            <w:tcW w:w="22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29"/>
        </w:trPr>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29"/>
        </w:trPr>
        <w:tc>
          <w:tcPr>
            <w:tcW w:w="22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29"/>
        </w:trPr>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29"/>
        </w:trPr>
        <w:tc>
          <w:tcPr>
            <w:tcW w:w="22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29"/>
        </w:trPr>
        <w:tc>
          <w:tcPr>
            <w:tcW w:w="344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560,998</w:t>
            </w:r>
          </w:p>
        </w:tc>
      </w:tr>
      <w:tr>
        <w:trPr>
          <w:trHeight w:val="248"/>
        </w:trPr>
        <w:tc>
          <w:tcPr>
            <w:tcW w:w="344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617,858</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Liabilities</w:t>
      </w: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2020, maturities of the Company's operating lease liabilities were as follows (in thousands):</w:t>
      </w:r>
    </w:p>
    <w:p>
      <w:pPr>
        <w:spacing w:after="0" w:line="365"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9"/>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r>
      <w:tr>
        <w:trPr>
          <w:trHeight w:val="22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11,082</w:t>
            </w:r>
          </w:p>
        </w:tc>
      </w:tr>
      <w:tr>
        <w:trPr>
          <w:trHeight w:val="229"/>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r>
      <w:tr>
        <w:trPr>
          <w:trHeight w:val="22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w:t>
            </w:r>
          </w:p>
        </w:tc>
      </w:tr>
      <w:tr>
        <w:trPr>
          <w:trHeight w:val="229"/>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r>
      <w:tr>
        <w:trPr>
          <w:trHeight w:val="229"/>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569,957</w:t>
            </w: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625,217</w:t>
            </w:r>
          </w:p>
        </w:tc>
      </w:tr>
      <w:tr>
        <w:trPr>
          <w:trHeight w:val="229"/>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9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840" w:hanging="185"/>
        <w:spacing w:after="0"/>
        <w:tabs>
          <w:tab w:leader="none" w:pos="8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addition, there is $0.3 million of lease liabilities included in other liabilities related to liabilities held for sale.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Expense</w:t>
      </w:r>
    </w:p>
    <w:p>
      <w:pPr>
        <w:spacing w:after="0" w:line="255" w:lineRule="exact"/>
        <w:rPr>
          <w:sz w:val="20"/>
          <w:szCs w:val="20"/>
          <w:color w:val="auto"/>
        </w:rPr>
      </w:pPr>
    </w:p>
    <w:p>
      <w:pPr>
        <w:ind w:right="20" w:firstLine="647"/>
        <w:spacing w:after="0" w:line="260" w:lineRule="auto"/>
        <w:rPr>
          <w:sz w:val="20"/>
          <w:szCs w:val="20"/>
          <w:color w:val="auto"/>
        </w:rPr>
      </w:pPr>
      <w:r>
        <w:rPr>
          <w:rFonts w:ascii="Times New Roman" w:cs="Times New Roman" w:eastAsia="Times New Roman" w:hAnsi="Times New Roman"/>
          <w:sz w:val="18"/>
          <w:szCs w:val="18"/>
          <w:color w:val="auto"/>
        </w:rPr>
        <w:t>Operating lease costs represent the entire amount of expense recognized for operating leases that are recorded on the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8" w:right="37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3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9"/>
          <w:szCs w:val="9"/>
          <w:color w:val="auto"/>
        </w:rPr>
        <w:t>(1)</w:t>
      </w:r>
    </w:p>
    <w:p>
      <w:pPr>
        <w:spacing w:after="0" w:line="6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4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Amortization of land right assets</w:t>
      </w:r>
    </w:p>
    <w:p>
      <w:pPr>
        <w:spacing w:after="0" w:line="7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8"/>
        </w:trPr>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31, 2019</w:t>
            </w:r>
          </w:p>
        </w:tc>
      </w:tr>
      <w:tr>
        <w:trPr>
          <w:trHeight w:val="225"/>
        </w:trPr>
        <w:tc>
          <w:tcPr>
            <w:tcW w:w="30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9"/>
                <w:szCs w:val="19"/>
                <w:color w:val="auto"/>
              </w:rPr>
            </w:pPr>
          </w:p>
        </w:tc>
      </w:tr>
      <w:tr>
        <w:trPr>
          <w:trHeight w:val="268"/>
        </w:trPr>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13,907</w:t>
            </w:r>
          </w:p>
        </w:tc>
        <w:tc>
          <w:tcPr>
            <w:tcW w:w="160" w:type="dxa"/>
            <w:vAlign w:val="bottom"/>
          </w:tcPr>
          <w:p>
            <w:pPr>
              <w:spacing w:after="0"/>
              <w:rPr>
                <w:sz w:val="23"/>
                <w:szCs w:val="23"/>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15,482</w:t>
            </w:r>
          </w:p>
        </w:tc>
      </w:tr>
      <w:tr>
        <w:trPr>
          <w:trHeight w:val="256"/>
        </w:trPr>
        <w:tc>
          <w:tcPr>
            <w:tcW w:w="30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3,364</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9,048</w:t>
            </w:r>
          </w:p>
        </w:tc>
      </w:tr>
      <w:tr>
        <w:trPr>
          <w:trHeight w:val="256"/>
        </w:trPr>
        <w:tc>
          <w:tcPr>
            <w:tcW w:w="30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1,060</w:t>
            </w:r>
          </w:p>
        </w:tc>
      </w:tr>
      <w:tr>
        <w:trPr>
          <w:trHeight w:val="256"/>
        </w:trPr>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12,022</w:t>
            </w:r>
          </w:p>
        </w:tc>
        <w:tc>
          <w:tcPr>
            <w:tcW w:w="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18,536</w:t>
            </w:r>
          </w:p>
        </w:tc>
      </w:tr>
      <w:tr>
        <w:trPr>
          <w:trHeight w:val="223"/>
        </w:trPr>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29,918</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44,126</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-1885315</wp:posOffset>
            </wp:positionH>
            <wp:positionV relativeFrom="paragraph">
              <wp:posOffset>-838200</wp:posOffset>
            </wp:positionV>
            <wp:extent cx="388747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87470" cy="162560"/>
                    </a:xfrm>
                    <a:prstGeom prst="rect">
                      <a:avLst/>
                    </a:prstGeom>
                    <a:noFill/>
                  </pic:spPr>
                </pic:pic>
              </a:graphicData>
            </a:graphic>
          </wp:anchor>
        </w:drawing>
        <w:drawing>
          <wp:anchor simplePos="0" relativeHeight="251657728" behindDoc="1" locked="0" layoutInCell="0" allowOverlap="1">
            <wp:simplePos x="0" y="0"/>
            <wp:positionH relativeFrom="column">
              <wp:posOffset>-1885315</wp:posOffset>
            </wp:positionH>
            <wp:positionV relativeFrom="paragraph">
              <wp:posOffset>-513080</wp:posOffset>
            </wp:positionV>
            <wp:extent cx="388747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87470" cy="162560"/>
                    </a:xfrm>
                    <a:prstGeom prst="rect">
                      <a:avLst/>
                    </a:prstGeom>
                    <a:noFill/>
                  </pic:spPr>
                </pic:pic>
              </a:graphicData>
            </a:graphic>
          </wp:anchor>
        </w:drawing>
        <w:drawing>
          <wp:anchor simplePos="0" relativeHeight="251657728" behindDoc="1" locked="0" layoutInCell="0" allowOverlap="1">
            <wp:simplePos x="0" y="0"/>
            <wp:positionH relativeFrom="column">
              <wp:posOffset>-1885315</wp:posOffset>
            </wp:positionH>
            <wp:positionV relativeFrom="paragraph">
              <wp:posOffset>-187960</wp:posOffset>
            </wp:positionV>
            <wp:extent cx="388747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8747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600"/>
            <w:col w:w="5700"/>
          </w:cols>
          <w:pgMar w:left="320" w:top="890" w:right="339" w:bottom="1440" w:gutter="0" w:footer="0" w:header="0"/>
        </w:sectPr>
      </w:pPr>
    </w:p>
    <w:p>
      <w:pPr>
        <w:spacing w:after="0" w:line="119" w:lineRule="exact"/>
        <w:rPr>
          <w:sz w:val="20"/>
          <w:szCs w:val="20"/>
          <w:color w:val="auto"/>
        </w:rPr>
      </w:pPr>
    </w:p>
    <w:p>
      <w:pPr>
        <w:jc w:val="both"/>
        <w:ind w:firstLine="655"/>
        <w:spacing w:after="0" w:line="206" w:lineRule="auto"/>
        <w:tabs>
          <w:tab w:leader="none" w:pos="851"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Variable lease costs for the year ended December 31, 2020 included a true up of the monthly rental payments paid by our tenants on certain ground leases that are based on estimated current year annual performance which were impacted by casino closures due to COVID-19. As discussed previously, under ASC 842, the Company is required to gross up its financial statements by recording both expense and revenue (recorded within rental income on the Consolidated Statements of Income) for these payments since the Company is considered the primary obligor.</w:t>
      </w:r>
    </w:p>
    <w:p>
      <w:pPr>
        <w:spacing w:after="0" w:line="197" w:lineRule="exact"/>
        <w:rPr>
          <w:sz w:val="20"/>
          <w:szCs w:val="20"/>
          <w:color w:val="auto"/>
        </w:rPr>
      </w:pPr>
    </w:p>
    <w:p>
      <w:pPr>
        <w:ind w:right="40" w:firstLine="647"/>
        <w:spacing w:after="0" w:line="258" w:lineRule="auto"/>
        <w:rPr>
          <w:sz w:val="20"/>
          <w:szCs w:val="20"/>
          <w:color w:val="auto"/>
        </w:rPr>
      </w:pPr>
      <w:r>
        <w:rPr>
          <w:rFonts w:ascii="Times New Roman" w:cs="Times New Roman" w:eastAsia="Times New Roman" w:hAnsi="Times New Roman"/>
          <w:sz w:val="18"/>
          <w:szCs w:val="18"/>
          <w:color w:val="auto"/>
        </w:rPr>
        <w:t>Amortization expense related to the land right intangibles, as well as variable lease costs and the majority of the Company's operating lease costs are recorded within land rights and ground lease expense in the consolidated statements of income. The Company's short-term lease costs as well as a small portion of operating lease costs are recorded in both gaming, food, beverage and other expense and general and administrative expense in the consolidated statements of income. Amortization expense related to the land right intangibles totaled $11.3 million for the year ended December 31, 2018. Other lease costs totaled $18.9 million for the year ended December 31, 2018.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Related to Leases</w:t>
      </w: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p>
      <w:pPr>
        <w:spacing w:after="0" w:line="137" w:lineRule="exact"/>
        <w:rPr>
          <w:sz w:val="20"/>
          <w:szCs w:val="20"/>
          <w:color w:val="auto"/>
        </w:rPr>
      </w:pPr>
    </w:p>
    <w:tbl>
      <w:tblPr>
        <w:tblLayout w:type="fixed"/>
        <w:tblInd w:w="1780" w:type="dxa"/>
        <w:tblCellMar>
          <w:top w:w="0" w:type="dxa"/>
          <w:left w:w="0" w:type="dxa"/>
          <w:bottom w:w="0" w:type="dxa"/>
          <w:right w:w="0" w:type="dxa"/>
        </w:tblCellMar>
      </w:tblPr>
      <w:tr>
        <w:trPr>
          <w:trHeight w:val="193"/>
        </w:trPr>
        <w:tc>
          <w:tcPr>
            <w:tcW w:w="57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56.41 years</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0" w:lineRule="exact"/>
        <w:rPr>
          <w:sz w:val="20"/>
          <w:szCs w:val="20"/>
          <w:color w:val="auto"/>
        </w:rPr>
      </w:pPr>
    </w:p>
    <w:p>
      <w:pPr>
        <w:spacing w:after="0" w:line="294" w:lineRule="exact"/>
        <w:rPr>
          <w:sz w:val="20"/>
          <w:szCs w:val="20"/>
          <w:color w:val="auto"/>
        </w:rPr>
      </w:pPr>
    </w:p>
    <w:p>
      <w:pPr>
        <w:ind w:right="240" w:firstLine="647"/>
        <w:spacing w:after="0" w:line="281" w:lineRule="auto"/>
        <w:rPr>
          <w:sz w:val="20"/>
          <w:szCs w:val="20"/>
          <w:color w:val="auto"/>
        </w:rPr>
      </w:pPr>
      <w:r>
        <w:rPr>
          <w:rFonts w:ascii="Times New Roman" w:cs="Times New Roman" w:eastAsia="Times New Roman" w:hAnsi="Times New Roman"/>
          <w:sz w:val="18"/>
          <w:szCs w:val="18"/>
          <w:color w:val="auto"/>
        </w:rPr>
        <w:t>In addition, the weighted average remaining lease term and the weighted average discount rate for those operating leases included in assets held for sale and other liabilities is 1.79 years and 4.0%, respectively.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w:t>
      </w:r>
    </w:p>
    <w:p>
      <w:pPr>
        <w:spacing w:after="0" w:line="284" w:lineRule="exact"/>
        <w:rPr>
          <w:sz w:val="20"/>
          <w:szCs w:val="20"/>
          <w:color w:val="auto"/>
        </w:rPr>
      </w:pPr>
    </w:p>
    <w:tbl>
      <w:tblPr>
        <w:tblLayout w:type="fixed"/>
        <w:tblInd w:w="6640" w:type="dxa"/>
        <w:tblCellMar>
          <w:top w:w="0" w:type="dxa"/>
          <w:left w:w="0" w:type="dxa"/>
          <w:bottom w:w="0" w:type="dxa"/>
          <w:right w:w="0" w:type="dxa"/>
        </w:tblCellMar>
      </w:tblPr>
      <w:tr>
        <w:trPr>
          <w:trHeight w:val="161"/>
        </w:trPr>
        <w:tc>
          <w:tcPr>
            <w:tcW w:w="16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6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8"/>
        </w:trPr>
        <w:tc>
          <w:tcPr>
            <w:tcW w:w="16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16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31, 2019</w:t>
            </w:r>
          </w:p>
        </w:tc>
      </w:tr>
    </w:tbl>
    <w:p>
      <w:pPr>
        <w:spacing w:after="0" w:line="4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24765</wp:posOffset>
            </wp:positionV>
            <wp:extent cx="542861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59" w:lineRule="exact"/>
        <w:rPr>
          <w:sz w:val="20"/>
          <w:szCs w:val="20"/>
          <w:color w:val="auto"/>
        </w:rPr>
      </w:pPr>
    </w:p>
    <w:p>
      <w:pPr>
        <w:ind w:left="1460"/>
        <w:spacing w:after="0"/>
        <w:tabs>
          <w:tab w:leader="none" w:pos="6640" w:val="left"/>
          <w:tab w:leader="none" w:pos="7640" w:val="left"/>
          <w:tab w:leader="none" w:pos="8380" w:val="left"/>
          <w:tab w:leader="none" w:pos="9380" w:val="left"/>
        </w:tabs>
        <w:rPr>
          <w:sz w:val="20"/>
          <w:szCs w:val="20"/>
          <w:color w:val="auto"/>
        </w:rPr>
      </w:pPr>
      <w:r>
        <w:rPr>
          <w:rFonts w:ascii="Times New Roman" w:cs="Times New Roman" w:eastAsia="Times New Roman" w:hAnsi="Times New Roman"/>
          <w:sz w:val="18"/>
          <w:szCs w:val="18"/>
          <w:color w:val="auto"/>
        </w:rPr>
        <w:t xml:space="preserve">Operating cash flows from operating leases </w:t>
      </w:r>
      <w:r>
        <w:rPr>
          <w:rFonts w:ascii="Times New Roman" w:cs="Times New Roman" w:eastAsia="Times New Roman" w:hAnsi="Times New Roman"/>
          <w:sz w:val="23"/>
          <w:szCs w:val="23"/>
          <w:color w:val="auto"/>
          <w:vertAlign w:val="superscript"/>
        </w:rPr>
        <w:t>(1) (2)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-16510</wp:posOffset>
            </wp:positionV>
            <wp:extent cx="5428615"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28615" cy="162560"/>
                    </a:xfrm>
                    <a:prstGeom prst="rect">
                      <a:avLst/>
                    </a:prstGeom>
                    <a:noFill/>
                  </pic:spPr>
                </pic:pic>
              </a:graphicData>
            </a:graphic>
          </wp:anchor>
        </w:drawing>
      </w:r>
    </w:p>
    <w:p>
      <w:pPr>
        <w:spacing w:after="0" w:line="2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17145</wp:posOffset>
            </wp:positionV>
            <wp:extent cx="542861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39" w:lineRule="exact"/>
        <w:rPr>
          <w:sz w:val="20"/>
          <w:szCs w:val="20"/>
          <w:color w:val="auto"/>
        </w:rPr>
      </w:pPr>
    </w:p>
    <w:p>
      <w:pPr>
        <w:ind w:left="1500"/>
        <w:spacing w:after="0"/>
        <w:tabs>
          <w:tab w:leader="none" w:pos="6640" w:val="left"/>
          <w:tab w:leader="none" w:pos="7880" w:val="left"/>
          <w:tab w:leader="none" w:pos="8380" w:val="left"/>
          <w:tab w:leader="none" w:pos="9520" w:val="left"/>
        </w:tabs>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293</w:t>
      </w:r>
    </w:p>
    <w:p>
      <w:pPr>
        <w:spacing w:after="0" w:line="278" w:lineRule="exact"/>
        <w:rPr>
          <w:sz w:val="20"/>
          <w:szCs w:val="20"/>
          <w:color w:val="auto"/>
        </w:rPr>
      </w:pPr>
    </w:p>
    <w:p>
      <w:pPr>
        <w:ind w:right="20" w:firstLine="655"/>
        <w:spacing w:after="0" w:line="279" w:lineRule="auto"/>
        <w:tabs>
          <w:tab w:leader="none" w:pos="812"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194" w:lineRule="exact"/>
        <w:rPr>
          <w:rFonts w:ascii="Times New Roman" w:cs="Times New Roman" w:eastAsia="Times New Roman" w:hAnsi="Times New Roman"/>
          <w:sz w:val="20"/>
          <w:szCs w:val="20"/>
          <w:color w:val="auto"/>
          <w:vertAlign w:val="superscript"/>
        </w:rPr>
      </w:pPr>
    </w:p>
    <w:p>
      <w:pPr>
        <w:ind w:right="160" w:firstLine="655"/>
        <w:spacing w:after="0" w:line="568" w:lineRule="auto"/>
        <w:tabs>
          <w:tab w:leader="none" w:pos="812"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 addition, there is $0.2 million and $0.3 million related to assets held for sale and other liabilities for operating cash flows from cash paid for amounts included in the measurement of lease liabilities and right-of-use assets obtained for new lease obligations, respectively for the year ended December 31, 2020.</w:t>
      </w:r>
    </w:p>
    <w:p>
      <w:pPr>
        <w:sectPr>
          <w:pgSz w:w="11900" w:h="16838" w:orient="portrait"/>
          <w:cols w:equalWidth="0" w:num="1">
            <w:col w:w="11240"/>
          </w:cols>
          <w:pgMar w:left="320" w:top="890" w:right="3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255" w:lineRule="exact"/>
        <w:rPr>
          <w:sz w:val="20"/>
          <w:szCs w:val="20"/>
          <w:color w:val="auto"/>
        </w:rPr>
      </w:pPr>
    </w:p>
    <w:p>
      <w:pPr>
        <w:ind w:right="120" w:firstLine="647"/>
        <w:spacing w:after="0" w:line="258" w:lineRule="auto"/>
        <w:rPr>
          <w:sz w:val="20"/>
          <w:szCs w:val="20"/>
          <w:color w:val="auto"/>
        </w:rPr>
      </w:pPr>
      <w:r>
        <w:rPr>
          <w:rFonts w:ascii="Times New Roman" w:cs="Times New Roman" w:eastAsia="Times New Roman" w:hAnsi="Times New Roman"/>
          <w:sz w:val="18"/>
          <w:szCs w:val="18"/>
          <w:color w:val="auto"/>
        </w:rPr>
        <w:t>Goodwill is an asset representing the future economic benefits arising from other assets acquired in a business combination that are not individually identified and separately recognized. The only goodwill of the Company is recorded on the books of Hollywood Casino Baton Rouge, in connection with Penn's purchase of this entity prior to the Spin-Off. The original assets and liabilities of GLPI, including goodwill and intangible assets were recorded at their respective historical carrying values at the time of the Spin-Off in accordance with the provisions of ASC 505. There is no goodwill recorded on the Company's GLP Capital segment, which holds the Company's REIT operations.</w:t>
      </w:r>
    </w:p>
    <w:p>
      <w:pPr>
        <w:spacing w:after="0" w:line="209" w:lineRule="exact"/>
        <w:rPr>
          <w:sz w:val="20"/>
          <w:szCs w:val="20"/>
          <w:color w:val="auto"/>
        </w:rPr>
      </w:pPr>
    </w:p>
    <w:p>
      <w:pPr>
        <w:ind w:firstLine="647"/>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2018, the Company recorded a goodwill impairment charge of $59.5 million in connection with its operations at Hollywood Casino Baton Rouge. This charge was driven by general market deterioration in the Baton Rouge region and the smoking ban at all Baton Rouge, Louisiana casinos that went into effect during the second quarter of 2018, both of which significantly impacted the Company's forecasted cash flows for this reporting unit. Subsequent to conducting its impairment tests on other long-lived assets, the Company performed Step 1 of the goodwill impairment test, which indicated a potential impairment. Step 1 of the goodwill impairment test involved the determination of the fair value of the Baton Rouge reporting unit and its comparison to the reporting unit's carrying amount. Using a discounted cash flow model, which relied on projected EBITDA to determine the reporting unit's future cash flows, the Company calculated a fair value that was less than the reporting unit's carrying value and proceeded to Step 2. In Step 2 of the goodwill impairment test, the Company performed a fair value allocation as if the reporting unit had been acquired in a business combination and assigned the fair value of the reporting unit calculated in Step 1 to all assets and liabilities of the reporting unit, including any unrecognized intangible assets. Any residual fair value was allocated to goodwill to arrive at the implied fair value of goodwill. After completing the Step 2 allocation, the Company determined the goodwill on its Baton Rouge reporting unit had an implied fair value of $16.1 million and recorded the impairment charge of $59.5 million during the fourth quarter of 2018. There have been no changes in the carrying value of goodwill of $16.1 million for the years ended December 31, 2020 and 2019. As described in Note 6, the Company's goodwill balance at December 31, 2020 has been reclassified to Assets held for sale.</w:t>
      </w:r>
    </w:p>
    <w:p>
      <w:pPr>
        <w:spacing w:after="0" w:line="220" w:lineRule="exact"/>
        <w:rPr>
          <w:sz w:val="20"/>
          <w:szCs w:val="20"/>
          <w:color w:val="auto"/>
        </w:rPr>
      </w:pPr>
    </w:p>
    <w:p>
      <w:pPr>
        <w:ind w:firstLine="647"/>
        <w:spacing w:after="0" w:line="253" w:lineRule="auto"/>
        <w:rPr>
          <w:sz w:val="20"/>
          <w:szCs w:val="20"/>
          <w:color w:val="auto"/>
        </w:rPr>
      </w:pPr>
      <w:r>
        <w:rPr>
          <w:rFonts w:ascii="Times New Roman" w:cs="Times New Roman" w:eastAsia="Times New Roman" w:hAnsi="Times New Roman"/>
          <w:sz w:val="18"/>
          <w:szCs w:val="18"/>
          <w:color w:val="auto"/>
        </w:rPr>
        <w:t>In accordance with ASC 350, the Company considers its gaming license at the Hollywood Casino Perryville property an indefinite-lived intangible asset that does not require amortization based on future expectations to operate this casino indefinitely, as well as the gaming industry's historical experience in renewing these intangible assets at minimal cost with various state gaming commissions. Rather, the Company's gaming license is tested annually, or more frequently if indicators of impairment exist, for impairment by comparing the fair value of the recorded asset to its carrying amount. If the carrying amount of the indefinite-life intangible asset exceeds its fair value, an impairment loss is recognized. Hollywood Casino Perryville's gaming license will expire in September 2025, fifteen years from the casino's opening date. The Company expects to expense any costs related to the gaming license renewal as incurred. The Company conducts its annual impairment assessment of the gaming license on October 1st using the Greenfield Method which estimates the fair value of the gaming license assuming the Company built a casino with similar utility to that of the existing facility. This method also assumes a theoretical start-up company going into business without any assets other than the intangible asset being valued. Based upon these assumptions and the Company's current forecasted cash flows for this reporting unit, the gaming license was not impaired. At both December 31, 2020 and 2019, the gaming license had a carrying value of $9.6 million. As described in Note 6, the Company's other intangible assets balance at December 31, 2020 has been reclassified to Assets held for sale.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Assets and Liabilities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ind w:right="400" w:firstLine="647"/>
        <w:spacing w:after="0" w:line="281" w:lineRule="auto"/>
        <w:rPr>
          <w:sz w:val="20"/>
          <w:szCs w:val="20"/>
          <w:color w:val="auto"/>
        </w:rPr>
      </w:pPr>
      <w:r>
        <w:rPr>
          <w:rFonts w:ascii="Times New Roman" w:cs="Times New Roman" w:eastAsia="Times New Roman" w:hAnsi="Times New Roman"/>
          <w:sz w:val="18"/>
          <w:szCs w:val="18"/>
          <w:color w:val="auto"/>
        </w:rPr>
        <w:t>The following methods and assumptions are used to estimate the fair value of each class of financial instruments for which it is practicable to estimate: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220" w:firstLine="647"/>
        <w:spacing w:after="0" w:line="281" w:lineRule="auto"/>
        <w:rPr>
          <w:sz w:val="20"/>
          <w:szCs w:val="20"/>
          <w:color w:val="auto"/>
        </w:rPr>
      </w:pPr>
      <w:r>
        <w:rPr>
          <w:rFonts w:ascii="Times New Roman" w:cs="Times New Roman" w:eastAsia="Times New Roman" w:hAnsi="Times New Roman"/>
          <w:sz w:val="18"/>
          <w:szCs w:val="18"/>
          <w:color w:val="auto"/>
        </w:rPr>
        <w:t>The fair value of the Company’s cash and cash equivalents approximates the carrying value of the Company’s cash and cash equivalents, due to the short maturity of the cash equivalents.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Compensation Plan Assets</w:t>
      </w:r>
    </w:p>
    <w:p>
      <w:pPr>
        <w:spacing w:after="0" w:line="253" w:lineRule="exact"/>
        <w:rPr>
          <w:sz w:val="20"/>
          <w:szCs w:val="20"/>
          <w:color w:val="auto"/>
        </w:rPr>
      </w:pPr>
    </w:p>
    <w:p>
      <w:pPr>
        <w:jc w:val="both"/>
        <w:ind w:right="360" w:firstLine="647"/>
        <w:spacing w:after="0" w:line="265" w:lineRule="auto"/>
        <w:rPr>
          <w:sz w:val="20"/>
          <w:szCs w:val="20"/>
          <w:color w:val="auto"/>
        </w:rPr>
      </w:pPr>
      <w:r>
        <w:rPr>
          <w:rFonts w:ascii="Times New Roman" w:cs="Times New Roman" w:eastAsia="Times New Roman" w:hAnsi="Times New Roman"/>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consolidated balance sheets.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i w:val="1"/>
          <w:iCs w:val="1"/>
          <w:color w:val="auto"/>
        </w:rPr>
        <w:t>Real Estate Loans</w:t>
      </w:r>
    </w:p>
    <w:p>
      <w:pPr>
        <w:spacing w:after="0" w:line="253" w:lineRule="exact"/>
        <w:rPr>
          <w:sz w:val="20"/>
          <w:szCs w:val="20"/>
          <w:color w:val="auto"/>
        </w:rPr>
      </w:pPr>
    </w:p>
    <w:p>
      <w:pPr>
        <w:ind w:right="320" w:firstLine="647"/>
        <w:spacing w:after="0" w:line="312" w:lineRule="auto"/>
        <w:rPr>
          <w:sz w:val="20"/>
          <w:szCs w:val="20"/>
          <w:color w:val="auto"/>
        </w:rPr>
      </w:pPr>
      <w:r>
        <w:rPr>
          <w:rFonts w:ascii="Times New Roman" w:cs="Times New Roman" w:eastAsia="Times New Roman" w:hAnsi="Times New Roman"/>
          <w:sz w:val="17"/>
          <w:szCs w:val="17"/>
          <w:color w:val="auto"/>
        </w:rPr>
        <w:t>The fair value of the real estate loans approximates the carrying value of the Company's real estate loans, as collection on the outstanding loan balances is reasonably assured. The fair value measurement of the real estate loans is considered a Level 3 measurement as defined under ASC 820.</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120" w:firstLine="647"/>
        <w:spacing w:after="0" w:line="281" w:lineRule="auto"/>
        <w:rPr>
          <w:sz w:val="20"/>
          <w:szCs w:val="20"/>
          <w:color w:val="auto"/>
        </w:rPr>
      </w:pPr>
      <w:r>
        <w:rPr>
          <w:rFonts w:ascii="Times New Roman" w:cs="Times New Roman" w:eastAsia="Times New Roman" w:hAnsi="Times New Roman"/>
          <w:sz w:val="18"/>
          <w:szCs w:val="18"/>
          <w:color w:val="auto"/>
        </w:rPr>
        <w:t>The fair value of the Senior Notes are estimated based on quoted prices in active markets and as such are Level 1 measurements as defined under ASC 820. The fair value of the obligations in our Amended Credit Facility is based on indicative pricing from market information (Level 2 inputs).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are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900" w:type="dxa"/>
            <w:vAlign w:val="bottom"/>
            <w:tcBorders>
              <w:bottom w:val="single" w:sz="8" w:color="auto"/>
            </w:tcBorders>
          </w:tcPr>
          <w:p>
            <w:pPr>
              <w:spacing w:after="0"/>
              <w:rPr>
                <w:sz w:val="16"/>
                <w:szCs w:val="16"/>
                <w:color w:val="auto"/>
              </w:rPr>
            </w:pPr>
          </w:p>
        </w:tc>
      </w:tr>
      <w:tr>
        <w:trPr>
          <w:trHeight w:val="134"/>
        </w:trPr>
        <w:tc>
          <w:tcPr>
            <w:tcW w:w="5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Pr>
          <w:p>
            <w:pPr>
              <w:spacing w:after="0"/>
              <w:rPr>
                <w:sz w:val="11"/>
                <w:szCs w:val="11"/>
                <w:color w:val="auto"/>
              </w:rPr>
            </w:pPr>
          </w:p>
        </w:tc>
        <w:tc>
          <w:tcPr>
            <w:tcW w:w="900" w:type="dxa"/>
            <w:vAlign w:val="bottom"/>
          </w:tcPr>
          <w:p>
            <w:pPr>
              <w:jc w:val="center"/>
              <w:ind w:right="475"/>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Pr>
          <w:p>
            <w:pPr>
              <w:spacing w:after="0"/>
              <w:rPr>
                <w:sz w:val="11"/>
                <w:szCs w:val="11"/>
                <w:color w:val="auto"/>
              </w:rPr>
            </w:pPr>
          </w:p>
        </w:tc>
        <w:tc>
          <w:tcPr>
            <w:tcW w:w="900" w:type="dxa"/>
            <w:vAlign w:val="bottom"/>
          </w:tcPr>
          <w:p>
            <w:pPr>
              <w:jc w:val="right"/>
              <w:ind w:right="495"/>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8"/>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spacing w:after="0"/>
              <w:rPr>
                <w:sz w:val="16"/>
                <w:szCs w:val="16"/>
                <w:color w:val="auto"/>
              </w:rPr>
            </w:pPr>
          </w:p>
        </w:tc>
        <w:tc>
          <w:tcPr>
            <w:tcW w:w="10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spacing w:after="0"/>
              <w:rPr>
                <w:sz w:val="16"/>
                <w:szCs w:val="16"/>
                <w:color w:val="auto"/>
              </w:rPr>
            </w:pPr>
          </w:p>
        </w:tc>
        <w:tc>
          <w:tcPr>
            <w:tcW w:w="9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486,451</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486,451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w:t>
            </w:r>
          </w:p>
        </w:tc>
      </w:tr>
      <w:tr>
        <w:trPr>
          <w:trHeight w:val="22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28,855</w:t>
            </w:r>
          </w:p>
        </w:tc>
      </w:tr>
      <w:tr>
        <w:trPr>
          <w:trHeight w:val="22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loans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303,684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303,684</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unsecured credit facility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493,533</w:t>
            </w:r>
          </w:p>
        </w:tc>
      </w:tr>
      <w:tr>
        <w:trPr>
          <w:trHeight w:val="23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unsecured notes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5,375,000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6,026,840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5,290,174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5,707,996</w:t>
            </w:r>
          </w:p>
        </w:tc>
      </w:tr>
    </w:tbl>
    <w:p>
      <w:pPr>
        <w:spacing w:after="0" w:line="270" w:lineRule="exact"/>
        <w:rPr>
          <w:sz w:val="20"/>
          <w:szCs w:val="20"/>
          <w:color w:val="auto"/>
        </w:rPr>
      </w:pPr>
    </w:p>
    <w:p>
      <w:pPr>
        <w:ind w:left="840" w:hanging="185"/>
        <w:spacing w:after="0"/>
        <w:tabs>
          <w:tab w:leader="none" w:pos="84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addition, there is $22.1 million in cash and cash equivalents in assets held for sale.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61" w:lineRule="exact"/>
        <w:rPr>
          <w:sz w:val="20"/>
          <w:szCs w:val="20"/>
          <w:color w:val="auto"/>
        </w:rPr>
      </w:pPr>
    </w:p>
    <w:p>
      <w:pPr>
        <w:ind w:firstLine="647"/>
        <w:spacing w:after="0" w:line="281" w:lineRule="auto"/>
        <w:rPr>
          <w:sz w:val="20"/>
          <w:szCs w:val="20"/>
          <w:color w:val="auto"/>
        </w:rPr>
      </w:pPr>
      <w:r>
        <w:rPr>
          <w:rFonts w:ascii="Times New Roman" w:cs="Times New Roman" w:eastAsia="Times New Roman" w:hAnsi="Times New Roman"/>
          <w:sz w:val="18"/>
          <w:szCs w:val="18"/>
          <w:color w:val="auto"/>
        </w:rPr>
        <w:t>There were no liabilities measured at fair value on a nonrecurring basis during the years ended December 31, 2020 and 2019. There were no assets measured at fair value on a nonrecurring basis during the year ended December 31, 2020; however, assets measured at fair value on a nonrecurring basis during the year ended December 31, 2019 are described below.</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Loan Receivable</w:t>
      </w:r>
    </w:p>
    <w:p>
      <w:pPr>
        <w:spacing w:after="0" w:line="253" w:lineRule="exact"/>
        <w:rPr>
          <w:sz w:val="20"/>
          <w:szCs w:val="20"/>
          <w:color w:val="auto"/>
        </w:rPr>
      </w:pPr>
    </w:p>
    <w:p>
      <w:pPr>
        <w:ind w:right="160" w:firstLine="647"/>
        <w:spacing w:after="0" w:line="258" w:lineRule="auto"/>
        <w:rPr>
          <w:sz w:val="20"/>
          <w:szCs w:val="20"/>
          <w:color w:val="auto"/>
        </w:rPr>
      </w:pPr>
      <w:r>
        <w:rPr>
          <w:rFonts w:ascii="Times New Roman" w:cs="Times New Roman" w:eastAsia="Times New Roman" w:hAnsi="Times New Roman"/>
          <w:sz w:val="18"/>
          <w:szCs w:val="18"/>
          <w:color w:val="auto"/>
        </w:rPr>
        <w:t>During the first quarter of 2019, the Company recorded an impairment charge of $13.0 million related to the write-off of the principal due to the Company under the Casino Queen Loan. During 2019, the operating results of Casino Queen continued to decline, the secured debt of Casino Queen was sold to a third-party casino operator at a discount and the Company no longer expected the loan to be repaid. Therefore, the remaining balance of the Casino Queen Loan was written off and an impairment charge was recorded in the Consolidated Statement of Income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8"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net of current maturities and unamortized debt issuance costs is as follows:</w:t>
      </w:r>
    </w:p>
    <w:p>
      <w:pPr>
        <w:spacing w:after="0" w:line="163"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6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$1,175 million revolver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term loan A-1</w:t>
            </w: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449,000</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term loans A-2</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424,019</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 million 4.875% senior unsecured notes due November 2020</w:t>
            </w: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215,174</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million 4.375% senior unsecured notes due April 2021</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million 5.375% senior unsecured notes due November 2023</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million 3.350% senior unsecured notes due September 2024</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$850 million 5.250% senior unsecured notes due June 2025</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$975 million 5.375% senior unsecured notes due April 2026</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million 5.750% senior unsecured notes due June 2028</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 million 5.300% senior unsecured notes due January 2029</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million 4.000% senior unsecured notes due January 2030</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million 4.00% senior unsecured notes due January 2031</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liability</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5,799,879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5,786,163</w:t>
            </w:r>
          </w:p>
        </w:tc>
        <w:tc>
          <w:tcPr>
            <w:tcW w:w="0" w:type="dxa"/>
            <w:vAlign w:val="bottom"/>
          </w:tcPr>
          <w:p>
            <w:pPr>
              <w:spacing w:after="0"/>
              <w:rPr>
                <w:sz w:val="1"/>
                <w:szCs w:val="1"/>
                <w:color w:val="auto"/>
              </w:rPr>
            </w:pPr>
          </w:p>
        </w:tc>
      </w:tr>
      <w:tr>
        <w:trPr>
          <w:trHeight w:val="25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bond premiums and original issuance discounts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(45,190)</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(48,201)</w:t>
            </w: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 bond premiums and</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5,754,689</w:t>
            </w:r>
          </w:p>
        </w:tc>
        <w:tc>
          <w:tcPr>
            <w:tcW w:w="14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5,737,962</w:t>
            </w:r>
          </w:p>
        </w:tc>
        <w:tc>
          <w:tcPr>
            <w:tcW w:w="0" w:type="dxa"/>
            <w:vAlign w:val="bottom"/>
          </w:tcPr>
          <w:p>
            <w:pPr>
              <w:spacing w:after="0"/>
              <w:rPr>
                <w:sz w:val="1"/>
                <w:szCs w:val="1"/>
                <w:color w:val="auto"/>
              </w:rPr>
            </w:pPr>
          </w:p>
        </w:tc>
      </w:tr>
      <w:tr>
        <w:trPr>
          <w:trHeight w:val="222"/>
        </w:trPr>
        <w:tc>
          <w:tcPr>
            <w:tcW w:w="648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original issuance discounts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schedule of future minimum repayments of long-term debt as of December 31, 2020 (in thousands):</w:t>
      </w:r>
    </w:p>
    <w:p>
      <w:pPr>
        <w:spacing w:after="0" w:line="391" w:lineRule="exact"/>
        <w:rPr>
          <w:sz w:val="20"/>
          <w:szCs w:val="20"/>
          <w:color w:val="auto"/>
        </w:rPr>
      </w:pPr>
    </w:p>
    <w:tbl>
      <w:tblPr>
        <w:tblLayout w:type="fixed"/>
        <w:tblInd w:w="3020" w:type="dxa"/>
        <w:tblCellMar>
          <w:top w:w="0" w:type="dxa"/>
          <w:left w:w="0" w:type="dxa"/>
          <w:bottom w:w="0" w:type="dxa"/>
          <w:right w:w="0" w:type="dxa"/>
        </w:tblCellMar>
      </w:tblPr>
      <w:tr>
        <w:trPr>
          <w:trHeight w:val="25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5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5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924,168</w:t>
            </w:r>
          </w:p>
        </w:tc>
      </w:tr>
      <w:tr>
        <w:trPr>
          <w:trHeight w:val="25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400,156</w:t>
            </w:r>
          </w:p>
        </w:tc>
      </w:tr>
      <w:tr>
        <w:trPr>
          <w:trHeight w:val="25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850,164</w:t>
            </w:r>
          </w:p>
        </w:tc>
      </w:tr>
      <w:tr>
        <w:trPr>
          <w:trHeight w:val="256"/>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5 years</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3,625,114</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5,799,879</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Credit Facility</w:t>
      </w:r>
    </w:p>
    <w:p>
      <w:pPr>
        <w:spacing w:after="0" w:line="255" w:lineRule="exact"/>
        <w:rPr>
          <w:sz w:val="20"/>
          <w:szCs w:val="20"/>
          <w:color w:val="auto"/>
        </w:rPr>
      </w:pPr>
    </w:p>
    <w:p>
      <w:pPr>
        <w:ind w:firstLine="647"/>
        <w:spacing w:after="0" w:line="281" w:lineRule="auto"/>
        <w:rPr>
          <w:sz w:val="20"/>
          <w:szCs w:val="20"/>
          <w:color w:val="auto"/>
        </w:rPr>
      </w:pPr>
      <w:r>
        <w:rPr>
          <w:rFonts w:ascii="Times New Roman" w:cs="Times New Roman" w:eastAsia="Times New Roman" w:hAnsi="Times New Roman"/>
          <w:sz w:val="18"/>
          <w:szCs w:val="18"/>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w:t>
      </w:r>
    </w:p>
    <w:p>
      <w:pPr>
        <w:spacing w:after="0" w:line="190" w:lineRule="exact"/>
        <w:rPr>
          <w:sz w:val="20"/>
          <w:szCs w:val="20"/>
          <w:color w:val="auto"/>
        </w:rPr>
      </w:pPr>
    </w:p>
    <w:p>
      <w:pPr>
        <w:ind w:right="80" w:firstLine="647"/>
        <w:spacing w:after="0" w:line="271" w:lineRule="auto"/>
        <w:rPr>
          <w:sz w:val="20"/>
          <w:szCs w:val="20"/>
          <w:color w:val="auto"/>
        </w:rPr>
      </w:pPr>
      <w:r>
        <w:rPr>
          <w:rFonts w:ascii="Times New Roman" w:cs="Times New Roman" w:eastAsia="Times New Roman" w:hAnsi="Times New Roman"/>
          <w:sz w:val="17"/>
          <w:szCs w:val="17"/>
          <w:color w:val="auto"/>
        </w:rPr>
        <w:t>The Company fully drew down on its Revolver in the first quarter of 2020 to increase its liquidity position and repay certain senior unsecured notes as described below.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on June 25, 2020, the Company also closed on an offering of $500 million of 4.00% unsecured senior notes due in January 2031 priced at a slight discount to par. The Company utilized the proceeds from these two financings along with cash on hand to repay all outstanding obligations under its Revolver. On August 18, 2020, the Company borrowed an additional $200 million of 4.00% unsecured senior notes due in January 2031 priced at a premium to par. The Company utilized the net proceeds from this additional borrowing to repay indebtedness under the Term Loan A-1 facility.</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87" w:name="page88"/>
    <w:bookmarkEnd w:id="87"/>
    <w:p>
      <w:pPr>
        <w:ind w:right="40" w:firstLine="647"/>
        <w:spacing w:after="0" w:line="260" w:lineRule="auto"/>
        <w:rPr>
          <w:sz w:val="20"/>
          <w:szCs w:val="20"/>
          <w:color w:val="auto"/>
        </w:rPr>
      </w:pPr>
      <w:r>
        <w:rPr>
          <w:rFonts w:ascii="Times New Roman" w:cs="Times New Roman" w:eastAsia="Times New Roman" w:hAnsi="Times New Roman"/>
          <w:sz w:val="18"/>
          <w:szCs w:val="18"/>
          <w:color w:val="auto"/>
        </w:rPr>
        <w:t>At December 31, 2020, the Credit Facility had a gross outstanding balance of $424.0 million, consisting of the $424.0 million Term Loan A-2 facility. No amounts were outstanding under the Revolver. Additionally, at December 31, 2020, the Company was contingently obligated under letters of credit issued pursuant to the Credit Facility with face amounts aggregating approximately $0.4 million, resulting in $1,174.6 million of available borrowing capacity under the Revolver.</w:t>
      </w:r>
    </w:p>
    <w:p>
      <w:pPr>
        <w:spacing w:after="0" w:line="209" w:lineRule="exact"/>
        <w:rPr>
          <w:sz w:val="20"/>
          <w:szCs w:val="20"/>
          <w:color w:val="auto"/>
        </w:rPr>
      </w:pPr>
    </w:p>
    <w:p>
      <w:pPr>
        <w:ind w:right="60" w:firstLine="647"/>
        <w:spacing w:after="0" w:line="254" w:lineRule="auto"/>
        <w:rPr>
          <w:sz w:val="20"/>
          <w:szCs w:val="20"/>
          <w:color w:val="auto"/>
        </w:rPr>
      </w:pPr>
      <w:r>
        <w:rPr>
          <w:rFonts w:ascii="Times New Roman" w:cs="Times New Roman" w:eastAsia="Times New Roman" w:hAnsi="Times New Roman"/>
          <w:sz w:val="18"/>
          <w:szCs w:val="18"/>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Credit Facility. At December 31, 2020,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Credit Facility. At December 31, 2020, the commitment fee rate was 0.25%. The Company is not required to repay any loans under the Credit Facility prior to maturity and may prepay all or any portion of the loans under the Credit Facility prior to maturity without premium or penalty, subject to reimbursement of any LIBOR breakage costs of the lenders. The Company's wholly owned subsidiary, GLP Capital, is the primary obligor under the Credit Facility, which is guaranteed by GLPI.</w:t>
      </w:r>
    </w:p>
    <w:p>
      <w:pPr>
        <w:spacing w:after="0" w:line="216" w:lineRule="exact"/>
        <w:rPr>
          <w:sz w:val="20"/>
          <w:szCs w:val="20"/>
          <w:color w:val="auto"/>
        </w:rPr>
      </w:pPr>
    </w:p>
    <w:p>
      <w:pPr>
        <w:ind w:right="20" w:firstLine="647"/>
        <w:spacing w:after="0" w:line="253" w:lineRule="auto"/>
        <w:rPr>
          <w:sz w:val="20"/>
          <w:szCs w:val="20"/>
          <w:color w:val="auto"/>
        </w:rPr>
      </w:pPr>
      <w:r>
        <w:rPr>
          <w:rFonts w:ascii="Times New Roman" w:cs="Times New Roman" w:eastAsia="Times New Roman" w:hAnsi="Times New Roman"/>
          <w:sz w:val="18"/>
          <w:szCs w:val="18"/>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December 31, 2020, the Company was in compliance with all required financial covenants under the Credit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Notes</w:t>
      </w:r>
    </w:p>
    <w:p>
      <w:pPr>
        <w:spacing w:after="0" w:line="2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December 31, 2020, the Company had an outstanding balance of $5,375.0 million of senior unsecured notes (the "Senior Notes").</w:t>
      </w:r>
    </w:p>
    <w:p>
      <w:pPr>
        <w:spacing w:after="0" w:line="251"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incurring a loss on the early extinguishment of debt related to the redemption of $17.3 million, primarily for call premium charges and debt issuance write-offs.</w:t>
      </w:r>
    </w:p>
    <w:p>
      <w:pPr>
        <w:spacing w:after="0" w:line="209" w:lineRule="exact"/>
        <w:rPr>
          <w:sz w:val="20"/>
          <w:szCs w:val="20"/>
          <w:color w:val="auto"/>
        </w:rPr>
      </w:pPr>
    </w:p>
    <w:p>
      <w:pPr>
        <w:jc w:val="both"/>
        <w:ind w:firstLine="647"/>
        <w:spacing w:after="0" w:line="245" w:lineRule="auto"/>
        <w:rPr>
          <w:sz w:val="20"/>
          <w:szCs w:val="20"/>
          <w:color w:val="auto"/>
        </w:rPr>
      </w:pPr>
      <w:r>
        <w:rPr>
          <w:rFonts w:ascii="Times New Roman" w:cs="Times New Roman" w:eastAsia="Times New Roman" w:hAnsi="Times New Roman"/>
          <w:sz w:val="18"/>
          <w:szCs w:val="18"/>
          <w:color w:val="auto"/>
        </w:rPr>
        <w:t>On June 25, 2020, the Company issued $500 million of 4.00% senior unsecured notes due January 2031 at an issue price equal to 98.827% of the principal amount to repay indebtedness under its Revolver. On August 18, 2020, the Company issued an additional $200 million of 4.00% senior unsecured notes due January 2031 at an issue price equal to 103.824% of the principal amount to repay Term Loan A-1 indebtedness, incurring a loss on the early extinguishment of debt of $0.8 million, related to debt issuance write-offs. These bond offerings have extended the maturities of our long-term debt.</w:t>
      </w:r>
    </w:p>
    <w:p>
      <w:pPr>
        <w:spacing w:after="0" w:line="207" w:lineRule="exact"/>
        <w:rPr>
          <w:sz w:val="20"/>
          <w:szCs w:val="20"/>
          <w:color w:val="auto"/>
        </w:rPr>
      </w:pPr>
    </w:p>
    <w:p>
      <w:pPr>
        <w:ind w:right="20" w:firstLine="647"/>
        <w:spacing w:after="0" w:line="255" w:lineRule="auto"/>
        <w:rPr>
          <w:sz w:val="20"/>
          <w:szCs w:val="20"/>
          <w:color w:val="auto"/>
        </w:rPr>
      </w:pPr>
      <w:r>
        <w:rPr>
          <w:rFonts w:ascii="Times New Roman" w:cs="Times New Roman" w:eastAsia="Times New Roman" w:hAnsi="Times New Roman"/>
          <w:sz w:val="18"/>
          <w:szCs w:val="18"/>
          <w:color w:val="auto"/>
        </w:rPr>
        <w:t>On August 29, 2019, the Company issued $400 million of 3.35% Senior Unsecured Notes maturing on September 1, 2024 at an issue price equal to 99.899% of the principal amount (the "2024 Notes") and $700 million of 4.00% Senior Unsecured Notes maturing on January 15, 2030 at an issue price equal to 99.751% of the principal amount (the "2030 Notes"). Interest on the 2024 Notes is payable semi-annually on March 1 and September 1 of each year, commencing on March 1, 2020. Interest on the 2030 Notes is payable semi-annually on January 15 and July 15 of each year, commencing on January 15, 2020. The net proceeds from the sale of the 2024 Notes and 2030 Notes were used to (i) finance the Company's cash tender offer to purchase its 4.875% Senior Unsecured Notes due 2020 (described below), (ii) repay outstanding borrowings under the Company's revolving credit facility and (iii) repay a portion of the outstanding borrowings under the Company's Term Loan A-1 facility.</w:t>
      </w:r>
    </w:p>
    <w:p>
      <w:pPr>
        <w:spacing w:after="0" w:line="213" w:lineRule="exact"/>
        <w:rPr>
          <w:sz w:val="20"/>
          <w:szCs w:val="20"/>
          <w:color w:val="auto"/>
        </w:rPr>
      </w:pPr>
    </w:p>
    <w:p>
      <w:pPr>
        <w:ind w:right="140" w:firstLine="647"/>
        <w:spacing w:after="0" w:line="281" w:lineRule="auto"/>
        <w:rPr>
          <w:sz w:val="20"/>
          <w:szCs w:val="20"/>
          <w:color w:val="auto"/>
        </w:rPr>
      </w:pPr>
      <w:r>
        <w:rPr>
          <w:rFonts w:ascii="Times New Roman" w:cs="Times New Roman" w:eastAsia="Times New Roman" w:hAnsi="Times New Roman"/>
          <w:sz w:val="18"/>
          <w:szCs w:val="18"/>
          <w:color w:val="auto"/>
        </w:rPr>
        <w:t>On September 12, 2019, the Company completed a cash tender offer (the "2019 Tender Offer") to purchase its $1,000 million aggregate principal amount 4.875% Senior Unsecured Notes due 2020 (the "2020 Notes"). The Company received early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8" w:name="page89"/>
    <w:bookmarkEnd w:id="88"/>
    <w:p>
      <w:pPr>
        <w:ind w:right="80"/>
        <w:spacing w:after="0" w:line="256" w:lineRule="auto"/>
        <w:rPr>
          <w:sz w:val="20"/>
          <w:szCs w:val="20"/>
          <w:color w:val="auto"/>
        </w:rPr>
      </w:pPr>
      <w:r>
        <w:rPr>
          <w:rFonts w:ascii="Times New Roman" w:cs="Times New Roman" w:eastAsia="Times New Roman" w:hAnsi="Times New Roman"/>
          <w:sz w:val="18"/>
          <w:szCs w:val="18"/>
          <w:color w:val="auto"/>
        </w:rPr>
        <w:t>tenders from the holders of approximately $782.6 million in aggregate principal of the 2020 Notes, or approximately 78% of its outstanding 2020 Notes, in connection with the 2019 Tender Offer at a price of 102.337% of the unpaid principal amount plus accrued and unpaid interest through the settlement date. Subsequent to the early tender deadline, an additional $2.2 million in aggregate principal of the 2020 Notes was tendered at a price of 99.337% of the unpaid principal amount plus accrued and unpaid interest through the settlement date, for a total redemption of $784.8 million of the 2020 Notes. The Company recorded a loss on the early extinguishment of debt related to the 2019 Tender Offer, of approximately $21.0 million, for the difference between the reacquisition price of the tendered 2020 Notes and their net carrying value.</w:t>
      </w:r>
    </w:p>
    <w:p>
      <w:pPr>
        <w:spacing w:after="0" w:line="118" w:lineRule="exact"/>
        <w:rPr>
          <w:sz w:val="20"/>
          <w:szCs w:val="20"/>
          <w:color w:val="auto"/>
        </w:rPr>
      </w:pPr>
    </w:p>
    <w:p>
      <w:pPr>
        <w:ind w:right="260" w:firstLine="647"/>
        <w:spacing w:after="0" w:line="254" w:lineRule="auto"/>
        <w:rPr>
          <w:sz w:val="20"/>
          <w:szCs w:val="20"/>
          <w:color w:val="auto"/>
        </w:rPr>
      </w:pPr>
      <w:r>
        <w:rPr>
          <w:rFonts w:ascii="Times New Roman" w:cs="Times New Roman" w:eastAsia="Times New Roman" w:hAnsi="Times New Roman"/>
          <w:sz w:val="18"/>
          <w:szCs w:val="18"/>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108" w:lineRule="exact"/>
        <w:rPr>
          <w:sz w:val="20"/>
          <w:szCs w:val="20"/>
          <w:color w:val="auto"/>
        </w:rPr>
      </w:pPr>
    </w:p>
    <w:p>
      <w:pPr>
        <w:ind w:right="80" w:firstLine="647"/>
        <w:spacing w:after="0" w:line="260" w:lineRule="auto"/>
        <w:rPr>
          <w:sz w:val="20"/>
          <w:szCs w:val="20"/>
          <w:color w:val="auto"/>
        </w:rPr>
      </w:pPr>
      <w:r>
        <w:rPr>
          <w:rFonts w:ascii="Times New Roman" w:cs="Times New Roman" w:eastAsia="Times New Roman" w:hAnsi="Times New Roman"/>
          <w:sz w:val="18"/>
          <w:szCs w:val="18"/>
          <w:color w:val="auto"/>
        </w:rPr>
        <w:t xml:space="preserve">The Senior Notes were issued by GLP Capital, L.P. and GLP Financing II, Inc. (the "Issuers"), two wholly-owned subsidiaries of GLPI, and are guaranteed on a senior unsecured basis by GLPI. The guarantees of GLPI are full and unconditional. The Senior Notes are the Issuers' senior unsecured obligations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the Issuers' senior indebtedness, including the Credit Facility, and senior in right of payment to all of the Issuers' subordinated indebtedness, without giving effect to collateral arrangements.</w:t>
      </w:r>
    </w:p>
    <w:p>
      <w:pPr>
        <w:spacing w:after="0" w:line="114" w:lineRule="exact"/>
        <w:rPr>
          <w:sz w:val="20"/>
          <w:szCs w:val="20"/>
          <w:color w:val="auto"/>
        </w:rPr>
      </w:pPr>
    </w:p>
    <w:p>
      <w:pPr>
        <w:ind w:right="60" w:firstLine="647"/>
        <w:spacing w:after="0" w:line="288" w:lineRule="auto"/>
        <w:rPr>
          <w:sz w:val="20"/>
          <w:szCs w:val="20"/>
          <w:color w:val="auto"/>
        </w:rPr>
      </w:pPr>
      <w:r>
        <w:rPr>
          <w:rFonts w:ascii="Times New Roman" w:cs="Times New Roman" w:eastAsia="Times New Roman" w:hAnsi="Times New Roman"/>
          <w:sz w:val="17"/>
          <w:szCs w:val="17"/>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2020, the Company was in compliance with all required financial covenants under its Senior Notes.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 Liability</w:t>
      </w:r>
    </w:p>
    <w:p>
      <w:pPr>
        <w:spacing w:after="0" w:line="255" w:lineRule="exact"/>
        <w:rPr>
          <w:sz w:val="20"/>
          <w:szCs w:val="20"/>
          <w:color w:val="auto"/>
        </w:rPr>
      </w:pPr>
    </w:p>
    <w:p>
      <w:pPr>
        <w:ind w:right="180" w:firstLine="647"/>
        <w:spacing w:after="0" w:line="312" w:lineRule="auto"/>
        <w:rPr>
          <w:sz w:val="20"/>
          <w:szCs w:val="20"/>
          <w:color w:val="auto"/>
        </w:rPr>
      </w:pPr>
      <w:r>
        <w:rPr>
          <w:rFonts w:ascii="Times New Roman" w:cs="Times New Roman" w:eastAsia="Times New Roman" w:hAnsi="Times New Roman"/>
          <w:sz w:val="17"/>
          <w:szCs w:val="17"/>
          <w:color w:val="auto"/>
        </w:rPr>
        <w:t>The Company assumed the finance lease obligations related to certain assets at its Aurora, Illinois property. GLPI recorded the asset and liability associated with the finance lease on its consolidated balance sheet. The original term of the finance lease is 30 years and it will terminate in 2026.</w:t>
      </w:r>
    </w:p>
    <w:p>
      <w:pPr>
        <w:spacing w:after="0" w:line="162" w:lineRule="exact"/>
        <w:rPr>
          <w:sz w:val="20"/>
          <w:szCs w:val="20"/>
          <w:color w:val="auto"/>
        </w:rPr>
      </w:pPr>
    </w:p>
    <w:p>
      <w:pPr>
        <w:ind w:left="280" w:hanging="272"/>
        <w:spacing w:after="0"/>
        <w:tabs>
          <w:tab w:leader="none" w:pos="2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Separation and Distribution Agreements</w:t>
      </w:r>
    </w:p>
    <w:p>
      <w:pPr>
        <w:spacing w:after="0" w:line="255" w:lineRule="exact"/>
        <w:rPr>
          <w:sz w:val="20"/>
          <w:szCs w:val="20"/>
          <w:color w:val="auto"/>
        </w:rPr>
      </w:pPr>
    </w:p>
    <w:p>
      <w:pPr>
        <w:ind w:firstLine="647"/>
        <w:spacing w:after="0" w:line="253" w:lineRule="auto"/>
        <w:rPr>
          <w:sz w:val="20"/>
          <w:szCs w:val="20"/>
          <w:color w:val="auto"/>
        </w:rPr>
      </w:pPr>
      <w:r>
        <w:rPr>
          <w:rFonts w:ascii="Times New Roman" w:cs="Times New Roman" w:eastAsia="Times New Roman" w:hAnsi="Times New Roman"/>
          <w:sz w:val="18"/>
          <w:szCs w:val="18"/>
          <w:color w:val="auto"/>
        </w:rPr>
        <w:t>Pursuant to a Separation and Distribution Agreement between Penn and GLPI, any liability arising from or relating to legal proceedings involving the businesses and operations of Penn’s real property holdings prior to the Spin-Off (other than any liability arising from or relating to legal proceedings where the dispute arises from the operation or ownership of the TRS Properties) will be retained by Penn, and Penn will indemnify GLPI (and its subsidiaries, directors, officers, employees and agents and certain other related parties) against any losses it may incur arising from or relating to such legal proceedings. Similarly, pursuant to a Separation and Distribution Agreement between Pinnacle's operating company and GLPI (as successor to Pinnacle Entertainment), any liability arising from or relating to legal proceedings involving the business and operations of Pinnacle's real property holdings prior to the Pinnacle Merger will be retained by Pinnacle, and Pinnacle will indemnify GLPI (and its subsidiaries, directors, officers, employees and agents and certain other related parties) against any losses it may incur arising from or relating to such legal proceedings. Effective October 15, 2018, Penn assumed all obligations of Pinnacle pursuant to a merger of Pinnacle with and into a subsidiary of Penn. There can be no assurance that Penn will be able to fully satisfy these indemnification obligations. Moreover, even if the Company ultimately succeeds in recovering from Penn any amounts for which the Company is liable, it may be temporarily required to bear those losses.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55" w:lineRule="exact"/>
        <w:rPr>
          <w:sz w:val="20"/>
          <w:szCs w:val="20"/>
          <w:color w:val="auto"/>
        </w:rPr>
      </w:pPr>
    </w:p>
    <w:p>
      <w:pPr>
        <w:ind w:right="20" w:firstLine="647"/>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48" w:lineRule="exact"/>
        <w:rPr>
          <w:sz w:val="20"/>
          <w:szCs w:val="20"/>
          <w:color w:val="auto"/>
        </w:rPr>
      </w:pPr>
    </w:p>
    <w:p>
      <w:pPr>
        <w:jc w:val="both"/>
        <w:ind w:right="180" w:firstLine="647"/>
        <w:spacing w:after="0" w:line="258" w:lineRule="auto"/>
        <w:rPr>
          <w:sz w:val="20"/>
          <w:szCs w:val="20"/>
          <w:color w:val="auto"/>
        </w:rPr>
      </w:pPr>
      <w:r>
        <w:rPr>
          <w:rFonts w:ascii="Times New Roman" w:cs="Times New Roman" w:eastAsia="Times New Roman" w:hAnsi="Times New Roman"/>
          <w:sz w:val="18"/>
          <w:szCs w:val="18"/>
          <w:color w:val="auto"/>
        </w:rPr>
        <w:t>The Company maintains a defined contribution plan under the provisions of Section 401(k) of the Internal Revenue Code of 1986, as amended, which covers all eligible employees. The plan enables participating employees to defer a portion of their salary and/or their annual bonus in a retirement fund to be administered by the Company. The Company makes a discretionary match contribution of 50% of employees' elective salary deferrals, up to a maximum of 6% of eligible employee compensation. The matching contributions for the defined contribution plan were $0.3 million for each of the years ended December 31, 2020, 2019 and 2018.</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a non-qualified deferred compensation plan that covers most management and other highly-compensated employees.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allows the participants to defer, on a pre-tax basis, a portion of their base annual salary and/or their annual bonus, and earn tax-deferred earnings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deferrals. The plan also provides for matching Company contributions that vest over a five-year period. The Company has established a Trust,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to the Trust, on a periodic basis, an amount necessary to provide for its respective future liabilities with respect to participant deferral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contribution amounts. The Company's matching contributions for the non-qualified deferred compensation plan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2019 and 2018 were $0.7 million, $0.6 million and $0.7 million, respectively. The Company's deferred compensation liability,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included in other liabilities within the consolidated balance sheet, was $32.4 million and $25.2 million at December 31, 2020 and 2019,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in the Trust were $35.5 million and $28.9 million at December 31, 2020 and 2019, respectively, and are included in other assets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Agreements</w:t>
      </w:r>
    </w:p>
    <w:p>
      <w:pPr>
        <w:spacing w:after="0" w:line="148" w:lineRule="exact"/>
        <w:rPr>
          <w:sz w:val="20"/>
          <w:szCs w:val="20"/>
          <w:color w:val="auto"/>
        </w:rPr>
      </w:pPr>
    </w:p>
    <w:p>
      <w:pPr>
        <w:ind w:firstLine="647"/>
        <w:spacing w:after="0" w:line="255" w:lineRule="auto"/>
        <w:rPr>
          <w:sz w:val="20"/>
          <w:szCs w:val="20"/>
          <w:color w:val="auto"/>
        </w:rPr>
      </w:pPr>
      <w:r>
        <w:rPr>
          <w:rFonts w:ascii="Times New Roman" w:cs="Times New Roman" w:eastAsia="Times New Roman" w:hAnsi="Times New Roman"/>
          <w:sz w:val="18"/>
          <w:szCs w:val="18"/>
          <w:color w:val="auto"/>
        </w:rPr>
        <w:t>Some of Hollywood Casino Perryville's employees are currently represented by labor unions. The Seafarers Entertainment and Allied Trade Union represents 129 of Hollywood Casino Perryville's employees under an agreement that expires in January 2032. Additionally, United Industrial Service Transportation Professional and Government Workers of North America and Local No. 27 United Food and Commercial Workers represent certain employees under collective bargaining agreements that expire in 2021 and 2033, respectively, neither of which represents more than 50 of Hollywood Casino Perryville's employees. If the Company fails to renew or modify existing agreements on satisfactory terms, this failure could have a material adverse effect on Hollywood Casino Perryville's business, financial condition and results of operations. There can be no assurance that Hollywood Casino Perryville will be able to maintain these agreements.</w:t>
      </w:r>
    </w:p>
    <w:p>
      <w:pPr>
        <w:spacing w:after="0" w:line="209" w:lineRule="exact"/>
        <w:rPr>
          <w:sz w:val="20"/>
          <w:szCs w:val="20"/>
          <w:color w:val="auto"/>
        </w:rPr>
      </w:pPr>
    </w:p>
    <w:p>
      <w:pPr>
        <w:ind w:right="9160" w:firstLine="8"/>
        <w:spacing w:after="0" w:line="533" w:lineRule="auto"/>
        <w:tabs>
          <w:tab w:leader="none" w:pos="27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Revenues from Real Estate</w:t>
      </w:r>
    </w:p>
    <w:p>
      <w:pPr>
        <w:spacing w:after="0" w:line="2" w:lineRule="exact"/>
        <w:rPr>
          <w:sz w:val="20"/>
          <w:szCs w:val="20"/>
          <w:color w:val="auto"/>
        </w:rPr>
      </w:pPr>
    </w:p>
    <w:p>
      <w:pPr>
        <w:ind w:right="20" w:firstLine="647"/>
        <w:spacing w:after="0" w:line="255" w:lineRule="auto"/>
        <w:rPr>
          <w:sz w:val="20"/>
          <w:szCs w:val="20"/>
          <w:color w:val="auto"/>
        </w:rPr>
      </w:pPr>
      <w:r>
        <w:rPr>
          <w:rFonts w:ascii="Times New Roman" w:cs="Times New Roman" w:eastAsia="Times New Roman" w:hAnsi="Times New Roman"/>
          <w:sz w:val="18"/>
          <w:szCs w:val="18"/>
          <w:color w:val="auto"/>
        </w:rPr>
        <w:t>As of December 31, 2020, 19 of the Company’s real estate investment properties were leased to a subsidiary of Penn under the Penn Master Lease, an additional 12 of the Company's real estate investment properties were leased to a subsidiary of Penn under the Amended Pinnacle Master Lease, 6 of the Company's real estate investment properties were leased to a subsidiary of Caesars under the Amended and Restated Caesars Master Lease and 3 of the Company's real estate investment properties were leased to a subsidiary of Boyd under the Boyd Master Lease. Additionally, the Meadows real estate assets are leased to Penn pursuant to the Meadows Lease, the land under a Penn development facility subject to the Morgantown Lease and the Casino Queen real estate assets are leased back to the operator under the Casino Queen Lease. Finally, the Company has single property triple net leases with Caesars under the Lumière Place Lease and Boyd under the Belterra Park Lease.</w:t>
      </w:r>
    </w:p>
    <w:p>
      <w:pPr>
        <w:spacing w:after="0" w:line="213" w:lineRule="exact"/>
        <w:rPr>
          <w:sz w:val="20"/>
          <w:szCs w:val="20"/>
          <w:color w:val="auto"/>
        </w:rPr>
      </w:pPr>
    </w:p>
    <w:p>
      <w:pPr>
        <w:ind w:right="60" w:firstLine="647"/>
        <w:spacing w:after="0" w:line="260" w:lineRule="auto"/>
        <w:rPr>
          <w:sz w:val="20"/>
          <w:szCs w:val="20"/>
          <w:color w:val="auto"/>
        </w:rPr>
      </w:pPr>
      <w:r>
        <w:rPr>
          <w:rFonts w:ascii="Times New Roman" w:cs="Times New Roman" w:eastAsia="Times New Roman" w:hAnsi="Times New Roman"/>
          <w:sz w:val="18"/>
          <w:szCs w:val="18"/>
          <w:color w:val="auto"/>
        </w:rPr>
        <w:t>The obligations under the Penn Master Lease and Amended Pinnacle Master Lease, as well as the Meadows Lease and Morgantown Lease are guaranteed by Penn and, with respect to each lease, jointly and severally by Penn's subsidiaries that occupy and operate the facilities covered by such lease. Similarly, the obligations under the Amended and Restated Caesars Master Lease are jointly and severally guaranteed by Caesars and by most of Caesars subsidiaries that occupy and operate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0" w:name="page91"/>
    <w:bookmarkEnd w:id="90"/>
    <w:p>
      <w:pPr>
        <w:ind w:right="460"/>
        <w:spacing w:after="0" w:line="281" w:lineRule="auto"/>
        <w:rPr>
          <w:sz w:val="20"/>
          <w:szCs w:val="20"/>
          <w:color w:val="auto"/>
        </w:rPr>
      </w:pPr>
      <w:r>
        <w:rPr>
          <w:rFonts w:ascii="Times New Roman" w:cs="Times New Roman" w:eastAsia="Times New Roman" w:hAnsi="Times New Roman"/>
          <w:sz w:val="18"/>
          <w:szCs w:val="18"/>
          <w:color w:val="auto"/>
        </w:rPr>
        <w:t>leased facilities. The obligations under the Boyd Master Lease are jointly and severally guaranteed by Boyd's subsidiaries that occupy and operate the facilities leased under the Boyd Master Lease.</w:t>
      </w:r>
    </w:p>
    <w:p>
      <w:pPr>
        <w:spacing w:after="0" w:line="95" w:lineRule="exact"/>
        <w:rPr>
          <w:sz w:val="20"/>
          <w:szCs w:val="20"/>
          <w:color w:val="auto"/>
        </w:rPr>
      </w:pPr>
    </w:p>
    <w:p>
      <w:pPr>
        <w:ind w:right="40" w:firstLine="647"/>
        <w:spacing w:after="0" w:line="256" w:lineRule="auto"/>
        <w:rPr>
          <w:sz w:val="20"/>
          <w:szCs w:val="20"/>
          <w:color w:val="auto"/>
        </w:rPr>
      </w:pPr>
      <w:r>
        <w:rPr>
          <w:rFonts w:ascii="Times New Roman" w:cs="Times New Roman" w:eastAsia="Times New Roman" w:hAnsi="Times New Roman"/>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prospectively adjusted,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which equals $22.9 million annually.</w:t>
      </w:r>
    </w:p>
    <w:p>
      <w:pPr>
        <w:spacing w:after="0" w:line="212" w:lineRule="exact"/>
        <w:rPr>
          <w:sz w:val="20"/>
          <w:szCs w:val="20"/>
          <w:color w:val="auto"/>
        </w:rPr>
      </w:pPr>
    </w:p>
    <w:p>
      <w:pPr>
        <w:ind w:right="60" w:firstLine="647"/>
        <w:spacing w:after="0" w:line="258" w:lineRule="auto"/>
        <w:rPr>
          <w:sz w:val="20"/>
          <w:szCs w:val="20"/>
          <w:color w:val="auto"/>
        </w:rPr>
      </w:pPr>
      <w:r>
        <w:rPr>
          <w:rFonts w:ascii="Times New Roman" w:cs="Times New Roman" w:eastAsia="Times New Roman" w:hAnsi="Times New Roman"/>
          <w:sz w:val="18"/>
          <w:szCs w:val="18"/>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every two years to an amount equal to 4% of the average net revenues of all facilities under the Amended Pinnacle Master Lease during the preceding two years in excess of a contractual baseline. The Amended Pinnacle Master Lease reset on May 1, 2020 which resulted in an annual decline of $5.0 million.</w:t>
      </w:r>
    </w:p>
    <w:p>
      <w:pPr>
        <w:spacing w:after="0" w:line="209" w:lineRule="exact"/>
        <w:rPr>
          <w:sz w:val="20"/>
          <w:szCs w:val="20"/>
          <w:color w:val="auto"/>
        </w:rPr>
      </w:pPr>
    </w:p>
    <w:p>
      <w:pPr>
        <w:jc w:val="both"/>
        <w:ind w:firstLine="647"/>
        <w:spacing w:after="0"/>
        <w:rPr>
          <w:sz w:val="20"/>
          <w:szCs w:val="20"/>
          <w:color w:val="auto"/>
        </w:rPr>
      </w:pPr>
      <w:r>
        <w:rPr>
          <w:rFonts w:ascii="Times New Roman" w:cs="Times New Roman" w:eastAsia="Times New Roman" w:hAnsi="Times New Roman"/>
          <w:sz w:val="18"/>
          <w:szCs w:val="18"/>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to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addition, the guaranteed fixed escalations in the new initial lease term will be recognized on a straight line basis.</w:t>
      </w:r>
    </w:p>
    <w:p>
      <w:pPr>
        <w:spacing w:after="0" w:line="214"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On December 18, 2020, following the receipt of required regulatory approvals, the Company and Caesars completed an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The Waterloo and Bettendorf facilities were added to the Amended and Restated Caesars Master Lease and the rent was increased by $520,000 annually. This Exchange Transaction resulted in a reconsideration of the Amended and Restated Caesars Master Lease which resulted in the continuation of operating lease treatment for accounting classification purposes. Additionally, a non cash gain of $41.4 million was recorded in other income which reflected the fair value of the Waterloo and Bettendorf facilities which exceeded the net book value of the Tropicana Evansville property and the $5.7 million payment at the date of the exchange.</w:t>
      </w:r>
    </w:p>
    <w:p>
      <w:pPr>
        <w:spacing w:after="0" w:line="213" w:lineRule="exact"/>
        <w:rPr>
          <w:sz w:val="20"/>
          <w:szCs w:val="20"/>
          <w:color w:val="auto"/>
        </w:rPr>
      </w:pPr>
    </w:p>
    <w:p>
      <w:pPr>
        <w:ind w:right="180" w:firstLine="689"/>
        <w:spacing w:after="0" w:line="265" w:lineRule="auto"/>
        <w:rPr>
          <w:sz w:val="20"/>
          <w:szCs w:val="20"/>
          <w:color w:val="auto"/>
        </w:rPr>
      </w:pPr>
      <w:r>
        <w:rPr>
          <w:rFonts w:ascii="Times New Roman" w:cs="Times New Roman" w:eastAsia="Times New Roman" w:hAnsi="Times New Roman"/>
          <w:sz w:val="18"/>
          <w:szCs w:val="18"/>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May 2020, the Company acquired the real estate of Belterra Park in satisfaction of the Belterra Park Loan, subject to the Belterra Park Lease</w:t>
      </w:r>
    </w:p>
    <w:p>
      <w:pPr>
        <w:spacing w:after="0" w:line="4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09"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On September 29, 2020, the Company acquired the real estate of Lumière Place in satisfaction of the CZR loan, subject to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204"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Morgantown Lease became effective on October 1, 2020 whereby the Company is leasing the land under Penn's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1" w:name="page92"/>
    <w:bookmarkEnd w:id="91"/>
    <w:p>
      <w:pPr>
        <w:spacing w:after="0" w:line="258" w:lineRule="auto"/>
        <w:rPr>
          <w:sz w:val="20"/>
          <w:szCs w:val="20"/>
          <w:color w:val="auto"/>
        </w:rPr>
      </w:pPr>
      <w:r>
        <w:rPr>
          <w:rFonts w:ascii="Times New Roman" w:cs="Times New Roman" w:eastAsia="Times New Roman" w:hAnsi="Times New Roman"/>
          <w:sz w:val="18"/>
          <w:szCs w:val="18"/>
          <w:color w:val="auto"/>
        </w:rPr>
        <w:t>gaming facility under construction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w:t>
      </w:r>
    </w:p>
    <w:p>
      <w:pPr>
        <w:spacing w:after="0" w:line="209"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an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209" w:lineRule="exact"/>
        <w:rPr>
          <w:sz w:val="20"/>
          <w:szCs w:val="20"/>
          <w:color w:val="auto"/>
        </w:rPr>
      </w:pPr>
    </w:p>
    <w:p>
      <w:pPr>
        <w:ind w:right="100" w:firstLine="647"/>
        <w:spacing w:after="0" w:line="256" w:lineRule="auto"/>
        <w:rPr>
          <w:sz w:val="20"/>
          <w:szCs w:val="20"/>
          <w:color w:val="auto"/>
        </w:rPr>
      </w:pPr>
      <w:r>
        <w:rPr>
          <w:rFonts w:ascii="Times New Roman" w:cs="Times New Roman" w:eastAsia="Times New Roman" w:hAnsi="Times New Roman"/>
          <w:sz w:val="18"/>
          <w:szCs w:val="18"/>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In June 2019, a percentage rent floor was triggered on Penn's Hollywood Casino Toledo property, as a result of Penn's purchase of the operations of the Greektown Casino-Hotel in Detroit, Michigan.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addition to rent, as triple-net lessees, all of the Company's tenants are required to pay the following executory costs: (1) all facility maintenance,</w:t>
      </w:r>
    </w:p>
    <w:p>
      <w:pPr>
        <w:spacing w:after="0" w:line="39" w:lineRule="exact"/>
        <w:rPr>
          <w:sz w:val="20"/>
          <w:szCs w:val="20"/>
          <w:color w:val="auto"/>
        </w:rPr>
      </w:pPr>
    </w:p>
    <w:p>
      <w:pPr>
        <w:ind w:right="60" w:firstLine="8"/>
        <w:spacing w:after="0" w:line="255"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12" w:lineRule="exact"/>
        <w:rPr>
          <w:sz w:val="20"/>
          <w:szCs w:val="20"/>
          <w:color w:val="auto"/>
        </w:rPr>
      </w:pPr>
    </w:p>
    <w:p>
      <w:pPr>
        <w:ind w:right="60" w:firstLine="647"/>
        <w:spacing w:after="0" w:line="253" w:lineRule="auto"/>
        <w:rPr>
          <w:sz w:val="20"/>
          <w:szCs w:val="20"/>
          <w:color w:val="auto"/>
        </w:rPr>
      </w:pPr>
      <w:r>
        <w:rPr>
          <w:rFonts w:ascii="Times New Roman" w:cs="Times New Roman" w:eastAsia="Times New Roman" w:hAnsi="Times New Roman"/>
          <w:sz w:val="18"/>
          <w:szCs w:val="18"/>
          <w:color w:val="auto"/>
        </w:rPr>
        <w:t>The Company determined, based on facts and circumstances prevailing at the time of each lease's inception, that neither Penn nor Casino Queen could continue as a going concern without the property(ies) that are leased to them under the Penn Master Lease and the Casino Queen Master Lease.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the Company concluded that the term of the Penn Master Lease and the Casino Queen Lease is 35 years, equal to the initial 15-year term plus all four of the 5-year renewal options.</w:t>
      </w:r>
    </w:p>
    <w:p>
      <w:pPr>
        <w:spacing w:after="0" w:line="218" w:lineRule="exact"/>
        <w:rPr>
          <w:sz w:val="20"/>
          <w:szCs w:val="20"/>
          <w:color w:val="auto"/>
        </w:rPr>
      </w:pPr>
    </w:p>
    <w:p>
      <w:pPr>
        <w:ind w:firstLine="647"/>
        <w:spacing w:after="0" w:line="255" w:lineRule="auto"/>
        <w:rPr>
          <w:sz w:val="20"/>
          <w:szCs w:val="20"/>
          <w:color w:val="auto"/>
        </w:rPr>
      </w:pPr>
      <w:r>
        <w:rPr>
          <w:rFonts w:ascii="Times New Roman" w:cs="Times New Roman" w:eastAsia="Times New Roman" w:hAnsi="Times New Roman"/>
          <w:sz w:val="18"/>
          <w:szCs w:val="18"/>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is 10 years, equal to the initial 10-year term only.</w:t>
      </w:r>
    </w:p>
    <w:p>
      <w:pPr>
        <w:spacing w:after="0" w:line="213"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209" w:lineRule="exact"/>
        <w:rPr>
          <w:sz w:val="20"/>
          <w:szCs w:val="20"/>
          <w:color w:val="auto"/>
        </w:rPr>
      </w:pPr>
    </w:p>
    <w:p>
      <w:pPr>
        <w:ind w:right="100" w:firstLine="647"/>
        <w:spacing w:after="0" w:line="265" w:lineRule="auto"/>
        <w:rPr>
          <w:sz w:val="20"/>
          <w:szCs w:val="20"/>
          <w:color w:val="auto"/>
        </w:rPr>
      </w:pPr>
      <w:r>
        <w:rPr>
          <w:rFonts w:ascii="Times New Roman" w:cs="Times New Roman" w:eastAsia="Times New Roman" w:hAnsi="Times New Roman"/>
          <w:sz w:val="18"/>
          <w:szCs w:val="18"/>
          <w:color w:val="auto"/>
        </w:rPr>
        <w:t>Because the Meadows Lease was a single property lease operated by a large multi-property operator, GLPI concluded it was not reasonably assured at lease inception that the operator would elect to exercise any lease renewal options. Therefore, the Company concluded that the lease term of the Meadows Lease is 10 years, equal to the initial 10-year term only. In</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92" w:name="page93"/>
    <w:bookmarkEnd w:id="92"/>
    <w:p>
      <w:pPr>
        <w:spacing w:after="0" w:line="255" w:lineRule="auto"/>
        <w:rPr>
          <w:sz w:val="20"/>
          <w:szCs w:val="20"/>
          <w:color w:val="auto"/>
        </w:rPr>
      </w:pPr>
      <w:r>
        <w:rPr>
          <w:rFonts w:ascii="Times New Roman" w:cs="Times New Roman" w:eastAsia="Times New Roman" w:hAnsi="Times New Roman"/>
          <w:sz w:val="18"/>
          <w:szCs w:val="18"/>
          <w:color w:val="auto"/>
        </w:rPr>
        <w:t>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or Boyd would elect to exercise all lease renewal options under the Caesars Master Lease and the Boyd Master Lease as the earnings from these properties did not represent a meaningful portion of either tenant's business at lease inception; therefore the Company concluded that the lease term of the Amended and Restated Caesars Master Lease was its remaining initial lease term which was extended by 5 years when the Amended and Restated Caesars Master Lease became effective on July 23, 2020. The lease term of the Boyd Master Lease is 10 years, equal to the initial term of such master lease.</w:t>
      </w:r>
    </w:p>
    <w:p>
      <w:pPr>
        <w:spacing w:after="0" w:line="213" w:lineRule="exact"/>
        <w:rPr>
          <w:sz w:val="20"/>
          <w:szCs w:val="20"/>
          <w:color w:val="auto"/>
        </w:rPr>
      </w:pPr>
    </w:p>
    <w:p>
      <w:pPr>
        <w:ind w:right="80" w:firstLine="647"/>
        <w:spacing w:after="0" w:line="265" w:lineRule="auto"/>
        <w:rPr>
          <w:sz w:val="20"/>
          <w:szCs w:val="20"/>
          <w:color w:val="auto"/>
        </w:rPr>
      </w:pPr>
      <w:r>
        <w:rPr>
          <w:rFonts w:ascii="Times New Roman" w:cs="Times New Roman" w:eastAsia="Times New Roman" w:hAnsi="Times New Roman"/>
          <w:sz w:val="18"/>
          <w:szCs w:val="18"/>
          <w:color w:val="auto"/>
        </w:rPr>
        <w:t>The Belterra Park Lease, Morgantown Lease and Lumière Park Lease are single property leases operated by large-multi-property operators and as such the Company concluded it was not reasonably assured at lease inception that the operator would elect to exercise any renewal options, as such the lease term of these leases is equal to their initial terms.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the Company's rental income for the year ended December 31, 2020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8"/>
        </w:trPr>
        <w:tc>
          <w:tcPr>
            <w:tcW w:w="4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31, 2020</w:t>
            </w:r>
          </w:p>
        </w:tc>
      </w:tr>
      <w:tr>
        <w:trPr>
          <w:trHeight w:val="250"/>
        </w:trPr>
        <w:tc>
          <w:tcPr>
            <w:tcW w:w="406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Building base rent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676,929</w:t>
            </w:r>
          </w:p>
        </w:tc>
      </w:tr>
      <w:tr>
        <w:trPr>
          <w:trHeight w:val="27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base rent</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194,939</w:t>
            </w:r>
          </w:p>
        </w:tc>
      </w:tr>
      <w:tr>
        <w:trPr>
          <w:trHeight w:val="27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rent</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148,647</w:t>
            </w:r>
          </w:p>
        </w:tc>
      </w:tr>
      <w:tr>
        <w:trPr>
          <w:trHeight w:val="250"/>
        </w:trPr>
        <w:tc>
          <w:tcPr>
            <w:tcW w:w="406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b w:val="1"/>
                <w:bCs w:val="1"/>
                <w:color w:val="auto"/>
              </w:rPr>
              <w:t xml:space="preserve">Total cash rental income </w:t>
            </w:r>
            <w:r>
              <w:rPr>
                <w:rFonts w:ascii="Times New Roman" w:cs="Times New Roman" w:eastAsia="Times New Roman" w:hAnsi="Times New Roman"/>
                <w:sz w:val="23"/>
                <w:szCs w:val="23"/>
                <w:b w:val="1"/>
                <w:bCs w:val="1"/>
                <w:color w:val="auto"/>
                <w:vertAlign w:val="superscript"/>
              </w:rPr>
              <w:t>(2)</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1,020,515</w:t>
            </w:r>
          </w:p>
        </w:tc>
      </w:tr>
      <w:tr>
        <w:trPr>
          <w:trHeight w:val="27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7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 rent in revenue</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7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rental revenue</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income</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1,031,036</w:t>
            </w: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Building base rent is subject to the annual rent escalators described above.</w:t>
      </w:r>
    </w:p>
    <w:p>
      <w:pPr>
        <w:spacing w:after="0" w:line="1" w:lineRule="exact"/>
        <w:rPr>
          <w:rFonts w:ascii="Times New Roman" w:cs="Times New Roman" w:eastAsia="Times New Roman" w:hAnsi="Times New Roman"/>
          <w:sz w:val="22"/>
          <w:szCs w:val="22"/>
          <w:color w:val="auto"/>
          <w:vertAlign w:val="superscript"/>
        </w:rPr>
      </w:pPr>
    </w:p>
    <w:p>
      <w:pPr>
        <w:ind w:right="240" w:firstLine="8"/>
        <w:spacing w:after="0" w:line="230" w:lineRule="auto"/>
        <w:tabs>
          <w:tab w:leader="none" w:pos="181"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Cash rental income includes rent credits of $337.5 million related to the Tropicana Las Vegas and Morgantown transactions with Penn. See Note 7 for further details.</w:t>
      </w:r>
    </w:p>
    <w:p>
      <w:pPr>
        <w:spacing w:after="0" w:line="224" w:lineRule="exact"/>
        <w:rPr>
          <w:sz w:val="20"/>
          <w:szCs w:val="20"/>
          <w:color w:val="auto"/>
        </w:rPr>
      </w:pPr>
    </w:p>
    <w:p>
      <w:pPr>
        <w:ind w:left="2700" w:right="300" w:hanging="1732"/>
        <w:spacing w:after="0" w:line="281" w:lineRule="auto"/>
        <w:rPr>
          <w:sz w:val="20"/>
          <w:szCs w:val="20"/>
          <w:color w:val="auto"/>
        </w:rPr>
      </w:pPr>
      <w:r>
        <w:rPr>
          <w:rFonts w:ascii="Times New Roman" w:cs="Times New Roman" w:eastAsia="Times New Roman" w:hAnsi="Times New Roman"/>
          <w:sz w:val="18"/>
          <w:szCs w:val="18"/>
          <w:color w:val="auto"/>
        </w:rPr>
        <w:t>As of December 31, 2020, the future minimum rental income from the Company's rental properties under non-cancelable operating leases, including any reasonably assured renewal periods, was as follows (in thousands):</w:t>
      </w:r>
    </w:p>
    <w:p>
      <w:pPr>
        <w:spacing w:after="0" w:line="60"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3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Future Rental Payments</w:t>
            </w:r>
          </w:p>
        </w:tc>
        <w:tc>
          <w:tcPr>
            <w:tcW w:w="76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Straight-Line Rent</w:t>
            </w:r>
          </w:p>
        </w:tc>
        <w:tc>
          <w:tcPr>
            <w:tcW w:w="214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Future Base Ground</w:t>
            </w:r>
          </w:p>
        </w:tc>
        <w:tc>
          <w:tcPr>
            <w:tcW w:w="800" w:type="dxa"/>
            <w:vAlign w:val="bottom"/>
          </w:tcPr>
          <w:p>
            <w:pPr>
              <w:spacing w:after="0"/>
              <w:rPr>
                <w:sz w:val="13"/>
                <w:szCs w:val="13"/>
                <w:color w:val="auto"/>
              </w:rPr>
            </w:pP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Future Income to be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2300" w:type="dxa"/>
            <w:vAlign w:val="bottom"/>
            <w:gridSpan w:val="2"/>
          </w:tcPr>
          <w:p>
            <w:pPr>
              <w:jc w:val="right"/>
              <w:ind w:right="54"/>
              <w:spacing w:after="0" w:line="135" w:lineRule="exact"/>
              <w:rPr>
                <w:sz w:val="20"/>
                <w:szCs w:val="20"/>
                <w:color w:val="auto"/>
              </w:rPr>
            </w:pPr>
            <w:r>
              <w:rPr>
                <w:rFonts w:ascii="Times New Roman" w:cs="Times New Roman" w:eastAsia="Times New Roman" w:hAnsi="Times New Roman"/>
                <w:sz w:val="14"/>
                <w:szCs w:val="14"/>
                <w:b w:val="1"/>
                <w:bCs w:val="1"/>
                <w:color w:val="auto"/>
              </w:rPr>
              <w:t>Recognized Related to Operating</w:t>
            </w:r>
          </w:p>
        </w:tc>
        <w:tc>
          <w:tcPr>
            <w:tcW w:w="0" w:type="dxa"/>
            <w:vAlign w:val="bottom"/>
          </w:tcPr>
          <w:p>
            <w:pPr>
              <w:spacing w:after="0"/>
              <w:rPr>
                <w:sz w:val="1"/>
                <w:szCs w:val="1"/>
                <w:color w:val="auto"/>
              </w:rPr>
            </w:pPr>
          </w:p>
        </w:tc>
      </w:tr>
      <w:tr>
        <w:trPr>
          <w:trHeight w:val="121"/>
        </w:trPr>
        <w:tc>
          <w:tcPr>
            <w:tcW w:w="66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200" w:type="dxa"/>
            <w:vAlign w:val="bottom"/>
            <w:tcBorders>
              <w:top w:val="single" w:sz="8" w:color="auto"/>
            </w:tcBorders>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w w:val="91"/>
              </w:rPr>
              <w:t>31,</w:t>
            </w: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2140" w:type="dxa"/>
            <w:vAlign w:val="bottom"/>
            <w:gridSpan w:val="3"/>
          </w:tcPr>
          <w:p>
            <w:pPr>
              <w:ind w:left="640"/>
              <w:spacing w:after="0" w:line="121"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140" w:type="dxa"/>
            <w:vAlign w:val="bottom"/>
            <w:gridSpan w:val="3"/>
          </w:tcPr>
          <w:p>
            <w:pPr>
              <w:ind w:left="500"/>
              <w:spacing w:after="0" w:line="121" w:lineRule="exact"/>
              <w:rPr>
                <w:sz w:val="20"/>
                <w:szCs w:val="20"/>
                <w:color w:val="auto"/>
              </w:rPr>
            </w:pPr>
            <w:r>
              <w:rPr>
                <w:rFonts w:ascii="Times New Roman" w:cs="Times New Roman" w:eastAsia="Times New Roman" w:hAnsi="Times New Roman"/>
                <w:sz w:val="14"/>
                <w:szCs w:val="14"/>
                <w:b w:val="1"/>
                <w:bCs w:val="1"/>
                <w:color w:val="auto"/>
              </w:rPr>
              <w:t>Rents Receivable</w:t>
            </w:r>
          </w:p>
        </w:tc>
        <w:tc>
          <w:tcPr>
            <w:tcW w:w="800" w:type="dxa"/>
            <w:vAlign w:val="bottom"/>
          </w:tcPr>
          <w:p>
            <w:pPr>
              <w:spacing w:after="0"/>
              <w:rPr>
                <w:sz w:val="10"/>
                <w:szCs w:val="10"/>
                <w:color w:val="auto"/>
              </w:rPr>
            </w:pPr>
          </w:p>
        </w:tc>
        <w:tc>
          <w:tcPr>
            <w:tcW w:w="1500" w:type="dxa"/>
            <w:vAlign w:val="bottom"/>
          </w:tcPr>
          <w:p>
            <w:pPr>
              <w:jc w:val="right"/>
              <w:ind w:right="874"/>
              <w:spacing w:after="0" w:line="121" w:lineRule="exact"/>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40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1,015,479</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1,028,253</w:t>
            </w:r>
          </w:p>
        </w:tc>
        <w:tc>
          <w:tcPr>
            <w:tcW w:w="0" w:type="dxa"/>
            <w:vAlign w:val="bottom"/>
          </w:tcPr>
          <w:p>
            <w:pPr>
              <w:spacing w:after="0"/>
              <w:rPr>
                <w:sz w:val="1"/>
                <w:szCs w:val="1"/>
                <w:color w:val="auto"/>
              </w:rPr>
            </w:pPr>
          </w:p>
        </w:tc>
      </w:tr>
      <w:tr>
        <w:trPr>
          <w:trHeight w:val="229"/>
        </w:trPr>
        <w:tc>
          <w:tcPr>
            <w:tcW w:w="14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987,785</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1,019,433</w:t>
            </w:r>
          </w:p>
        </w:tc>
        <w:tc>
          <w:tcPr>
            <w:tcW w:w="0" w:type="dxa"/>
            <w:vAlign w:val="bottom"/>
          </w:tcPr>
          <w:p>
            <w:pPr>
              <w:spacing w:after="0"/>
              <w:rPr>
                <w:sz w:val="1"/>
                <w:szCs w:val="1"/>
                <w:color w:val="auto"/>
              </w:rPr>
            </w:pPr>
          </w:p>
        </w:tc>
      </w:tr>
      <w:tr>
        <w:trPr>
          <w:trHeight w:val="229"/>
        </w:trPr>
        <w:tc>
          <w:tcPr>
            <w:tcW w:w="140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962,333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1,002,733</w:t>
            </w:r>
          </w:p>
        </w:tc>
        <w:tc>
          <w:tcPr>
            <w:tcW w:w="0" w:type="dxa"/>
            <w:vAlign w:val="bottom"/>
          </w:tcPr>
          <w:p>
            <w:pPr>
              <w:spacing w:after="0"/>
              <w:rPr>
                <w:sz w:val="1"/>
                <w:szCs w:val="1"/>
                <w:color w:val="auto"/>
              </w:rPr>
            </w:pPr>
          </w:p>
        </w:tc>
      </w:tr>
      <w:tr>
        <w:trPr>
          <w:trHeight w:val="229"/>
        </w:trPr>
        <w:tc>
          <w:tcPr>
            <w:tcW w:w="14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930,017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969,550</w:t>
            </w:r>
          </w:p>
        </w:tc>
        <w:tc>
          <w:tcPr>
            <w:tcW w:w="0" w:type="dxa"/>
            <w:vAlign w:val="bottom"/>
          </w:tcPr>
          <w:p>
            <w:pPr>
              <w:spacing w:after="0"/>
              <w:rPr>
                <w:sz w:val="1"/>
                <w:szCs w:val="1"/>
                <w:color w:val="auto"/>
              </w:rPr>
            </w:pPr>
          </w:p>
        </w:tc>
      </w:tr>
      <w:tr>
        <w:trPr>
          <w:trHeight w:val="229"/>
        </w:trPr>
        <w:tc>
          <w:tcPr>
            <w:tcW w:w="140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931,378</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969,791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12,488,695</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217,662</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12,784,915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17,315,687</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333,061</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125,927</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17,774,675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20" w:firstLine="647"/>
        <w:spacing w:after="0" w:line="265" w:lineRule="auto"/>
        <w:rPr>
          <w:sz w:val="20"/>
          <w:szCs w:val="20"/>
          <w:color w:val="auto"/>
        </w:rPr>
      </w:pPr>
      <w:r>
        <w:rPr>
          <w:rFonts w:ascii="Times New Roman" w:cs="Times New Roman" w:eastAsia="Times New Roman" w:hAnsi="Times New Roman"/>
          <w:sz w:val="18"/>
          <w:szCs w:val="18"/>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For further details on these tenant paid ground leases, refer to Note 9.</w:t>
      </w:r>
    </w:p>
    <w:p>
      <w:pPr>
        <w:spacing w:after="0" w:line="110" w:lineRule="exact"/>
        <w:rPr>
          <w:sz w:val="20"/>
          <w:szCs w:val="20"/>
          <w:color w:val="auto"/>
        </w:rPr>
      </w:pPr>
    </w:p>
    <w:p>
      <w:pPr>
        <w:jc w:val="both"/>
        <w:ind w:right="140" w:firstLine="647"/>
        <w:spacing w:after="0" w:line="265" w:lineRule="auto"/>
        <w:rPr>
          <w:sz w:val="20"/>
          <w:szCs w:val="20"/>
          <w:color w:val="auto"/>
        </w:rPr>
      </w:pPr>
      <w:r>
        <w:rPr>
          <w:rFonts w:ascii="Times New Roman" w:cs="Times New Roman" w:eastAsia="Times New Roman" w:hAnsi="Times New Roman"/>
          <w:sz w:val="18"/>
          <w:szCs w:val="18"/>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During the years ended December 31, 2020 and 2019, the Company recognized interest income from these real estate loans of $19.1 million and $28.9 million, respectively.</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Gaming, Food, Beverage and Other Revenues</w:t>
      </w:r>
    </w:p>
    <w:p>
      <w:pPr>
        <w:spacing w:after="0" w:line="148" w:lineRule="exact"/>
        <w:rPr>
          <w:sz w:val="20"/>
          <w:szCs w:val="20"/>
          <w:color w:val="auto"/>
        </w:rPr>
      </w:pPr>
    </w:p>
    <w:p>
      <w:pPr>
        <w:ind w:right="100" w:firstLine="647"/>
        <w:spacing w:after="0" w:line="256" w:lineRule="auto"/>
        <w:rPr>
          <w:sz w:val="20"/>
          <w:szCs w:val="20"/>
          <w:color w:val="auto"/>
        </w:rPr>
      </w:pPr>
      <w:r>
        <w:rPr>
          <w:rFonts w:ascii="Times New Roman" w:cs="Times New Roman" w:eastAsia="Times New Roman" w:hAnsi="Times New Roman"/>
          <w:sz w:val="18"/>
          <w:szCs w:val="18"/>
          <w:color w:val="auto"/>
        </w:rPr>
        <w:t>Gaming revenue generated by the TRS Properties mainly consists of revenue from slot machines, and to a lesser extent, table game and poker revenue. Gaming revenue is recognized net of certain sales incentives, including promotional allowances in accordance with ASC 606. The Company also defers a portion of the revenue received from customers (who participate in the points-based loyalty programs) at the time of play until a later period when the points are redeemed or forfeited. Other revenues at our TRS Properties are derived from our dining, retail and certain other ancillary activities. During the years ended December 31, 2020 and 2019, the Company recognized gaming, food, beverage and other revenue of $103.0 million and $128.4 million, respectively.</w:t>
      </w:r>
    </w:p>
    <w:p>
      <w:pPr>
        <w:spacing w:after="0" w:line="3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61" w:lineRule="exact"/>
        <w:rPr>
          <w:sz w:val="20"/>
          <w:szCs w:val="20"/>
          <w:color w:val="auto"/>
        </w:rPr>
      </w:pPr>
    </w:p>
    <w:p>
      <w:pPr>
        <w:ind w:right="280" w:firstLine="647"/>
        <w:spacing w:after="0" w:line="260" w:lineRule="auto"/>
        <w:rPr>
          <w:sz w:val="20"/>
          <w:szCs w:val="20"/>
          <w:color w:val="auto"/>
        </w:rPr>
      </w:pPr>
      <w:r>
        <w:rPr>
          <w:rFonts w:ascii="Times New Roman" w:cs="Times New Roman" w:eastAsia="Times New Roman" w:hAnsi="Times New Roman"/>
          <w:sz w:val="18"/>
          <w:szCs w:val="18"/>
          <w:color w:val="auto"/>
        </w:rPr>
        <w:t>As of December 31, 2020, the Company had 4,111,073 shares available for future issuance under the Amended 2013 Long Term Incentive Compensation Plan (the "2013 Plan"). The 2013 Plan provides for the Company to issue restricted stock awards, including performance-based restricted stock awards and other equity or cash based awards to employees. Any director, employee or consultant shall be eligible to receive such awards. The Company issues new authorized common shares to satisfy stock option exercises and restricted stock award releases.</w:t>
      </w:r>
    </w:p>
    <w:p>
      <w:pPr>
        <w:spacing w:after="0" w:line="101"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As of December 31, 2020, there was $3.2 million of total unrecognized compensation cost for restricted stock awards that will be recognized over the grants' remaining weighted average vesting period of 1.59 years. For the years ended December 31, 2020, 2019 and 2018, the Company recognized $9.3 million, $7.5 million and $4.7 million, respectively, of compensation expense associated with these awards. The total fair value of awards released during the years ended December 31, 2020, 2019 and 2018, was $13.7 million, $10.1 million and $10.0 million, respectively.</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contains information on restricted stock award activity for the years ended December 31, 2020 and 2019:</w:t>
      </w:r>
    </w:p>
    <w:p>
      <w:pPr>
        <w:spacing w:after="0" w:line="271"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35"/>
        </w:trPr>
        <w:tc>
          <w:tcPr>
            <w:tcW w:w="5000" w:type="dxa"/>
            <w:vAlign w:val="bottom"/>
          </w:tcPr>
          <w:p>
            <w:pPr>
              <w:spacing w:after="0"/>
              <w:rPr>
                <w:sz w:val="11"/>
                <w:szCs w:val="11"/>
                <w:color w:val="auto"/>
              </w:rPr>
            </w:pPr>
          </w:p>
        </w:tc>
        <w:tc>
          <w:tcPr>
            <w:tcW w:w="1260" w:type="dxa"/>
            <w:vAlign w:val="bottom"/>
          </w:tcPr>
          <w:p>
            <w:pPr>
              <w:jc w:val="right"/>
              <w:ind w:right="335"/>
              <w:spacing w:after="0" w:line="135" w:lineRule="exact"/>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4"/>
                <w:szCs w:val="14"/>
                <w:b w:val="1"/>
                <w:bCs w:val="1"/>
                <w:color w:val="auto"/>
              </w:rPr>
              <w:t>Grant-Date Fair</w:t>
            </w:r>
          </w:p>
        </w:tc>
      </w:tr>
      <w:tr>
        <w:trPr>
          <w:trHeight w:val="188"/>
        </w:trPr>
        <w:tc>
          <w:tcPr>
            <w:tcW w:w="5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32" w:lineRule="exact"/>
        <w:rPr>
          <w:sz w:val="20"/>
          <w:szCs w:val="20"/>
          <w:color w:val="auto"/>
        </w:rPr>
      </w:pPr>
    </w:p>
    <w:p>
      <w:pPr>
        <w:ind w:right="100" w:firstLine="647"/>
        <w:spacing w:after="0" w:line="253" w:lineRule="auto"/>
        <w:rPr>
          <w:sz w:val="20"/>
          <w:szCs w:val="20"/>
          <w:color w:val="auto"/>
        </w:rPr>
      </w:pPr>
      <w:r>
        <w:rPr>
          <w:rFonts w:ascii="Times New Roman" w:cs="Times New Roman" w:eastAsia="Times New Roman" w:hAnsi="Times New Roman"/>
          <w:sz w:val="18"/>
          <w:szCs w:val="18"/>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and meet a minimum market capitalization. As of December 31, 2020, there was $9.0 million of total unrecognized compensation cost for performance-based restricted stock awards, which will be recognized over the awards' remaining weighted average vesting period of 1.73 years. For the years ended December 31, 2020, 2019 and 2018, the Company recognized $10.7 million, $8.7 million and $6.4 million, respectively, of compensation expense associated with these awards. The total fair value of performance-based stock awards released during the years ended December 31, 2020, 2019, and 2018 was $23.4 million, $14.7 million, and $20.1 million respectively.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The following table contains information on performance-based restricted stock award activity for the years ended December 31, 2020 and 2019:</w:t>
      </w:r>
    </w:p>
    <w:p>
      <w:pPr>
        <w:spacing w:after="0" w:line="27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Performance-Based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8"/>
        </w:trPr>
        <w:tc>
          <w:tcPr>
            <w:tcW w:w="494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Award Shares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22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29"/>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2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29"/>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(131,673)</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4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1,193,994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48" w:lineRule="exact"/>
        <w:rPr>
          <w:sz w:val="20"/>
          <w:szCs w:val="20"/>
          <w:color w:val="auto"/>
        </w:rPr>
      </w:pPr>
    </w:p>
    <w:p>
      <w:pPr>
        <w:ind w:firstLine="647"/>
        <w:spacing w:after="0" w:line="276" w:lineRule="auto"/>
        <w:rPr>
          <w:sz w:val="20"/>
          <w:szCs w:val="20"/>
          <w:color w:val="auto"/>
        </w:rPr>
      </w:pPr>
      <w:r>
        <w:rPr>
          <w:rFonts w:ascii="Times New Roman" w:cs="Times New Roman" w:eastAsia="Times New Roman" w:hAnsi="Times New Roman"/>
          <w:sz w:val="17"/>
          <w:szCs w:val="17"/>
          <w:color w:val="auto"/>
        </w:rPr>
        <w:t>The Company elected on its U.S. federal income tax return for its taxable year that began on January 1, 2014 to be treated as a REIT. The benefits of the intended REIT conversion on the Company's tax provision and effective income tax rate are reflected in the tables below. Deferred tax assets and liabilities are provided for the effects of temporary differences between the tax basis of an asset or liability and its reported amount in the consolidated balance sheets. These temporary differences result in taxable or deductible amounts in future years. As a result of the Tax Cuts and Jobs Act, the corporate tax rate was permanently lowered from the previous maximum rate of 35% to 21%, effective for tax years including or commencing January 1, 2018.</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3"/>
                <w:szCs w:val="13"/>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29"/>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3"/>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The carrying amounts of deferred tax assets have been reduced by a valuation allowance if, based on the available evidence, it is more likely than not that such assets will not be realized. In assessing the requirement for, and amount of, a valuation allowance in accordance with the more likely than not standard for all periods, the Company gives appropriate consideration to all positive and negative evidence related to the realization of the deferred tax assets.</w:t>
      </w:r>
    </w:p>
    <w:p>
      <w:pPr>
        <w:spacing w:after="0" w:line="249" w:lineRule="exact"/>
        <w:rPr>
          <w:sz w:val="20"/>
          <w:szCs w:val="20"/>
          <w:color w:val="auto"/>
        </w:rPr>
      </w:pPr>
    </w:p>
    <w:p>
      <w:pPr>
        <w:ind w:right="260" w:firstLine="647"/>
        <w:spacing w:after="0" w:line="281" w:lineRule="auto"/>
        <w:rPr>
          <w:sz w:val="20"/>
          <w:szCs w:val="20"/>
          <w:color w:val="auto"/>
        </w:rPr>
      </w:pPr>
      <w:r>
        <w:rPr>
          <w:rFonts w:ascii="Times New Roman" w:cs="Times New Roman" w:eastAsia="Times New Roman" w:hAnsi="Times New Roman"/>
          <w:sz w:val="18"/>
          <w:szCs w:val="18"/>
          <w:color w:val="auto"/>
        </w:rPr>
        <w:t>As of December 31, 2020, the valuation allowance against deferred tax assets was $1.7 million. The valuation allowance balance is associated mainly with net operating losses, disallowed interest expense carryforward, and other additional deferred tax assets.</w:t>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The provision for income taxes charged to operations for years ended December 31, 2020, 2019 and 2018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3"/>
                <w:szCs w:val="13"/>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23"/>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23"/>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647"/>
        <w:spacing w:after="0" w:line="281" w:lineRule="auto"/>
        <w:rPr>
          <w:sz w:val="20"/>
          <w:szCs w:val="20"/>
          <w:color w:val="auto"/>
        </w:rPr>
      </w:pPr>
      <w:r>
        <w:rPr>
          <w:rFonts w:ascii="Times New Roman" w:cs="Times New Roman" w:eastAsia="Times New Roman" w:hAnsi="Times New Roman"/>
          <w:sz w:val="18"/>
          <w:szCs w:val="18"/>
          <w:color w:val="auto"/>
        </w:rPr>
        <w:t>The following tables reconcile the statutory federal income tax rate to the actual effective income tax rate for the years ended December 31, 2020, 2019 and 2018:</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3"/>
                <w:szCs w:val="13"/>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pretax income</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REIT conversion benefit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miscellaneous items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00"/>
        </w:trPr>
        <w:tc>
          <w:tcPr>
            <w:tcW w:w="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24"/>
                <w:szCs w:val="24"/>
                <w:color w:val="auto"/>
              </w:rPr>
            </w:pPr>
          </w:p>
        </w:tc>
        <w:tc>
          <w:tcPr>
            <w:tcW w:w="96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based upon pretax income</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federal statutory income tax</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83,086</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72,341</w:t>
            </w:r>
          </w:p>
        </w:tc>
        <w:tc>
          <w:tcPr>
            <w:tcW w:w="13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2,246</w:t>
            </w:r>
          </w:p>
        </w:tc>
        <w:tc>
          <w:tcPr>
            <w:tcW w:w="13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REIT conversion benefit</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(82,151)</w:t>
            </w:r>
          </w:p>
        </w:tc>
        <w:tc>
          <w:tcPr>
            <w:tcW w:w="13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12,485</w:t>
            </w:r>
          </w:p>
        </w:tc>
        <w:tc>
          <w:tcPr>
            <w:tcW w:w="13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Permanent differences</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340" w:type="dxa"/>
            <w:vAlign w:val="bottom"/>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miscellaneous items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4,964</w:t>
            </w:r>
          </w:p>
        </w:tc>
        <w:tc>
          <w:tcPr>
            <w:tcW w:w="13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still subject to federal income tax examinations for its years ended December 31, 2016 and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38"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255" w:lineRule="exact"/>
        <w:rPr>
          <w:sz w:val="20"/>
          <w:szCs w:val="20"/>
          <w:color w:val="auto"/>
        </w:rPr>
      </w:pPr>
    </w:p>
    <w:p>
      <w:pPr>
        <w:ind w:right="320" w:firstLine="647"/>
        <w:spacing w:after="0" w:line="281" w:lineRule="auto"/>
        <w:rPr>
          <w:sz w:val="20"/>
          <w:szCs w:val="20"/>
          <w:color w:val="auto"/>
        </w:rPr>
      </w:pPr>
      <w:r>
        <w:rPr>
          <w:rFonts w:ascii="Times New Roman" w:cs="Times New Roman" w:eastAsia="Times New Roman" w:hAnsi="Times New Roman"/>
          <w:sz w:val="18"/>
          <w:szCs w:val="18"/>
          <w:color w:val="auto"/>
        </w:rPr>
        <w:t>The following table reconciles the weighted-average common shares outstanding used in the calculation of basic EPS to the weighted-average common shares outstanding used in the calculation of diluted EPS for the years ended December 31, 2020, 2019 and 2018:</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9"/>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Determination of shares: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218,817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conversion of employee stock-based awards</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conversion of restricted stock awards</w:t>
            </w:r>
          </w:p>
        </w:tc>
        <w:tc>
          <w:tcPr>
            <w:tcW w:w="3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conversion of performance-based restricted stock awards</w:t>
            </w:r>
          </w:p>
        </w:tc>
        <w:tc>
          <w:tcPr>
            <w:tcW w:w="360" w:type="dxa"/>
            <w:vAlign w:val="bottom"/>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6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219,773</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5"/>
        </w:trPr>
        <w:tc>
          <w:tcPr>
            <w:tcW w:w="1120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EPS for the Company’s common stock for the years ended December 31, 2020,</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2019 and 2018:</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center"/>
              <w:ind w:left="8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40" w:type="dxa"/>
            <w:vAlign w:val="bottom"/>
            <w:gridSpan w:val="1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Calculation of basic EPS: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505,711</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339,516</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allocated to participating securities</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505,128</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339,041</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218,817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213,720</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Calculation of diluted EPS:</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505,711</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339,516</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214,779</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56"/>
        </w:trPr>
        <w:tc>
          <w:tcPr>
            <w:tcW w:w="6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Antidilutive securities excluded from the computation of diluted earnings per share (in</w:t>
            </w: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5"/>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13,335</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5"/>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Shareholders' Equity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5" w:lineRule="exact"/>
        <w:rPr>
          <w:sz w:val="20"/>
          <w:szCs w:val="20"/>
          <w:color w:val="auto"/>
        </w:rPr>
      </w:pPr>
    </w:p>
    <w:p>
      <w:pPr>
        <w:ind w:right="20" w:firstLine="647"/>
        <w:spacing w:after="0" w:line="253" w:lineRule="auto"/>
        <w:rPr>
          <w:sz w:val="20"/>
          <w:szCs w:val="20"/>
          <w:color w:val="auto"/>
        </w:rPr>
      </w:pPr>
      <w:r>
        <w:rPr>
          <w:rFonts w:ascii="Times New Roman" w:cs="Times New Roman" w:eastAsia="Times New Roman" w:hAnsi="Times New Roman"/>
          <w:sz w:val="18"/>
          <w:szCs w:val="18"/>
          <w:color w:val="auto"/>
        </w:rPr>
        <w:t>On August 14, 2019, the Company commenced a continuous equity offering under which the Company may sell up to an aggregate of $600 million of its common stock from time to time through a sales agent in "at the market" offerings (the "2019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2019 ATM Program. The 2019 ATM Program also allows the Company to enter into forward sale agreements. In no event will the aggregate number of shares sold under the 2019 ATM Program (whether under any forward sale agreement or through a sales agent), have an aggregate sales price in excess of $600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97" w:name="page98"/>
    <w:bookmarkEnd w:id="97"/>
    <w:p>
      <w:pPr>
        <w:ind w:firstLine="647"/>
        <w:spacing w:after="0" w:line="265" w:lineRule="auto"/>
        <w:rPr>
          <w:sz w:val="20"/>
          <w:szCs w:val="20"/>
          <w:color w:val="auto"/>
        </w:rPr>
      </w:pPr>
      <w:r>
        <w:rPr>
          <w:rFonts w:ascii="Times New Roman" w:cs="Times New Roman" w:eastAsia="Times New Roman" w:hAnsi="Times New Roman"/>
          <w:sz w:val="18"/>
          <w:szCs w:val="18"/>
          <w:color w:val="auto"/>
        </w:rPr>
        <w:t>In connection with the 2019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37" w:lineRule="exact"/>
        <w:rPr>
          <w:sz w:val="20"/>
          <w:szCs w:val="20"/>
          <w:color w:val="auto"/>
        </w:rPr>
      </w:pPr>
    </w:p>
    <w:p>
      <w:pPr>
        <w:ind w:right="140" w:firstLine="647"/>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GLPI sold 7,971 shares of its common stock at an average price of $45.90 per share under the 2019 ATM Program, which generated gross proceeds of approximately $0.4 million (net proceeds of approximately $0.2 million). Program commencement to date, the Company has sold 9,471 shares of its common stock at an average price of $45.46 per share and generated gross proceeds of approximately $0.4 million (net costs of approximately $0.1 million). As of December 31, 2020, the Company had $599.6 million remaining for issuance under the 2019 ATM Program and had not entered into any forward sale agreements.</w:t>
      </w:r>
    </w:p>
    <w:p>
      <w:pPr>
        <w:spacing w:after="0" w:line="209" w:lineRule="exact"/>
        <w:rPr>
          <w:sz w:val="20"/>
          <w:szCs w:val="20"/>
          <w:color w:val="auto"/>
        </w:rPr>
      </w:pPr>
    </w:p>
    <w:p>
      <w:pPr>
        <w:ind w:right="300" w:firstLine="647"/>
        <w:spacing w:after="0" w:line="281" w:lineRule="auto"/>
        <w:rPr>
          <w:sz w:val="20"/>
          <w:szCs w:val="20"/>
          <w:color w:val="auto"/>
        </w:rPr>
      </w:pPr>
      <w:r>
        <w:rPr>
          <w:rFonts w:ascii="Times New Roman" w:cs="Times New Roman" w:eastAsia="Times New Roman" w:hAnsi="Times New Roman"/>
          <w:sz w:val="18"/>
          <w:szCs w:val="18"/>
          <w:color w:val="auto"/>
        </w:rPr>
        <w:t>During the fourth quarter of 2020, the Company issued 9.2 million shares of common stock at $36.25 per share to partially finance the funding required for the upcoming Bally's transaction. See Note 7 for further details.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lists the regular dividends declared and paid by the Company during the years ended December 31, 2020, 2019 and 2018:</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19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Shareholder Record Date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19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Period Covered</w:t>
            </w:r>
          </w:p>
        </w:tc>
        <w:tc>
          <w:tcPr>
            <w:tcW w:w="19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Distribution Date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 Amount</w:t>
            </w:r>
          </w:p>
        </w:tc>
        <w:tc>
          <w:tcPr>
            <w:tcW w:w="0" w:type="dxa"/>
            <w:vAlign w:val="bottom"/>
          </w:tcPr>
          <w:p>
            <w:pPr>
              <w:spacing w:after="0"/>
              <w:rPr>
                <w:sz w:val="1"/>
                <w:szCs w:val="1"/>
                <w:color w:val="auto"/>
              </w:rPr>
            </w:pPr>
          </w:p>
        </w:tc>
      </w:tr>
      <w:tr>
        <w:trPr>
          <w:trHeight w:val="189"/>
        </w:trPr>
        <w:tc>
          <w:tcPr>
            <w:tcW w:w="1920" w:type="dxa"/>
            <w:vAlign w:val="bottom"/>
            <w:gridSpan w:val="3"/>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92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w w:val="97"/>
              </w:rPr>
              <w:t>(1)</w:t>
            </w:r>
          </w:p>
        </w:tc>
        <w:tc>
          <w:tcPr>
            <w:tcW w:w="0" w:type="dxa"/>
            <w:vAlign w:val="bottom"/>
          </w:tcPr>
          <w:p>
            <w:pPr>
              <w:spacing w:after="0"/>
              <w:rPr>
                <w:sz w:val="1"/>
                <w:szCs w:val="1"/>
                <w:color w:val="auto"/>
              </w:rPr>
            </w:pPr>
          </w:p>
        </w:tc>
      </w:tr>
      <w:tr>
        <w:trPr>
          <w:trHeight w:val="207"/>
        </w:trPr>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03"/>
        </w:trPr>
        <w:tc>
          <w:tcPr>
            <w:tcW w:w="3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93"/>
              </w:rPr>
              <w:t>2020</w:t>
            </w: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February 20, 2020</w:t>
            </w:r>
          </w:p>
        </w:tc>
        <w:tc>
          <w:tcPr>
            <w:tcW w:w="1920" w:type="dxa"/>
            <w:vAlign w:val="bottom"/>
            <w:tcBorders>
              <w:top w:val="single" w:sz="8" w:color="CCEEFF"/>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March 6, 2020</w:t>
            </w:r>
          </w:p>
        </w:tc>
        <w:tc>
          <w:tcPr>
            <w:tcW w:w="1100" w:type="dxa"/>
            <w:vAlign w:val="bottom"/>
            <w:tcBorders>
              <w:top w:val="single" w:sz="8" w:color="CCEEFF"/>
            </w:tcBorders>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top w:val="single" w:sz="8" w:color="CCEEFF"/>
            </w:tcBorders>
          </w:tcPr>
          <w:p>
            <w:pPr>
              <w:spacing w:after="0"/>
              <w:rPr>
                <w:sz w:val="14"/>
                <w:szCs w:val="14"/>
                <w:color w:val="auto"/>
              </w:rPr>
            </w:pPr>
          </w:p>
        </w:tc>
        <w:tc>
          <w:tcPr>
            <w:tcW w:w="192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First Quarter 2020</w:t>
            </w:r>
          </w:p>
        </w:tc>
        <w:tc>
          <w:tcPr>
            <w:tcW w:w="1920" w:type="dxa"/>
            <w:vAlign w:val="bottom"/>
            <w:tcBorders>
              <w:top w:val="single" w:sz="8" w:color="CCEEFF"/>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March 20, 2020</w:t>
            </w: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150,574</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April 29, 2020</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May 13, 2020</w:t>
            </w:r>
          </w:p>
        </w:tc>
        <w:tc>
          <w:tcPr>
            <w:tcW w:w="1100" w:type="dxa"/>
            <w:vAlign w:val="bottom"/>
            <w:gridSpan w:val="2"/>
            <w:shd w:val="clear" w:color="auto" w:fill="CCEEFF"/>
          </w:tcPr>
          <w:p>
            <w:pPr>
              <w:jc w:val="center"/>
              <w:ind w:right="140"/>
              <w:spacing w:after="0" w:line="165"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Second Quarter 2020</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26, 2020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129,071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August 6, 2020</w:t>
            </w:r>
          </w:p>
        </w:tc>
        <w:tc>
          <w:tcPr>
            <w:tcW w:w="1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August 17, 2020</w:t>
            </w:r>
          </w:p>
        </w:tc>
        <w:tc>
          <w:tcPr>
            <w:tcW w:w="11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 Quarter 2020</w:t>
            </w:r>
          </w:p>
        </w:tc>
        <w:tc>
          <w:tcPr>
            <w:tcW w:w="1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September 25, 2020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130,697</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5, 2020</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16, 2020</w:t>
            </w:r>
          </w:p>
        </w:tc>
        <w:tc>
          <w:tcPr>
            <w:tcW w:w="1100" w:type="dxa"/>
            <w:vAlign w:val="bottom"/>
            <w:gridSpan w:val="2"/>
            <w:shd w:val="clear" w:color="auto" w:fill="CCEEFF"/>
          </w:tcPr>
          <w:p>
            <w:pPr>
              <w:jc w:val="center"/>
              <w:ind w:right="140"/>
              <w:spacing w:after="0" w:line="165"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Fourth Quarter 2020</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December 24, 2020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137,943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3"/>
              </w:rPr>
              <w:t>2019</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19, 2019</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March 8, 2019</w:t>
            </w:r>
          </w:p>
        </w:tc>
        <w:tc>
          <w:tcPr>
            <w:tcW w:w="1100" w:type="dxa"/>
            <w:vAlign w:val="bottom"/>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Quarter 2019</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March 22, 2019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145,954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May 28, 2019</w:t>
            </w:r>
          </w:p>
        </w:tc>
        <w:tc>
          <w:tcPr>
            <w:tcW w:w="1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June 14, 2019</w:t>
            </w:r>
          </w:p>
        </w:tc>
        <w:tc>
          <w:tcPr>
            <w:tcW w:w="11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Second Quarter 2019</w:t>
            </w:r>
          </w:p>
        </w:tc>
        <w:tc>
          <w:tcPr>
            <w:tcW w:w="1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June 28, 2019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145,978</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August 20, 2019</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September 6, 2019</w:t>
            </w:r>
          </w:p>
        </w:tc>
        <w:tc>
          <w:tcPr>
            <w:tcW w:w="1100" w:type="dxa"/>
            <w:vAlign w:val="bottom"/>
            <w:gridSpan w:val="2"/>
            <w:shd w:val="clear" w:color="auto" w:fill="CCEEFF"/>
          </w:tcPr>
          <w:p>
            <w:pPr>
              <w:jc w:val="center"/>
              <w:ind w:right="140"/>
              <w:spacing w:after="0" w:line="165"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Quarter 2019</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September 20, 2019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145,984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November 26, 2019</w:t>
            </w:r>
          </w:p>
        </w:tc>
        <w:tc>
          <w:tcPr>
            <w:tcW w:w="1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December 13, 2019</w:t>
            </w:r>
          </w:p>
        </w:tc>
        <w:tc>
          <w:tcPr>
            <w:tcW w:w="11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Fourth Quarter 2019</w:t>
            </w:r>
          </w:p>
        </w:tc>
        <w:tc>
          <w:tcPr>
            <w:tcW w:w="1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December 27, 2019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150,285</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3"/>
              </w:rPr>
              <w:t>2018</w:t>
            </w: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February 1, 2018</w:t>
            </w:r>
          </w:p>
        </w:tc>
        <w:tc>
          <w:tcPr>
            <w:tcW w:w="1920" w:type="dxa"/>
            <w:vAlign w:val="bottom"/>
            <w:tcBorders>
              <w:top w:val="single" w:sz="8" w:color="CCEEFF"/>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March 9, 2018</w:t>
            </w:r>
          </w:p>
        </w:tc>
        <w:tc>
          <w:tcPr>
            <w:tcW w:w="1100" w:type="dxa"/>
            <w:vAlign w:val="bottom"/>
            <w:tcBorders>
              <w:top w:val="single" w:sz="8" w:color="CCEEFF"/>
            </w:tcBorders>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Borders>
              <w:top w:val="single" w:sz="8" w:color="CCEEFF"/>
            </w:tcBorders>
          </w:tcPr>
          <w:p>
            <w:pPr>
              <w:spacing w:after="0"/>
              <w:rPr>
                <w:sz w:val="14"/>
                <w:szCs w:val="14"/>
                <w:color w:val="auto"/>
              </w:rPr>
            </w:pPr>
          </w:p>
        </w:tc>
        <w:tc>
          <w:tcPr>
            <w:tcW w:w="192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First Quarter 2018</w:t>
            </w:r>
          </w:p>
        </w:tc>
        <w:tc>
          <w:tcPr>
            <w:tcW w:w="1920" w:type="dxa"/>
            <w:vAlign w:val="bottom"/>
            <w:tcBorders>
              <w:top w:val="single" w:sz="8" w:color="CCEEFF"/>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March 23, 2018</w:t>
            </w: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134,490</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April 24, 2018</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15, 2018</w:t>
            </w:r>
          </w:p>
        </w:tc>
        <w:tc>
          <w:tcPr>
            <w:tcW w:w="1100" w:type="dxa"/>
            <w:vAlign w:val="bottom"/>
            <w:gridSpan w:val="2"/>
            <w:shd w:val="clear" w:color="auto" w:fill="CCEEFF"/>
          </w:tcPr>
          <w:p>
            <w:pPr>
              <w:jc w:val="center"/>
              <w:ind w:right="140"/>
              <w:spacing w:after="0" w:line="165"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Second Quarter 2018</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29, 2018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134,631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July 31, 2018</w:t>
            </w:r>
          </w:p>
        </w:tc>
        <w:tc>
          <w:tcPr>
            <w:tcW w:w="1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September 7, 2018</w:t>
            </w:r>
          </w:p>
        </w:tc>
        <w:tc>
          <w:tcPr>
            <w:tcW w:w="11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 Quarter 2018</w:t>
            </w:r>
          </w:p>
        </w:tc>
        <w:tc>
          <w:tcPr>
            <w:tcW w:w="1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September 21, 2018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134,844</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October 12, 2018</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December 14, 2018</w:t>
            </w:r>
          </w:p>
        </w:tc>
        <w:tc>
          <w:tcPr>
            <w:tcW w:w="1100" w:type="dxa"/>
            <w:vAlign w:val="bottom"/>
            <w:gridSpan w:val="2"/>
            <w:shd w:val="clear" w:color="auto" w:fill="CCEEFF"/>
          </w:tcPr>
          <w:p>
            <w:pPr>
              <w:jc w:val="center"/>
              <w:ind w:right="140"/>
              <w:spacing w:after="0" w:line="165" w:lineRule="exact"/>
              <w:rPr>
                <w:sz w:val="20"/>
                <w:szCs w:val="20"/>
                <w:color w:val="auto"/>
              </w:rPr>
            </w:pPr>
            <w:r>
              <w:rPr>
                <w:rFonts w:ascii="Times New Roman" w:cs="Times New Roman" w:eastAsia="Times New Roman" w:hAnsi="Times New Roman"/>
                <w:sz w:val="16"/>
                <w:szCs w:val="16"/>
                <w:color w:val="auto"/>
              </w:rPr>
              <w:t>Common</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Fourth Quarter 2018</w:t>
            </w:r>
          </w:p>
        </w:tc>
        <w:tc>
          <w:tcPr>
            <w:tcW w:w="1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December 28, 2018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145,627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60" w:firstLine="655"/>
        <w:spacing w:after="0" w:line="260" w:lineRule="auto"/>
        <w:tabs>
          <w:tab w:leader="none" w:pos="9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distributed on June 26, 2020 was paid $25.8 million in cash and $103.2 million in stock (2,697,946 shares at $38.2643). Dividend distributed on September 25, 2020 was paid $26.2 million in cash and $104.5 million in stock (2,767,704 shares at $37.7635). Dividend distributed on December 24, 2020 was paid $27.6 million in cash and $110.3 million in stock (2,543,675 shares at $43.3758). For accounting purposes, since the Company is in an accumulated deficit position the value of the stock dividend was recorded at its par value.</w:t>
      </w:r>
    </w:p>
    <w:p>
      <w:pPr>
        <w:spacing w:after="0" w:line="209" w:lineRule="exact"/>
        <w:rPr>
          <w:sz w:val="20"/>
          <w:szCs w:val="20"/>
          <w:color w:val="auto"/>
        </w:rPr>
      </w:pPr>
    </w:p>
    <w:p>
      <w:pPr>
        <w:ind w:right="140" w:firstLine="647"/>
        <w:spacing w:after="0" w:line="245" w:lineRule="auto"/>
        <w:rPr>
          <w:sz w:val="20"/>
          <w:szCs w:val="20"/>
          <w:color w:val="auto"/>
        </w:rPr>
      </w:pPr>
      <w:r>
        <w:rPr>
          <w:rFonts w:ascii="Times New Roman" w:cs="Times New Roman" w:eastAsia="Times New Roman" w:hAnsi="Times New Roman"/>
          <w:sz w:val="18"/>
          <w:szCs w:val="18"/>
          <w:color w:val="auto"/>
        </w:rPr>
        <w:t>In addition, for the years ended December 31, 2020, 2019 and 2018, dividend payments were made to GLPI restricted stock award holders in the amount of $0.8 million, $0.9 million and $0.8 million, respectively. Dividends distributed to the Company's employees on June 26, 2020 were paid $33 thousand in cash and $153 thousand in stock (4,006 shares at $38.2643). Dividends distributed to the Company's employees on September 25, 2020 were paid $32 thousand in cash and $217 thousand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8" w:name="page99"/>
    <w:bookmarkEnd w:id="98"/>
    <w:p>
      <w:pPr>
        <w:spacing w:after="0" w:line="266" w:lineRule="auto"/>
        <w:rPr>
          <w:sz w:val="20"/>
          <w:szCs w:val="20"/>
          <w:color w:val="auto"/>
        </w:rPr>
      </w:pPr>
      <w:r>
        <w:rPr>
          <w:rFonts w:ascii="Times New Roman" w:cs="Times New Roman" w:eastAsia="Times New Roman" w:hAnsi="Times New Roman"/>
          <w:sz w:val="18"/>
          <w:szCs w:val="18"/>
          <w:color w:val="auto"/>
        </w:rPr>
        <w:t>in stock (5,746 shares at$37.7635). Dividends distributed to the Company's employees on December 24, 2020 were paid $34 thousand in cash and $118 thousand in stock (2,722 shares at $43.3758).</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common stock distributions for the years ended December 31, 2020, 2019 and 2018 is as follows (unaudited):</w:t>
      </w:r>
    </w:p>
    <w:p>
      <w:pPr>
        <w:spacing w:after="0" w:line="391"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rPr>
                <w:sz w:val="16"/>
                <w:szCs w:val="16"/>
                <w:color w:val="auto"/>
              </w:rPr>
            </w:pPr>
          </w:p>
        </w:tc>
      </w:tr>
      <w:tr>
        <w:trPr>
          <w:trHeight w:val="182"/>
        </w:trPr>
        <w:tc>
          <w:tcPr>
            <w:tcW w:w="46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46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dollars per share)</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Qualified dividends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0.0387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0.0391</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dividends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2.4517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2.2649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2.2955</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gains</w:t>
            </w:r>
          </w:p>
        </w:tc>
        <w:tc>
          <w:tcPr>
            <w:tcW w:w="44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0.0353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0.0270</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return of capital</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0.0458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0.4011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0.2084</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distributions per common share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classified as qualified dividends</w:t>
            </w:r>
          </w:p>
        </w:tc>
        <w:tc>
          <w:tcPr>
            <w:tcW w:w="440" w:type="dxa"/>
            <w:vAlign w:val="bottom"/>
          </w:tcPr>
          <w:p>
            <w:pPr>
              <w:spacing w:after="0"/>
              <w:rPr>
                <w:sz w:val="19"/>
                <w:szCs w:val="19"/>
                <w:color w:val="auto"/>
              </w:rPr>
            </w:pP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classified as non-qualified dividends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89.32 %</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classified as capital gains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classified as non-taxable return of capital</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14.64 %</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8.11 %</w:t>
            </w:r>
          </w:p>
        </w:tc>
      </w:tr>
      <w:tr>
        <w:trPr>
          <w:trHeight w:val="223"/>
        </w:trPr>
        <w:tc>
          <w:tcPr>
            <w:tcW w:w="46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4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890" w:right="6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229" w:lineRule="exact"/>
        <w:rPr>
          <w:sz w:val="20"/>
          <w:szCs w:val="20"/>
          <w:color w:val="auto"/>
        </w:rPr>
      </w:pPr>
    </w:p>
    <w:p>
      <w:pPr>
        <w:ind w:right="620" w:firstLine="647"/>
        <w:spacing w:after="0" w:line="281" w:lineRule="auto"/>
        <w:rPr>
          <w:sz w:val="20"/>
          <w:szCs w:val="20"/>
          <w:color w:val="auto"/>
        </w:rPr>
      </w:pPr>
      <w:r>
        <w:rPr>
          <w:rFonts w:ascii="Times New Roman" w:cs="Times New Roman" w:eastAsia="Times New Roman" w:hAnsi="Times New Roman"/>
          <w:sz w:val="18"/>
          <w:szCs w:val="18"/>
          <w:color w:val="auto"/>
        </w:rPr>
        <w:t>The following tables present certain information with respect to the Company’s segments. Intersegment revenues between the Company’s segments were not material in any of the periods presented below.</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GLP Capital</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xml:space="preserve">TRS Segment </w:t>
            </w:r>
            <w:r>
              <w:rPr>
                <w:rFonts w:ascii="Times New Roman" w:cs="Times New Roman" w:eastAsia="Times New Roman" w:hAnsi="Times New Roman"/>
                <w:sz w:val="18"/>
                <w:szCs w:val="18"/>
                <w:b w:val="1"/>
                <w:bCs w:val="1"/>
                <w:color w:val="auto"/>
                <w:vertAlign w:val="superscript"/>
              </w:rPr>
              <w:t>(1)</w:t>
            </w:r>
          </w:p>
        </w:tc>
        <w:tc>
          <w:tcPr>
            <w:tcW w:w="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2"/>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1,050,166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102,999</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1,153,165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792,467</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16,807</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809,274</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266,163</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15,979</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282,142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508,757</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831</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509,588</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697</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3,180</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508,060</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(2,349)</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505,711</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222,041</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8,932</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230,973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project expenditures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474</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2,944</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162"/>
        </w:trPr>
        <w:tc>
          <w:tcPr>
            <w:tcW w:w="5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1,025,082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128,391</w:t>
            </w: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1,153,473</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694,215</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23,208</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717,423</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291,114</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10,406</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301,520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382,841</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12,804</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395,645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4,107</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382,184</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8,697</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390,881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232,708</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7,727</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240,435</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project expenditures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2,995</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16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923,182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132,545</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1,055,727</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630,122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(36,312)</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593,810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237,278</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10,406</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247,684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391,196</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(46,716)</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4,109</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390,341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(50,825)</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339,516</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127,696</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9,397</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project expenditures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4,229</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r>
      <w:tr>
        <w:trPr>
          <w:trHeight w:val="162"/>
        </w:trPr>
        <w:tc>
          <w:tcPr>
            <w:tcW w:w="5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at December 31, 2020</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8,590,190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444,178</w:t>
            </w: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9,034,368</w:t>
            </w:r>
          </w:p>
        </w:tc>
      </w:tr>
      <w:tr>
        <w:trPr>
          <w:trHeight w:val="16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at December 31, 2019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8,299,143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135,155</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8,434,298</w:t>
            </w:r>
          </w:p>
        </w:tc>
      </w:tr>
    </w:tbl>
    <w:p>
      <w:pPr>
        <w:spacing w:after="0" w:line="297"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Results for the year ended December 31, 2020 include depreciation expense of $2.7 million associated with Tropicana Las Vegas.</w:t>
      </w:r>
    </w:p>
    <w:p>
      <w:pPr>
        <w:spacing w:after="0" w:line="224"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265"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expense is net of intercompany interest eliminations of $16.0 million for the year ended December 31, 2020 compared to $10.4 million for each of the years ended December 31, 2019 and 2018.</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100" w:name="page101"/>
    <w:bookmarkEnd w:id="100"/>
    <w:p>
      <w:pPr>
        <w:ind w:left="660" w:right="5000" w:hanging="652"/>
        <w:spacing w:after="0" w:line="615" w:lineRule="auto"/>
        <w:tabs>
          <w:tab w:leader="none" w:pos="377" w:val="left"/>
        </w:tabs>
        <w:numPr>
          <w:ilvl w:val="0"/>
          <w:numId w:val="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7"/>
          <w:szCs w:val="17"/>
          <w:b w:val="1"/>
          <w:bCs w:val="1"/>
          <w:color w:val="auto"/>
        </w:rPr>
        <w:t xml:space="preserve">Supplemental Disclosures of Cash Flow Information and Noncash Activities </w:t>
      </w:r>
      <w:r>
        <w:rPr>
          <w:rFonts w:ascii="Times New Roman" w:cs="Times New Roman" w:eastAsia="Times New Roman" w:hAnsi="Times New Roman"/>
          <w:sz w:val="17"/>
          <w:szCs w:val="17"/>
          <w:color w:val="auto"/>
        </w:rPr>
        <w:t>Supplemental disclosures of cash flow information are as follows:</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3"/>
                <w:szCs w:val="13"/>
                <w:color w:val="auto"/>
              </w:rPr>
            </w:pPr>
          </w:p>
        </w:tc>
        <w:tc>
          <w:tcPr>
            <w:tcW w:w="140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3"/>
                <w:szCs w:val="13"/>
                <w:color w:val="auto"/>
              </w:rPr>
            </w:pPr>
          </w:p>
        </w:tc>
        <w:tc>
          <w:tcPr>
            <w:tcW w:w="156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3"/>
                <w:szCs w:val="13"/>
                <w:color w:val="auto"/>
              </w:rPr>
            </w:pPr>
          </w:p>
        </w:tc>
        <w:tc>
          <w:tcPr>
            <w:tcW w:w="140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0"/>
        </w:trPr>
        <w:tc>
          <w:tcPr>
            <w:tcW w:w="4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3,383</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5,554</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r>
      <w:tr>
        <w:trPr>
          <w:trHeight w:val="234"/>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40" w:type="dxa"/>
            <w:vAlign w:val="bottom"/>
          </w:tcPr>
          <w:p>
            <w:pPr>
              <w:spacing w:after="0"/>
              <w:rPr>
                <w:sz w:val="20"/>
                <w:szCs w:val="20"/>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261,127</w:t>
            </w:r>
          </w:p>
        </w:tc>
        <w:tc>
          <w:tcPr>
            <w:tcW w:w="3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274,530</w:t>
            </w:r>
          </w:p>
        </w:tc>
        <w:tc>
          <w:tcPr>
            <w:tcW w:w="5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229,779</w:t>
            </w:r>
          </w:p>
        </w:tc>
      </w:tr>
    </w:tbl>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p>
      <w:pPr>
        <w:spacing w:after="0" w:line="255" w:lineRule="exact"/>
        <w:rPr>
          <w:sz w:val="20"/>
          <w:szCs w:val="20"/>
          <w:color w:val="auto"/>
        </w:rPr>
      </w:pPr>
    </w:p>
    <w:p>
      <w:pPr>
        <w:ind w:firstLine="647"/>
        <w:spacing w:after="0" w:line="254" w:lineRule="auto"/>
        <w:rPr>
          <w:sz w:val="20"/>
          <w:szCs w:val="20"/>
          <w:color w:val="auto"/>
        </w:rPr>
      </w:pPr>
      <w:r>
        <w:rPr>
          <w:rFonts w:ascii="Times New Roman" w:cs="Times New Roman" w:eastAsia="Times New Roman" w:hAnsi="Times New Roman"/>
          <w:sz w:val="18"/>
          <w:szCs w:val="18"/>
          <w:color w:val="auto"/>
        </w:rPr>
        <w:t>On January 1, 2019, in conjunction with its adoption of ASU 2016-02, the Company recorded right-of-use assets and related lease liabilities of $203 million on its consolidated balance sheet to represent its rights to underlying assets and future lease obligations. In 2020, the Company acquired from Penn the real property associated with the Tropicana Las Vegas in exchange for rent credits of $307.5 million and the land at Penn's development facility in Morgantown, Pennsylvania for rent credits of $30.0 million. For the year ended December 31, 2020, the Company also acquired the real property of Belterra Park in satisfaction of the Belterra Park Loan of $57.7 million held on the property, subject to the Belterra Park Lease and acquired the real property of Lumière Place in satisfaction of the $246.0 million CZR loan subject to the Lumière Place Lease. In addition, as described in Note 7, the Company entered into an Exchange Agreement pursuant to which Caesars transferred to the Company the real estate assets of Waterloo and Bettendorf for the real estate assets of Tropicana Evansville and a cash payment of $5.7 million.</w:t>
      </w:r>
    </w:p>
    <w:p>
      <w:pPr>
        <w:spacing w:after="0" w:line="216" w:lineRule="exact"/>
        <w:rPr>
          <w:sz w:val="20"/>
          <w:szCs w:val="20"/>
          <w:color w:val="auto"/>
        </w:rPr>
      </w:pPr>
    </w:p>
    <w:p>
      <w:pPr>
        <w:ind w:right="180" w:firstLine="647"/>
        <w:spacing w:after="0" w:line="281" w:lineRule="auto"/>
        <w:rPr>
          <w:sz w:val="20"/>
          <w:szCs w:val="20"/>
          <w:color w:val="auto"/>
        </w:rPr>
      </w:pPr>
      <w:r>
        <w:rPr>
          <w:rFonts w:ascii="Times New Roman" w:cs="Times New Roman" w:eastAsia="Times New Roman" w:hAnsi="Times New Roman"/>
          <w:sz w:val="18"/>
          <w:szCs w:val="18"/>
          <w:color w:val="auto"/>
        </w:rPr>
        <w:t>Finally, see Note 18 for a description of the stock dividend that has been distributed in 2020. The Company did not engage in any other noncash investing and financing activities during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8" w:right="39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REAL ESTATE ASSETS AND ACCUMULATED DEPRECIATION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vMerge w:val="restart"/>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Initial Cost to Company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8"/>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Gross Amount at which Carried at Close of</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Life on</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7"/>
              </w:rPr>
              <w:t>which</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w w:val="98"/>
              </w:rPr>
              <w:t>Capitalized</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Original</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6"/>
              </w:rPr>
              <w:t>Depreciation</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w w:val="92"/>
              </w:rPr>
              <w:t>Costs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7"/>
              </w:rPr>
              <w:t>in Latest</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Land and</w:t>
            </w:r>
          </w:p>
        </w:tc>
        <w:tc>
          <w:tcPr>
            <w:tcW w:w="7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2"/>
                <w:szCs w:val="12"/>
                <w:b w:val="1"/>
                <w:bCs w:val="1"/>
                <w:color w:val="auto"/>
                <w:w w:val="98"/>
              </w:rPr>
              <w:t>Buildings and</w:t>
            </w:r>
          </w:p>
        </w:tc>
        <w:tc>
          <w:tcPr>
            <w:tcW w:w="80" w:type="dxa"/>
            <w:vAlign w:val="bottom"/>
          </w:tcPr>
          <w:p>
            <w:pPr>
              <w:spacing w:after="0"/>
              <w:rPr>
                <w:sz w:val="9"/>
                <w:szCs w:val="9"/>
                <w:color w:val="auto"/>
              </w:rPr>
            </w:pPr>
          </w:p>
        </w:tc>
        <w:tc>
          <w:tcPr>
            <w:tcW w:w="82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w w:val="96"/>
              </w:rPr>
              <w:t>(Retirements)</w:t>
            </w:r>
          </w:p>
        </w:tc>
        <w:tc>
          <w:tcPr>
            <w:tcW w:w="120" w:type="dxa"/>
            <w:vAlign w:val="bottom"/>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Land and</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Buildings and</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8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w w:val="97"/>
              </w:rPr>
              <w:t>Date of</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4"/>
              </w:rPr>
              <w:t>Income</w:t>
            </w:r>
          </w:p>
        </w:tc>
        <w:tc>
          <w:tcPr>
            <w:tcW w:w="0" w:type="dxa"/>
            <w:vAlign w:val="bottom"/>
          </w:tcPr>
          <w:p>
            <w:pPr>
              <w:spacing w:after="0"/>
              <w:rPr>
                <w:sz w:val="1"/>
                <w:szCs w:val="1"/>
                <w:color w:val="auto"/>
              </w:rPr>
            </w:pPr>
          </w:p>
        </w:tc>
      </w:tr>
      <w:tr>
        <w:trPr>
          <w:trHeight w:val="108"/>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80" w:type="dxa"/>
            <w:vAlign w:val="bottom"/>
            <w:vMerge w:val="restart"/>
          </w:tcPr>
          <w:p>
            <w:pPr>
              <w:spacing w:after="0"/>
              <w:rPr>
                <w:sz w:val="9"/>
                <w:szCs w:val="9"/>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80" w:type="dxa"/>
            <w:vAlign w:val="bottom"/>
            <w:vMerge w:val="restart"/>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Encumbrances</w:t>
            </w:r>
          </w:p>
        </w:tc>
        <w:tc>
          <w:tcPr>
            <w:tcW w:w="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w w:val="96"/>
              </w:rPr>
              <w:t>Subsequent to</w:t>
            </w: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56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 xml:space="preserve">Total </w:t>
            </w:r>
            <w:r>
              <w:rPr>
                <w:rFonts w:ascii="Times New Roman" w:cs="Times New Roman" w:eastAsia="Times New Roman" w:hAnsi="Times New Roman"/>
                <w:sz w:val="15"/>
                <w:szCs w:val="15"/>
                <w:b w:val="1"/>
                <w:bCs w:val="1"/>
                <w:color w:val="auto"/>
                <w:vertAlign w:val="superscript"/>
              </w:rPr>
              <w:t>(6)</w:t>
            </w:r>
          </w:p>
        </w:tc>
        <w:tc>
          <w:tcPr>
            <w:tcW w:w="80" w:type="dxa"/>
            <w:vAlign w:val="bottom"/>
            <w:vMerge w:val="restart"/>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w w:val="97"/>
              </w:rPr>
              <w:t>Construction /</w:t>
            </w: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5"/>
              </w:rPr>
              <w:t>Statement is</w:t>
            </w:r>
          </w:p>
        </w:tc>
        <w:tc>
          <w:tcPr>
            <w:tcW w:w="0" w:type="dxa"/>
            <w:vAlign w:val="bottom"/>
          </w:tcPr>
          <w:p>
            <w:pPr>
              <w:spacing w:after="0"/>
              <w:rPr>
                <w:sz w:val="1"/>
                <w:szCs w:val="1"/>
                <w:color w:val="auto"/>
              </w:rPr>
            </w:pPr>
          </w:p>
        </w:tc>
      </w:tr>
      <w:tr>
        <w:trPr>
          <w:trHeight w:val="148"/>
        </w:trPr>
        <w:tc>
          <w:tcPr>
            <w:tcW w:w="12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Improvements</w:t>
            </w:r>
          </w:p>
        </w:tc>
        <w:tc>
          <w:tcPr>
            <w:tcW w:w="80" w:type="dxa"/>
            <w:vAlign w:val="bottom"/>
          </w:tcPr>
          <w:p>
            <w:pPr>
              <w:spacing w:after="0"/>
              <w:rPr>
                <w:sz w:val="12"/>
                <w:szCs w:val="12"/>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Improvements</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8"/>
              </w:rPr>
              <w:t>Acquisition</w:t>
            </w:r>
          </w:p>
        </w:tc>
        <w:tc>
          <w:tcPr>
            <w:tcW w:w="80" w:type="dxa"/>
            <w:vAlign w:val="bottom"/>
          </w:tcPr>
          <w:p>
            <w:pPr>
              <w:spacing w:after="0"/>
              <w:rPr>
                <w:sz w:val="12"/>
                <w:szCs w:val="12"/>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Improvements</w:t>
            </w:r>
          </w:p>
        </w:tc>
        <w:tc>
          <w:tcPr>
            <w:tcW w:w="80" w:type="dxa"/>
            <w:vAlign w:val="bottom"/>
          </w:tcPr>
          <w:p>
            <w:pPr>
              <w:spacing w:after="0"/>
              <w:rPr>
                <w:sz w:val="12"/>
                <w:szCs w:val="12"/>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6"/>
              </w:rPr>
              <w:t>Improvements</w:t>
            </w:r>
          </w:p>
        </w:tc>
        <w:tc>
          <w:tcPr>
            <w:tcW w:w="8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w w:val="99"/>
              </w:rPr>
              <w:t>Depreciation</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Renovation</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Acquire</w:t>
            </w:r>
            <w:r>
              <w:rPr>
                <w:rFonts w:ascii="Times New Roman" w:cs="Times New Roman" w:eastAsia="Times New Roman" w:hAnsi="Times New Roman"/>
                <w:sz w:val="12"/>
                <w:szCs w:val="12"/>
                <w:color w:val="auto"/>
                <w:w w:val="97"/>
              </w:rPr>
              <w:t>d</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Computed</w:t>
            </w:r>
          </w:p>
        </w:tc>
        <w:tc>
          <w:tcPr>
            <w:tcW w:w="0" w:type="dxa"/>
            <w:vAlign w:val="bottom"/>
          </w:tcPr>
          <w:p>
            <w:pPr>
              <w:spacing w:after="0"/>
              <w:rPr>
                <w:sz w:val="1"/>
                <w:szCs w:val="1"/>
                <w:color w:val="auto"/>
              </w:rPr>
            </w:pPr>
          </w:p>
        </w:tc>
      </w:tr>
      <w:tr>
        <w:trPr>
          <w:trHeight w:val="152"/>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Rental Properties: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Hollywood Casino</w:t>
            </w:r>
          </w:p>
        </w:tc>
        <w:tc>
          <w:tcPr>
            <w:tcW w:w="88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Lawrenceburg,</w:t>
            </w:r>
          </w:p>
        </w:tc>
        <w:tc>
          <w:tcPr>
            <w:tcW w:w="360" w:type="dxa"/>
            <w:vAlign w:val="bottom"/>
            <w:vMerge w:val="restart"/>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15,251</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342,393</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15,222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342,392</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9"/>
              </w:rPr>
              <w:t>$ 357,614</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163,370</w:t>
            </w:r>
          </w:p>
        </w:tc>
        <w:tc>
          <w:tcPr>
            <w:tcW w:w="840" w:type="dxa"/>
            <w:vAlign w:val="bottom"/>
            <w:gridSpan w:val="2"/>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color w:val="auto"/>
                <w:w w:val="97"/>
              </w:rPr>
              <w:t>1997/2009</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Lawrenceburg</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w:t>
            </w:r>
          </w:p>
        </w:tc>
        <w:tc>
          <w:tcPr>
            <w:tcW w:w="360" w:type="dxa"/>
            <w:vAlign w:val="bottom"/>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Aurora, IL</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4,937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98,378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4,936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97,996</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102,932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72,868</w:t>
            </w:r>
          </w:p>
        </w:tc>
        <w:tc>
          <w:tcPr>
            <w:tcW w:w="840" w:type="dxa"/>
            <w:vAlign w:val="bottom"/>
            <w:gridSpan w:val="2"/>
          </w:tcPr>
          <w:p>
            <w:pPr>
              <w:jc w:val="center"/>
              <w:ind w:left="22"/>
              <w:spacing w:after="0" w:line="122" w:lineRule="exact"/>
              <w:rPr>
                <w:sz w:val="20"/>
                <w:szCs w:val="20"/>
                <w:color w:val="auto"/>
              </w:rPr>
            </w:pPr>
            <w:r>
              <w:rPr>
                <w:rFonts w:ascii="Times New Roman" w:cs="Times New Roman" w:eastAsia="Times New Roman" w:hAnsi="Times New Roman"/>
                <w:sz w:val="12"/>
                <w:szCs w:val="12"/>
                <w:color w:val="auto"/>
                <w:w w:val="95"/>
              </w:rPr>
              <w:t>1993/2002/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Aurora</w:t>
            </w: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2"/>
          </w:tcPr>
          <w:p>
            <w:pPr>
              <w:jc w:val="center"/>
              <w:ind w:left="22"/>
              <w:spacing w:after="0"/>
              <w:rPr>
                <w:sz w:val="20"/>
                <w:szCs w:val="20"/>
                <w:color w:val="auto"/>
              </w:rPr>
            </w:pPr>
            <w:r>
              <w:rPr>
                <w:rFonts w:ascii="Times New Roman" w:cs="Times New Roman" w:eastAsia="Times New Roman" w:hAnsi="Times New Roman"/>
                <w:sz w:val="12"/>
                <w:szCs w:val="12"/>
                <w:color w:val="auto"/>
                <w:w w:val="99"/>
              </w:rPr>
              <w:t>2012</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Hollywood Casino Joliet</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Joliet, IL</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19,214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101,104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19,194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101,104</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120,298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64,300</w:t>
            </w:r>
          </w:p>
        </w:tc>
        <w:tc>
          <w:tcPr>
            <w:tcW w:w="840" w:type="dxa"/>
            <w:vAlign w:val="bottom"/>
            <w:gridSpan w:val="2"/>
            <w:shd w:val="clear" w:color="auto" w:fill="CCEEFF"/>
          </w:tcPr>
          <w:p>
            <w:pPr>
              <w:jc w:val="center"/>
              <w:ind w:left="22"/>
              <w:spacing w:after="0" w:line="122" w:lineRule="exact"/>
              <w:rPr>
                <w:sz w:val="20"/>
                <w:szCs w:val="20"/>
                <w:color w:val="auto"/>
              </w:rPr>
            </w:pPr>
            <w:r>
              <w:rPr>
                <w:rFonts w:ascii="Times New Roman" w:cs="Times New Roman" w:eastAsia="Times New Roman" w:hAnsi="Times New Roman"/>
                <w:sz w:val="12"/>
                <w:szCs w:val="12"/>
                <w:color w:val="auto"/>
                <w:w w:val="95"/>
              </w:rPr>
              <w:t>1992/2003/</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2010</w:t>
            </w: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Argosy Casino Alton</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Alton, IL</w:t>
            </w:r>
          </w:p>
        </w:tc>
        <w:tc>
          <w:tcPr>
            <w:tcW w:w="36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6,462</w:t>
            </w:r>
          </w:p>
        </w:tc>
        <w:tc>
          <w:tcPr>
            <w:tcW w:w="8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6,462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4,741</w:t>
            </w:r>
          </w:p>
        </w:tc>
        <w:tc>
          <w:tcPr>
            <w:tcW w:w="840" w:type="dxa"/>
            <w:vAlign w:val="bottom"/>
            <w:gridSpan w:val="2"/>
          </w:tcPr>
          <w:p>
            <w:pPr>
              <w:jc w:val="center"/>
              <w:ind w:left="2"/>
              <w:spacing w:after="0"/>
              <w:rPr>
                <w:sz w:val="20"/>
                <w:szCs w:val="20"/>
                <w:color w:val="auto"/>
              </w:rPr>
            </w:pPr>
            <w:r>
              <w:rPr>
                <w:rFonts w:ascii="Times New Roman" w:cs="Times New Roman" w:eastAsia="Times New Roman" w:hAnsi="Times New Roman"/>
                <w:sz w:val="12"/>
                <w:szCs w:val="12"/>
                <w:color w:val="auto"/>
                <w:w w:val="97"/>
              </w:rPr>
              <w:t>1991/1999</w:t>
            </w: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25"/>
        </w:trPr>
        <w:tc>
          <w:tcPr>
            <w:tcW w:w="1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Hollywood Casino</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Toledo, OH</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12,003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144,093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11,802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144,093</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155,895</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45,379</w:t>
            </w:r>
          </w:p>
        </w:tc>
        <w:tc>
          <w:tcPr>
            <w:tcW w:w="840" w:type="dxa"/>
            <w:vAlign w:val="bottom"/>
            <w:gridSpan w:val="2"/>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2012</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Toledo</w:t>
            </w:r>
          </w:p>
        </w:tc>
        <w:tc>
          <w:tcPr>
            <w:tcW w:w="88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Columbus, OH</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38,240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188,543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38,266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188,622</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226,888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60,259</w:t>
            </w:r>
          </w:p>
        </w:tc>
        <w:tc>
          <w:tcPr>
            <w:tcW w:w="840" w:type="dxa"/>
            <w:vAlign w:val="bottom"/>
            <w:gridSpan w:val="2"/>
            <w:vMerge w:val="restart"/>
          </w:tcPr>
          <w:p>
            <w:pPr>
              <w:jc w:val="center"/>
              <w:ind w:left="22"/>
              <w:spacing w:after="0"/>
              <w:rPr>
                <w:sz w:val="20"/>
                <w:szCs w:val="20"/>
                <w:color w:val="auto"/>
              </w:rPr>
            </w:pPr>
            <w:r>
              <w:rPr>
                <w:rFonts w:ascii="Times New Roman" w:cs="Times New Roman" w:eastAsia="Times New Roman" w:hAnsi="Times New Roman"/>
                <w:sz w:val="12"/>
                <w:szCs w:val="12"/>
                <w:color w:val="auto"/>
                <w:w w:val="99"/>
              </w:rPr>
              <w:t>2012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Columbus</w:t>
            </w: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 at</w:t>
            </w:r>
          </w:p>
        </w:tc>
        <w:tc>
          <w:tcPr>
            <w:tcW w:w="8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Charles Town,</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35,102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233,069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35,102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233,069</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268,171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146,579</w:t>
            </w:r>
          </w:p>
        </w:tc>
        <w:tc>
          <w:tcPr>
            <w:tcW w:w="840" w:type="dxa"/>
            <w:vAlign w:val="bottom"/>
            <w:gridSpan w:val="2"/>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color w:val="auto"/>
                <w:w w:val="97"/>
              </w:rPr>
              <w:t>1997/2010</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Charles Town Races</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WV</w:t>
            </w:r>
          </w:p>
        </w:tc>
        <w:tc>
          <w:tcPr>
            <w:tcW w:w="3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 at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2"/>
                <w:szCs w:val="12"/>
                <w:color w:val="auto"/>
              </w:rPr>
              <w:t>Penn National Race</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Grantville, PA</w:t>
            </w:r>
          </w:p>
        </w:tc>
        <w:tc>
          <w:tcPr>
            <w:tcW w:w="360" w:type="dxa"/>
            <w:vAlign w:val="bottom"/>
          </w:tcPr>
          <w:p>
            <w:pPr>
              <w:spacing w:after="0"/>
              <w:rPr>
                <w:sz w:val="9"/>
                <w:szCs w:val="9"/>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25,500</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161,810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25,500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161,810</w:t>
            </w:r>
          </w:p>
        </w:tc>
        <w:tc>
          <w:tcPr>
            <w:tcW w:w="80" w:type="dxa"/>
            <w:vAlign w:val="bottom"/>
          </w:tcPr>
          <w:p>
            <w:pPr>
              <w:spacing w:after="0"/>
              <w:rPr>
                <w:sz w:val="9"/>
                <w:szCs w:val="9"/>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187,310</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88,411</w:t>
            </w:r>
          </w:p>
        </w:tc>
        <w:tc>
          <w:tcPr>
            <w:tcW w:w="840" w:type="dxa"/>
            <w:vAlign w:val="bottom"/>
            <w:gridSpan w:val="2"/>
            <w:vMerge w:val="restart"/>
          </w:tcPr>
          <w:p>
            <w:pPr>
              <w:jc w:val="center"/>
              <w:ind w:left="2"/>
              <w:spacing w:after="0"/>
              <w:rPr>
                <w:sz w:val="20"/>
                <w:szCs w:val="20"/>
                <w:color w:val="auto"/>
              </w:rPr>
            </w:pPr>
            <w:r>
              <w:rPr>
                <w:rFonts w:ascii="Times New Roman" w:cs="Times New Roman" w:eastAsia="Times New Roman" w:hAnsi="Times New Roman"/>
                <w:sz w:val="12"/>
                <w:szCs w:val="12"/>
                <w:color w:val="auto"/>
                <w:w w:val="97"/>
              </w:rPr>
              <w:t>2008/2010</w:t>
            </w: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Course</w:t>
            </w: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 Resort</w:t>
            </w:r>
          </w:p>
        </w:tc>
        <w:tc>
          <w:tcPr>
            <w:tcW w:w="8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Henderson,</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66,104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126,689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65,668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126,689</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192,357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45,421</w:t>
            </w:r>
          </w:p>
        </w:tc>
        <w:tc>
          <w:tcPr>
            <w:tcW w:w="840" w:type="dxa"/>
            <w:vAlign w:val="bottom"/>
            <w:gridSpan w:val="2"/>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color w:val="auto"/>
                <w:w w:val="97"/>
              </w:rPr>
              <w:t>2009/2012</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48"/>
        </w:trPr>
        <w:tc>
          <w:tcPr>
            <w:tcW w:w="1300" w:type="dxa"/>
            <w:vAlign w:val="bottom"/>
            <w:gridSpan w:val="2"/>
            <w:vMerge w:val="continue"/>
            <w:shd w:val="clear" w:color="auto" w:fill="CCEEFF"/>
          </w:tcPr>
          <w:p>
            <w:pPr>
              <w:spacing w:after="0"/>
              <w:rPr>
                <w:sz w:val="12"/>
                <w:szCs w:val="12"/>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NV</w:t>
            </w:r>
          </w:p>
        </w:tc>
        <w:tc>
          <w:tcPr>
            <w:tcW w:w="3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Bangor, ME</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12,883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84,257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12,883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84,257</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97,140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38,102</w:t>
            </w:r>
          </w:p>
        </w:tc>
        <w:tc>
          <w:tcPr>
            <w:tcW w:w="840" w:type="dxa"/>
            <w:vAlign w:val="bottom"/>
            <w:gridSpan w:val="2"/>
            <w:vMerge w:val="restart"/>
          </w:tcPr>
          <w:p>
            <w:pPr>
              <w:jc w:val="center"/>
              <w:ind w:left="2"/>
              <w:spacing w:after="0"/>
              <w:rPr>
                <w:sz w:val="20"/>
                <w:szCs w:val="20"/>
                <w:color w:val="auto"/>
              </w:rPr>
            </w:pPr>
            <w:r>
              <w:rPr>
                <w:rFonts w:ascii="Times New Roman" w:cs="Times New Roman" w:eastAsia="Times New Roman" w:hAnsi="Times New Roman"/>
                <w:sz w:val="12"/>
                <w:szCs w:val="12"/>
                <w:color w:val="auto"/>
                <w:w w:val="97"/>
              </w:rPr>
              <w:t>2008/2012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Bangor</w:t>
            </w: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Zia Park Casino</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Hobbs, NM</w:t>
            </w:r>
          </w:p>
        </w:tc>
        <w:tc>
          <w:tcPr>
            <w:tcW w:w="3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38,947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38,947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48,260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23,174</w:t>
            </w:r>
          </w:p>
        </w:tc>
        <w:tc>
          <w:tcPr>
            <w:tcW w:w="8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2005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21"/>
        </w:trPr>
        <w:tc>
          <w:tcPr>
            <w:tcW w:w="13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 Gulf</w:t>
            </w:r>
          </w:p>
        </w:tc>
        <w:tc>
          <w:tcPr>
            <w:tcW w:w="8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Bay St. Louis,</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59,388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87,352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59,176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87,335</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146,511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56,358</w:t>
            </w:r>
          </w:p>
        </w:tc>
        <w:tc>
          <w:tcPr>
            <w:tcW w:w="840" w:type="dxa"/>
            <w:vAlign w:val="bottom"/>
            <w:gridSpan w:val="2"/>
          </w:tcPr>
          <w:p>
            <w:pPr>
              <w:jc w:val="center"/>
              <w:ind w:left="22"/>
              <w:spacing w:after="0" w:line="122" w:lineRule="exact"/>
              <w:rPr>
                <w:sz w:val="20"/>
                <w:szCs w:val="20"/>
                <w:color w:val="auto"/>
              </w:rPr>
            </w:pPr>
            <w:r>
              <w:rPr>
                <w:rFonts w:ascii="Times New Roman" w:cs="Times New Roman" w:eastAsia="Times New Roman" w:hAnsi="Times New Roman"/>
                <w:sz w:val="12"/>
                <w:szCs w:val="12"/>
                <w:color w:val="auto"/>
                <w:w w:val="95"/>
              </w:rPr>
              <w:t>1992/2006/</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Coast</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MS</w:t>
            </w:r>
          </w:p>
        </w:tc>
        <w:tc>
          <w:tcPr>
            <w:tcW w:w="3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2"/>
          </w:tcPr>
          <w:p>
            <w:pPr>
              <w:jc w:val="center"/>
              <w:ind w:left="22"/>
              <w:spacing w:after="0"/>
              <w:rPr>
                <w:sz w:val="20"/>
                <w:szCs w:val="20"/>
                <w:color w:val="auto"/>
              </w:rPr>
            </w:pPr>
            <w:r>
              <w:rPr>
                <w:rFonts w:ascii="Times New Roman" w:cs="Times New Roman" w:eastAsia="Times New Roman" w:hAnsi="Times New Roman"/>
                <w:sz w:val="12"/>
                <w:szCs w:val="12"/>
                <w:color w:val="auto"/>
                <w:w w:val="99"/>
              </w:rPr>
              <w:t>2011</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Argosy Casino Riverside</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Riverside, MO</w:t>
            </w:r>
          </w:p>
        </w:tc>
        <w:tc>
          <w:tcPr>
            <w:tcW w:w="3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23,468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143,301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143,301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166,692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72,307</w:t>
            </w:r>
          </w:p>
        </w:tc>
        <w:tc>
          <w:tcPr>
            <w:tcW w:w="84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color w:val="auto"/>
                <w:w w:val="97"/>
              </w:rPr>
              <w:t>1994/2007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21"/>
        </w:trPr>
        <w:tc>
          <w:tcPr>
            <w:tcW w:w="13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Tunica, MS</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4,634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42,031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4,634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42,031</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46,665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29,759</w:t>
            </w:r>
          </w:p>
        </w:tc>
        <w:tc>
          <w:tcPr>
            <w:tcW w:w="840" w:type="dxa"/>
            <w:vAlign w:val="bottom"/>
            <w:gridSpan w:val="2"/>
            <w:vMerge w:val="restart"/>
          </w:tcPr>
          <w:p>
            <w:pPr>
              <w:jc w:val="center"/>
              <w:ind w:left="2"/>
              <w:spacing w:after="0"/>
              <w:rPr>
                <w:sz w:val="20"/>
                <w:szCs w:val="20"/>
                <w:color w:val="auto"/>
              </w:rPr>
            </w:pPr>
            <w:r>
              <w:rPr>
                <w:rFonts w:ascii="Times New Roman" w:cs="Times New Roman" w:eastAsia="Times New Roman" w:hAnsi="Times New Roman"/>
                <w:sz w:val="12"/>
                <w:szCs w:val="12"/>
                <w:color w:val="auto"/>
                <w:w w:val="97"/>
              </w:rPr>
              <w:t>1994/2012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Tunica</w:t>
            </w: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Boomtown Biloxi</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Biloxi, MS</w:t>
            </w:r>
          </w:p>
        </w:tc>
        <w:tc>
          <w:tcPr>
            <w:tcW w:w="3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63,083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3,286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63,083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66,369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52,448</w:t>
            </w:r>
          </w:p>
        </w:tc>
        <w:tc>
          <w:tcPr>
            <w:tcW w:w="84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color w:val="auto"/>
                <w:w w:val="97"/>
              </w:rPr>
              <w:t>1994/2006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21"/>
        </w:trPr>
        <w:tc>
          <w:tcPr>
            <w:tcW w:w="13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w:t>
            </w:r>
          </w:p>
        </w:tc>
        <w:tc>
          <w:tcPr>
            <w:tcW w:w="8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Maryland</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44,198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177,063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(3,239)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40,959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177,063</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218,022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98,929</w:t>
            </w:r>
          </w:p>
        </w:tc>
        <w:tc>
          <w:tcPr>
            <w:tcW w:w="840" w:type="dxa"/>
            <w:vAlign w:val="bottom"/>
            <w:gridSpan w:val="2"/>
            <w:vMerge w:val="restart"/>
          </w:tcPr>
          <w:p>
            <w:pPr>
              <w:jc w:val="center"/>
              <w:ind w:left="2"/>
              <w:spacing w:after="0"/>
              <w:rPr>
                <w:sz w:val="20"/>
                <w:szCs w:val="20"/>
                <w:color w:val="auto"/>
              </w:rPr>
            </w:pPr>
            <w:r>
              <w:rPr>
                <w:rFonts w:ascii="Times New Roman" w:cs="Times New Roman" w:eastAsia="Times New Roman" w:hAnsi="Times New Roman"/>
                <w:sz w:val="12"/>
                <w:szCs w:val="12"/>
                <w:color w:val="auto"/>
                <w:w w:val="97"/>
              </w:rPr>
              <w:t>1997/2013</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 Louis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Heights, MO</w:t>
            </w:r>
          </w:p>
        </w:tc>
        <w:tc>
          <w:tcPr>
            <w:tcW w:w="3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 at</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Dayton, OH</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3,211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86,288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3,211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86,288</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89,499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17,732</w:t>
            </w:r>
          </w:p>
        </w:tc>
        <w:tc>
          <w:tcPr>
            <w:tcW w:w="840" w:type="dxa"/>
            <w:vAlign w:val="bottom"/>
            <w:gridSpan w:val="2"/>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2014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Dayton Raceway</w:t>
            </w:r>
          </w:p>
        </w:tc>
        <w:tc>
          <w:tcPr>
            <w:tcW w:w="88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 at</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Youngstown,</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2"/>
                <w:szCs w:val="12"/>
                <w:color w:val="auto"/>
              </w:rPr>
              <w:t>Mahoning Valley</w:t>
            </w:r>
          </w:p>
        </w:tc>
        <w:tc>
          <w:tcPr>
            <w:tcW w:w="8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5,683</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94,314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5,833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94,164</w:t>
            </w:r>
          </w:p>
        </w:tc>
        <w:tc>
          <w:tcPr>
            <w:tcW w:w="80" w:type="dxa"/>
            <w:vAlign w:val="bottom"/>
          </w:tcPr>
          <w:p>
            <w:pPr>
              <w:spacing w:after="0"/>
              <w:rPr>
                <w:sz w:val="9"/>
                <w:szCs w:val="9"/>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99,997</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19,113</w:t>
            </w:r>
          </w:p>
        </w:tc>
        <w:tc>
          <w:tcPr>
            <w:tcW w:w="840" w:type="dxa"/>
            <w:vAlign w:val="bottom"/>
            <w:gridSpan w:val="2"/>
            <w:vMerge w:val="restart"/>
          </w:tcPr>
          <w:p>
            <w:pPr>
              <w:jc w:val="center"/>
              <w:ind w:left="22"/>
              <w:spacing w:after="0"/>
              <w:rPr>
                <w:sz w:val="20"/>
                <w:szCs w:val="20"/>
                <w:color w:val="auto"/>
              </w:rPr>
            </w:pPr>
            <w:r>
              <w:rPr>
                <w:rFonts w:ascii="Times New Roman" w:cs="Times New Roman" w:eastAsia="Times New Roman" w:hAnsi="Times New Roman"/>
                <w:sz w:val="12"/>
                <w:szCs w:val="12"/>
                <w:color w:val="auto"/>
                <w:w w:val="99"/>
              </w:rPr>
              <w:t>2014</w:t>
            </w: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11/1/2013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2"/>
                <w:szCs w:val="12"/>
                <w:color w:val="auto"/>
              </w:rPr>
              <w:t xml:space="preserve">Race Track </w:t>
            </w:r>
            <w:r>
              <w:rPr>
                <w:rFonts w:ascii="Times New Roman" w:cs="Times New Roman" w:eastAsia="Times New Roman" w:hAnsi="Times New Roman"/>
                <w:sz w:val="15"/>
                <w:szCs w:val="15"/>
                <w:color w:val="auto"/>
                <w:vertAlign w:val="superscript"/>
              </w:rPr>
              <w:t>(1)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OH</w:t>
            </w:r>
          </w:p>
        </w:tc>
        <w:tc>
          <w:tcPr>
            <w:tcW w:w="3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Resorts Casino Tunica</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Tunica, MS</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12,860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(12,860)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center"/>
              <w:ind w:left="22"/>
              <w:spacing w:after="0" w:line="122" w:lineRule="exact"/>
              <w:rPr>
                <w:sz w:val="20"/>
                <w:szCs w:val="20"/>
                <w:color w:val="auto"/>
              </w:rPr>
            </w:pPr>
            <w:r>
              <w:rPr>
                <w:rFonts w:ascii="Times New Roman" w:cs="Times New Roman" w:eastAsia="Times New Roman" w:hAnsi="Times New Roman"/>
                <w:sz w:val="12"/>
                <w:szCs w:val="12"/>
                <w:color w:val="auto"/>
                <w:w w:val="95"/>
              </w:rPr>
              <w:t>1994/1996/</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5/1/2017</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8"/>
        </w:trPr>
        <w:tc>
          <w:tcPr>
            <w:tcW w:w="130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4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color w:val="auto"/>
                <w:w w:val="97"/>
              </w:rPr>
              <w:t>2005/2014</w:t>
            </w: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2"/>
                <w:szCs w:val="12"/>
                <w:color w:val="auto"/>
              </w:rPr>
              <w:t>1</w:t>
            </w:r>
            <w:r>
              <w:rPr>
                <w:rFonts w:ascii="Times New Roman" w:cs="Times New Roman" w:eastAsia="Times New Roman" w:hAnsi="Times New Roman"/>
                <w:sz w:val="15"/>
                <w:szCs w:val="15"/>
                <w:color w:val="auto"/>
                <w:vertAlign w:val="superscript"/>
              </w:rPr>
              <w:t>st</w:t>
            </w:r>
            <w:r>
              <w:rPr>
                <w:rFonts w:ascii="Times New Roman" w:cs="Times New Roman" w:eastAsia="Times New Roman" w:hAnsi="Times New Roman"/>
                <w:sz w:val="12"/>
                <w:szCs w:val="12"/>
                <w:color w:val="auto"/>
              </w:rPr>
              <w:t xml:space="preserve"> Jackpot Casino</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Tunica, MS</w:t>
            </w:r>
          </w:p>
        </w:tc>
        <w:tc>
          <w:tcPr>
            <w:tcW w:w="36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10,100</w:t>
            </w:r>
          </w:p>
        </w:tc>
        <w:tc>
          <w:tcPr>
            <w:tcW w:w="8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1,356</w:t>
            </w:r>
          </w:p>
        </w:tc>
        <w:tc>
          <w:tcPr>
            <w:tcW w:w="840" w:type="dxa"/>
            <w:vAlign w:val="bottom"/>
            <w:gridSpan w:val="2"/>
          </w:tcPr>
          <w:p>
            <w:pPr>
              <w:jc w:val="center"/>
              <w:ind w:left="22"/>
              <w:spacing w:after="0"/>
              <w:rPr>
                <w:sz w:val="20"/>
                <w:szCs w:val="20"/>
                <w:color w:val="auto"/>
              </w:rPr>
            </w:pPr>
            <w:r>
              <w:rPr>
                <w:rFonts w:ascii="Times New Roman" w:cs="Times New Roman" w:eastAsia="Times New Roman" w:hAnsi="Times New Roman"/>
                <w:sz w:val="12"/>
                <w:szCs w:val="12"/>
                <w:color w:val="auto"/>
                <w:w w:val="99"/>
              </w:rPr>
              <w:t>1995</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5/1/2017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21"/>
        </w:trPr>
        <w:tc>
          <w:tcPr>
            <w:tcW w:w="1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Ameristar Black Hawk</w:t>
            </w:r>
          </w:p>
        </w:tc>
        <w:tc>
          <w:tcPr>
            <w:tcW w:w="8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Black Hawk,</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243,092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334,024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243,092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334,024</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577,116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24,886</w:t>
            </w:r>
          </w:p>
        </w:tc>
        <w:tc>
          <w:tcPr>
            <w:tcW w:w="840" w:type="dxa"/>
            <w:vAlign w:val="bottom"/>
            <w:gridSpan w:val="2"/>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2000</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4/28/2016</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00" w:type="dxa"/>
            <w:vAlign w:val="bottom"/>
            <w:gridSpan w:val="2"/>
            <w:vMerge w:val="continue"/>
            <w:shd w:val="clear" w:color="auto" w:fill="CCEEFF"/>
          </w:tcPr>
          <w:p>
            <w:pPr>
              <w:spacing w:after="0"/>
              <w:rPr>
                <w:sz w:val="12"/>
                <w:szCs w:val="12"/>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w:t>
            </w:r>
          </w:p>
        </w:tc>
        <w:tc>
          <w:tcPr>
            <w:tcW w:w="3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Ameristar East Chicago</w:t>
            </w:r>
          </w:p>
        </w:tc>
        <w:tc>
          <w:tcPr>
            <w:tcW w:w="8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East Chicago,</w:t>
            </w:r>
          </w:p>
        </w:tc>
        <w:tc>
          <w:tcPr>
            <w:tcW w:w="36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4,198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123,430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4,198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123,430</w:t>
            </w:r>
          </w:p>
        </w:tc>
        <w:tc>
          <w:tcPr>
            <w:tcW w:w="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127,628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10,578</w:t>
            </w:r>
          </w:p>
        </w:tc>
        <w:tc>
          <w:tcPr>
            <w:tcW w:w="840" w:type="dxa"/>
            <w:vAlign w:val="bottom"/>
            <w:gridSpan w:val="2"/>
            <w:vMerge w:val="restart"/>
          </w:tcPr>
          <w:p>
            <w:pPr>
              <w:jc w:val="center"/>
              <w:ind w:left="22"/>
              <w:spacing w:after="0"/>
              <w:rPr>
                <w:sz w:val="20"/>
                <w:szCs w:val="20"/>
                <w:color w:val="auto"/>
              </w:rPr>
            </w:pPr>
            <w:r>
              <w:rPr>
                <w:rFonts w:ascii="Times New Roman" w:cs="Times New Roman" w:eastAsia="Times New Roman" w:hAnsi="Times New Roman"/>
                <w:sz w:val="12"/>
                <w:szCs w:val="12"/>
                <w:color w:val="auto"/>
                <w:w w:val="99"/>
              </w:rPr>
              <w:t>1997</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4/28/2016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50"/>
        </w:trPr>
        <w:tc>
          <w:tcPr>
            <w:tcW w:w="1300" w:type="dxa"/>
            <w:vAlign w:val="bottom"/>
            <w:gridSpan w:val="2"/>
            <w:vMerge w:val="continue"/>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w:t>
            </w:r>
          </w:p>
        </w:tc>
        <w:tc>
          <w:tcPr>
            <w:tcW w:w="3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09"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2"/>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Belterra Casino Resort</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Florence, IN</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63,420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172,875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63,420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172,875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236,295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16,123</w:t>
            </w:r>
          </w:p>
        </w:tc>
        <w:tc>
          <w:tcPr>
            <w:tcW w:w="84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2000</w:t>
            </w:r>
          </w:p>
        </w:tc>
        <w:tc>
          <w:tcPr>
            <w:tcW w:w="100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21"/>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Ameristar Council Bluffs</w:t>
            </w:r>
          </w:p>
        </w:tc>
        <w:tc>
          <w:tcPr>
            <w:tcW w:w="12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Council Bluffs,</w:t>
            </w:r>
          </w:p>
        </w:tc>
        <w:tc>
          <w:tcPr>
            <w:tcW w:w="6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84,009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109,027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84,009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109,027</w:t>
            </w:r>
          </w:p>
        </w:tc>
        <w:tc>
          <w:tcPr>
            <w:tcW w:w="80" w:type="dxa"/>
            <w:vAlign w:val="bottom"/>
          </w:tcPr>
          <w:p>
            <w:pPr>
              <w:spacing w:after="0"/>
              <w:rPr>
                <w:sz w:val="10"/>
                <w:szCs w:val="10"/>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193,036</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9,648</w:t>
            </w:r>
          </w:p>
        </w:tc>
        <w:tc>
          <w:tcPr>
            <w:tcW w:w="840" w:type="dxa"/>
            <w:vAlign w:val="bottom"/>
            <w:vMerge w:val="restart"/>
          </w:tcPr>
          <w:p>
            <w:pPr>
              <w:jc w:val="center"/>
              <w:ind w:left="22"/>
              <w:spacing w:after="0"/>
              <w:rPr>
                <w:sz w:val="20"/>
                <w:szCs w:val="20"/>
                <w:color w:val="auto"/>
              </w:rPr>
            </w:pPr>
            <w:r>
              <w:rPr>
                <w:rFonts w:ascii="Times New Roman" w:cs="Times New Roman" w:eastAsia="Times New Roman" w:hAnsi="Times New Roman"/>
                <w:sz w:val="12"/>
                <w:szCs w:val="12"/>
                <w:color w:val="auto"/>
                <w:w w:val="99"/>
              </w:rPr>
              <w:t>1996</w:t>
            </w:r>
          </w:p>
        </w:tc>
        <w:tc>
          <w:tcPr>
            <w:tcW w:w="10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IA</w:t>
            </w:r>
          </w:p>
        </w:tc>
        <w:tc>
          <w:tcPr>
            <w:tcW w:w="6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L'Auberge Baton Rouge</w:t>
            </w:r>
          </w:p>
        </w:tc>
        <w:tc>
          <w:tcPr>
            <w:tcW w:w="126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2"/>
                <w:szCs w:val="12"/>
                <w:color w:val="auto"/>
              </w:rPr>
              <w:t>Baton Rouge,</w:t>
            </w:r>
          </w:p>
        </w:tc>
        <w:tc>
          <w:tcPr>
            <w:tcW w:w="66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205,274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178,426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205,274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178,426</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383,700</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14,158</w:t>
            </w:r>
          </w:p>
        </w:tc>
        <w:tc>
          <w:tcPr>
            <w:tcW w:w="840" w:type="dxa"/>
            <w:vAlign w:val="bottom"/>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2012</w:t>
            </w:r>
          </w:p>
        </w:tc>
        <w:tc>
          <w:tcPr>
            <w:tcW w:w="1000" w:type="dxa"/>
            <w:vAlign w:val="bottom"/>
            <w:vMerge w:val="restart"/>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vMerge w:val="continue"/>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LA</w:t>
            </w:r>
          </w:p>
        </w:tc>
        <w:tc>
          <w:tcPr>
            <w:tcW w:w="660" w:type="dxa"/>
            <w:vAlign w:val="bottom"/>
            <w:gridSpan w:val="3"/>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Boomtown Bossier City</w:t>
            </w:r>
          </w:p>
        </w:tc>
        <w:tc>
          <w:tcPr>
            <w:tcW w:w="12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Bossier City,</w:t>
            </w:r>
          </w:p>
        </w:tc>
        <w:tc>
          <w:tcPr>
            <w:tcW w:w="6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79,022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107,067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79,022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107,067</w:t>
            </w:r>
          </w:p>
        </w:tc>
        <w:tc>
          <w:tcPr>
            <w:tcW w:w="80" w:type="dxa"/>
            <w:vAlign w:val="bottom"/>
          </w:tcPr>
          <w:p>
            <w:pPr>
              <w:spacing w:after="0"/>
              <w:rPr>
                <w:sz w:val="10"/>
                <w:szCs w:val="10"/>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186,089</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8,826</w:t>
            </w:r>
          </w:p>
        </w:tc>
        <w:tc>
          <w:tcPr>
            <w:tcW w:w="840" w:type="dxa"/>
            <w:vAlign w:val="bottom"/>
            <w:vMerge w:val="restart"/>
          </w:tcPr>
          <w:p>
            <w:pPr>
              <w:jc w:val="center"/>
              <w:ind w:left="22"/>
              <w:spacing w:after="0"/>
              <w:rPr>
                <w:sz w:val="20"/>
                <w:szCs w:val="20"/>
                <w:color w:val="auto"/>
              </w:rPr>
            </w:pPr>
            <w:r>
              <w:rPr>
                <w:rFonts w:ascii="Times New Roman" w:cs="Times New Roman" w:eastAsia="Times New Roman" w:hAnsi="Times New Roman"/>
                <w:sz w:val="12"/>
                <w:szCs w:val="12"/>
                <w:color w:val="auto"/>
                <w:w w:val="99"/>
              </w:rPr>
              <w:t>2002</w:t>
            </w:r>
          </w:p>
        </w:tc>
        <w:tc>
          <w:tcPr>
            <w:tcW w:w="10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LA</w:t>
            </w:r>
          </w:p>
        </w:tc>
        <w:tc>
          <w:tcPr>
            <w:tcW w:w="6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L'Auberge Lake Charles</w:t>
            </w:r>
          </w:p>
        </w:tc>
        <w:tc>
          <w:tcPr>
            <w:tcW w:w="126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2"/>
                <w:szCs w:val="12"/>
                <w:color w:val="auto"/>
              </w:rPr>
              <w:t>Lake Charles,</w:t>
            </w:r>
          </w:p>
        </w:tc>
        <w:tc>
          <w:tcPr>
            <w:tcW w:w="66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14,831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310,877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14,831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310,877</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325,708</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28,166</w:t>
            </w:r>
          </w:p>
        </w:tc>
        <w:tc>
          <w:tcPr>
            <w:tcW w:w="840" w:type="dxa"/>
            <w:vAlign w:val="bottom"/>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2005</w:t>
            </w:r>
          </w:p>
        </w:tc>
        <w:tc>
          <w:tcPr>
            <w:tcW w:w="1000" w:type="dxa"/>
            <w:vAlign w:val="bottom"/>
            <w:vMerge w:val="restart"/>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vMerge w:val="continue"/>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LA</w:t>
            </w:r>
          </w:p>
        </w:tc>
        <w:tc>
          <w:tcPr>
            <w:tcW w:w="660" w:type="dxa"/>
            <w:vAlign w:val="bottom"/>
            <w:gridSpan w:val="3"/>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Boomtown New Orleans</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Boomtown, LA</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58,258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58,258</w:t>
            </w:r>
          </w:p>
        </w:tc>
        <w:tc>
          <w:tcPr>
            <w:tcW w:w="8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104,277</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5,238</w:t>
            </w:r>
          </w:p>
        </w:tc>
        <w:tc>
          <w:tcPr>
            <w:tcW w:w="84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9"/>
              </w:rPr>
              <w:t>1994</w:t>
            </w:r>
          </w:p>
        </w:tc>
        <w:tc>
          <w:tcPr>
            <w:tcW w:w="1000" w:type="dxa"/>
            <w:vAlign w:val="bottom"/>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Ameristar Vicksburg</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Vicksburg, MS</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128,068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128,068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96,106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224,174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10,290</w:t>
            </w:r>
          </w:p>
        </w:tc>
        <w:tc>
          <w:tcPr>
            <w:tcW w:w="84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1994</w:t>
            </w:r>
          </w:p>
        </w:tc>
        <w:tc>
          <w:tcPr>
            <w:tcW w:w="100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59"/>
        </w:trPr>
        <w:tc>
          <w:tcPr>
            <w:tcW w:w="1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River City Casino &amp; Hotel</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St Louis, MO</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221,038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221,038</w:t>
            </w:r>
          </w:p>
        </w:tc>
        <w:tc>
          <w:tcPr>
            <w:tcW w:w="8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229,155</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18,138</w:t>
            </w:r>
          </w:p>
        </w:tc>
        <w:tc>
          <w:tcPr>
            <w:tcW w:w="84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9"/>
              </w:rPr>
              <w:t>2010</w:t>
            </w:r>
          </w:p>
        </w:tc>
        <w:tc>
          <w:tcPr>
            <w:tcW w:w="1000" w:type="dxa"/>
            <w:vAlign w:val="bottom"/>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25"/>
        </w:trPr>
        <w:tc>
          <w:tcPr>
            <w:tcW w:w="1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Ameristar Kansas City</w:t>
            </w:r>
          </w:p>
        </w:tc>
        <w:tc>
          <w:tcPr>
            <w:tcW w:w="1260" w:type="dxa"/>
            <w:vAlign w:val="bottom"/>
            <w:gridSpan w:val="2"/>
            <w:shd w:val="clear" w:color="auto" w:fill="CCEEFF"/>
          </w:tcPr>
          <w:p>
            <w:pPr>
              <w:ind w:left="80"/>
              <w:spacing w:after="0" w:line="125" w:lineRule="exact"/>
              <w:rPr>
                <w:sz w:val="20"/>
                <w:szCs w:val="20"/>
                <w:color w:val="auto"/>
              </w:rPr>
            </w:pPr>
            <w:r>
              <w:rPr>
                <w:rFonts w:ascii="Times New Roman" w:cs="Times New Roman" w:eastAsia="Times New Roman" w:hAnsi="Times New Roman"/>
                <w:sz w:val="12"/>
                <w:szCs w:val="12"/>
                <w:color w:val="auto"/>
              </w:rPr>
              <w:t>Kansas City,</w:t>
            </w:r>
          </w:p>
        </w:tc>
        <w:tc>
          <w:tcPr>
            <w:tcW w:w="66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239,111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271,598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239,111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271,598</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510,709</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24,970</w:t>
            </w:r>
          </w:p>
        </w:tc>
        <w:tc>
          <w:tcPr>
            <w:tcW w:w="840" w:type="dxa"/>
            <w:vAlign w:val="bottom"/>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1997</w:t>
            </w:r>
          </w:p>
        </w:tc>
        <w:tc>
          <w:tcPr>
            <w:tcW w:w="1000" w:type="dxa"/>
            <w:vAlign w:val="bottom"/>
            <w:vMerge w:val="restart"/>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vMerge w:val="continue"/>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MO</w:t>
            </w:r>
          </w:p>
        </w:tc>
        <w:tc>
          <w:tcPr>
            <w:tcW w:w="660" w:type="dxa"/>
            <w:vAlign w:val="bottom"/>
            <w:gridSpan w:val="3"/>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Ameristar St. Charles</w:t>
            </w:r>
          </w:p>
        </w:tc>
        <w:tc>
          <w:tcPr>
            <w:tcW w:w="12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St. Charles,</w:t>
            </w:r>
          </w:p>
        </w:tc>
        <w:tc>
          <w:tcPr>
            <w:tcW w:w="6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375,597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437,908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375,596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437,908</w:t>
            </w:r>
          </w:p>
        </w:tc>
        <w:tc>
          <w:tcPr>
            <w:tcW w:w="80" w:type="dxa"/>
            <w:vAlign w:val="bottom"/>
          </w:tcPr>
          <w:p>
            <w:pPr>
              <w:spacing w:after="0"/>
              <w:rPr>
                <w:sz w:val="10"/>
                <w:szCs w:val="10"/>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813,504</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33,300</w:t>
            </w:r>
          </w:p>
        </w:tc>
        <w:tc>
          <w:tcPr>
            <w:tcW w:w="840" w:type="dxa"/>
            <w:vAlign w:val="bottom"/>
            <w:vMerge w:val="restart"/>
          </w:tcPr>
          <w:p>
            <w:pPr>
              <w:jc w:val="center"/>
              <w:ind w:left="22"/>
              <w:spacing w:after="0"/>
              <w:rPr>
                <w:sz w:val="20"/>
                <w:szCs w:val="20"/>
                <w:color w:val="auto"/>
              </w:rPr>
            </w:pPr>
            <w:r>
              <w:rPr>
                <w:rFonts w:ascii="Times New Roman" w:cs="Times New Roman" w:eastAsia="Times New Roman" w:hAnsi="Times New Roman"/>
                <w:sz w:val="12"/>
                <w:szCs w:val="12"/>
                <w:color w:val="auto"/>
                <w:w w:val="99"/>
              </w:rPr>
              <w:t>1994</w:t>
            </w:r>
          </w:p>
        </w:tc>
        <w:tc>
          <w:tcPr>
            <w:tcW w:w="10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MO</w:t>
            </w:r>
          </w:p>
        </w:tc>
        <w:tc>
          <w:tcPr>
            <w:tcW w:w="6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Jackpot Properties</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Jackpot, NV</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48,785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48,785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61,550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110,335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7,290</w:t>
            </w:r>
          </w:p>
        </w:tc>
        <w:tc>
          <w:tcPr>
            <w:tcW w:w="84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1954</w:t>
            </w:r>
          </w:p>
        </w:tc>
        <w:tc>
          <w:tcPr>
            <w:tcW w:w="100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4/28/2016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59"/>
        </w:trPr>
        <w:tc>
          <w:tcPr>
            <w:tcW w:w="1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Plainridge Park Casino</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Plainridge, MA</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127,068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123,850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127,068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123,850</w:t>
            </w:r>
          </w:p>
        </w:tc>
        <w:tc>
          <w:tcPr>
            <w:tcW w:w="8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250,918</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8,823</w:t>
            </w:r>
          </w:p>
        </w:tc>
        <w:tc>
          <w:tcPr>
            <w:tcW w:w="84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9"/>
              </w:rPr>
              <w:t>2015</w:t>
            </w:r>
          </w:p>
        </w:tc>
        <w:tc>
          <w:tcPr>
            <w:tcW w:w="1000" w:type="dxa"/>
            <w:vAlign w:val="bottom"/>
          </w:tcPr>
          <w:p>
            <w:pPr>
              <w:jc w:val="center"/>
              <w:ind w:right="142"/>
              <w:spacing w:after="0"/>
              <w:rPr>
                <w:sz w:val="20"/>
                <w:szCs w:val="20"/>
                <w:color w:val="auto"/>
              </w:rPr>
            </w:pPr>
            <w:r>
              <w:rPr>
                <w:rFonts w:ascii="Times New Roman" w:cs="Times New Roman" w:eastAsia="Times New Roman" w:hAnsi="Times New Roman"/>
                <w:sz w:val="12"/>
                <w:szCs w:val="12"/>
                <w:color w:val="auto"/>
                <w:w w:val="95"/>
              </w:rPr>
              <w:t>10/15/2018</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25"/>
        </w:trPr>
        <w:tc>
          <w:tcPr>
            <w:tcW w:w="13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Belterra Park Gaming and</w:t>
            </w:r>
          </w:p>
        </w:tc>
        <w:tc>
          <w:tcPr>
            <w:tcW w:w="1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Cincinnati, OH</w:t>
            </w:r>
          </w:p>
        </w:tc>
        <w:tc>
          <w:tcPr>
            <w:tcW w:w="66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11,689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45,995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11,689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45,995</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57,684</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1,401</w:t>
            </w:r>
          </w:p>
        </w:tc>
        <w:tc>
          <w:tcPr>
            <w:tcW w:w="840" w:type="dxa"/>
            <w:vAlign w:val="bottom"/>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2013</w:t>
            </w:r>
          </w:p>
        </w:tc>
        <w:tc>
          <w:tcPr>
            <w:tcW w:w="1000" w:type="dxa"/>
            <w:vAlign w:val="bottom"/>
            <w:vMerge w:val="restart"/>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3"/>
              </w:rPr>
              <w:t>5/6/2020</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2"/>
                <w:szCs w:val="12"/>
                <w:color w:val="auto"/>
              </w:rPr>
              <w:t xml:space="preserve">Entertainment Center </w:t>
            </w:r>
            <w:r>
              <w:rPr>
                <w:rFonts w:ascii="Times New Roman" w:cs="Times New Roman" w:eastAsia="Times New Roman" w:hAnsi="Times New Roman"/>
                <w:sz w:val="14"/>
                <w:szCs w:val="14"/>
                <w:color w:val="auto"/>
                <w:vertAlign w:val="superscript"/>
              </w:rPr>
              <w:t>(1)</w:t>
            </w:r>
          </w:p>
        </w:tc>
        <w:tc>
          <w:tcPr>
            <w:tcW w:w="1260" w:type="dxa"/>
            <w:vAlign w:val="bottom"/>
            <w:gridSpan w:val="2"/>
            <w:vMerge w:val="continue"/>
            <w:shd w:val="clear" w:color="auto" w:fill="CCEEFF"/>
          </w:tcPr>
          <w:p>
            <w:pPr>
              <w:spacing w:after="0"/>
              <w:rPr>
                <w:sz w:val="12"/>
                <w:szCs w:val="12"/>
                <w:color w:val="auto"/>
              </w:rPr>
            </w:pPr>
          </w:p>
        </w:tc>
        <w:tc>
          <w:tcPr>
            <w:tcW w:w="660" w:type="dxa"/>
            <w:vAlign w:val="bottom"/>
            <w:gridSpan w:val="3"/>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8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The Meadows Racetrack</w:t>
            </w:r>
          </w:p>
        </w:tc>
        <w:tc>
          <w:tcPr>
            <w:tcW w:w="12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Washington,</w:t>
            </w:r>
          </w:p>
        </w:tc>
        <w:tc>
          <w:tcPr>
            <w:tcW w:w="6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181,532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141,370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386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181,918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141,370</w:t>
            </w:r>
          </w:p>
        </w:tc>
        <w:tc>
          <w:tcPr>
            <w:tcW w:w="80" w:type="dxa"/>
            <w:vAlign w:val="bottom"/>
          </w:tcPr>
          <w:p>
            <w:pPr>
              <w:spacing w:after="0"/>
              <w:rPr>
                <w:sz w:val="10"/>
                <w:szCs w:val="10"/>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323,288</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24,291</w:t>
            </w:r>
          </w:p>
        </w:tc>
        <w:tc>
          <w:tcPr>
            <w:tcW w:w="840" w:type="dxa"/>
            <w:vAlign w:val="bottom"/>
            <w:vMerge w:val="restart"/>
          </w:tcPr>
          <w:p>
            <w:pPr>
              <w:jc w:val="center"/>
              <w:ind w:left="22"/>
              <w:spacing w:after="0"/>
              <w:rPr>
                <w:sz w:val="20"/>
                <w:szCs w:val="20"/>
                <w:color w:val="auto"/>
              </w:rPr>
            </w:pPr>
            <w:r>
              <w:rPr>
                <w:rFonts w:ascii="Times New Roman" w:cs="Times New Roman" w:eastAsia="Times New Roman" w:hAnsi="Times New Roman"/>
                <w:sz w:val="12"/>
                <w:szCs w:val="12"/>
                <w:color w:val="auto"/>
                <w:w w:val="99"/>
              </w:rPr>
              <w:t>2006</w:t>
            </w:r>
          </w:p>
        </w:tc>
        <w:tc>
          <w:tcPr>
            <w:tcW w:w="10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color w:val="auto"/>
                <w:w w:val="93"/>
              </w:rPr>
              <w:t>9/9/2016</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and Casino</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PA</w:t>
            </w:r>
          </w:p>
        </w:tc>
        <w:tc>
          <w:tcPr>
            <w:tcW w:w="6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Casino Queen</w:t>
            </w:r>
          </w:p>
        </w:tc>
        <w:tc>
          <w:tcPr>
            <w:tcW w:w="126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2"/>
                <w:szCs w:val="12"/>
                <w:color w:val="auto"/>
              </w:rPr>
              <w:t>East St. Louis,</w:t>
            </w:r>
          </w:p>
        </w:tc>
        <w:tc>
          <w:tcPr>
            <w:tcW w:w="66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70,716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70,014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70,716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70,014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140,730</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18,882</w:t>
            </w:r>
          </w:p>
        </w:tc>
        <w:tc>
          <w:tcPr>
            <w:tcW w:w="840" w:type="dxa"/>
            <w:vAlign w:val="bottom"/>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1999</w:t>
            </w:r>
          </w:p>
        </w:tc>
        <w:tc>
          <w:tcPr>
            <w:tcW w:w="1000" w:type="dxa"/>
            <w:vAlign w:val="bottom"/>
            <w:vMerge w:val="restart"/>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1/23/2014</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vMerge w:val="continue"/>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IL</w:t>
            </w:r>
          </w:p>
        </w:tc>
        <w:tc>
          <w:tcPr>
            <w:tcW w:w="660" w:type="dxa"/>
            <w:vAlign w:val="bottom"/>
            <w:gridSpan w:val="3"/>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Tropicana Atlantic City</w:t>
            </w:r>
          </w:p>
        </w:tc>
        <w:tc>
          <w:tcPr>
            <w:tcW w:w="12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Atlantic City,</w:t>
            </w:r>
          </w:p>
        </w:tc>
        <w:tc>
          <w:tcPr>
            <w:tcW w:w="6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166,974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392,923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166,974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392,923</w:t>
            </w:r>
          </w:p>
        </w:tc>
        <w:tc>
          <w:tcPr>
            <w:tcW w:w="80" w:type="dxa"/>
            <w:vAlign w:val="bottom"/>
          </w:tcPr>
          <w:p>
            <w:pPr>
              <w:spacing w:after="0"/>
              <w:rPr>
                <w:sz w:val="10"/>
                <w:szCs w:val="10"/>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559,897</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28,061</w:t>
            </w:r>
          </w:p>
        </w:tc>
        <w:tc>
          <w:tcPr>
            <w:tcW w:w="840" w:type="dxa"/>
            <w:vAlign w:val="bottom"/>
            <w:vMerge w:val="restart"/>
          </w:tcPr>
          <w:p>
            <w:pPr>
              <w:jc w:val="center"/>
              <w:ind w:left="22"/>
              <w:spacing w:after="0"/>
              <w:rPr>
                <w:sz w:val="20"/>
                <w:szCs w:val="20"/>
                <w:color w:val="auto"/>
              </w:rPr>
            </w:pPr>
            <w:r>
              <w:rPr>
                <w:rFonts w:ascii="Times New Roman" w:cs="Times New Roman" w:eastAsia="Times New Roman" w:hAnsi="Times New Roman"/>
                <w:sz w:val="12"/>
                <w:szCs w:val="12"/>
                <w:color w:val="auto"/>
                <w:w w:val="99"/>
              </w:rPr>
              <w:t>1981</w:t>
            </w:r>
          </w:p>
        </w:tc>
        <w:tc>
          <w:tcPr>
            <w:tcW w:w="10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color w:val="auto"/>
                <w:w w:val="98"/>
              </w:rPr>
              <w:t>10/1/2018</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NJ</w:t>
            </w:r>
          </w:p>
        </w:tc>
        <w:tc>
          <w:tcPr>
            <w:tcW w:w="6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Tropicana Evansville </w:t>
            </w:r>
            <w:r>
              <w:rPr>
                <w:rFonts w:ascii="Times New Roman" w:cs="Times New Roman" w:eastAsia="Times New Roman" w:hAnsi="Times New Roman"/>
                <w:sz w:val="14"/>
                <w:szCs w:val="14"/>
                <w:color w:val="auto"/>
                <w:vertAlign w:val="superscript"/>
              </w:rPr>
              <w:t>(2)</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Evansville, IN</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47,439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146,930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(194,369)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1995</w:t>
            </w:r>
          </w:p>
        </w:tc>
        <w:tc>
          <w:tcPr>
            <w:tcW w:w="100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10/1/2018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59"/>
        </w:trPr>
        <w:tc>
          <w:tcPr>
            <w:tcW w:w="1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Tropicana Laughlin</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Laughlin, NV</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20,671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20,671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80,530</w:t>
            </w:r>
          </w:p>
        </w:tc>
        <w:tc>
          <w:tcPr>
            <w:tcW w:w="8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101,201</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6,428</w:t>
            </w:r>
          </w:p>
        </w:tc>
        <w:tc>
          <w:tcPr>
            <w:tcW w:w="84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9"/>
              </w:rPr>
              <w:t>1988</w:t>
            </w:r>
          </w:p>
        </w:tc>
        <w:tc>
          <w:tcPr>
            <w:tcW w:w="1000" w:type="dxa"/>
            <w:vAlign w:val="bottom"/>
          </w:tcPr>
          <w:p>
            <w:pPr>
              <w:jc w:val="center"/>
              <w:ind w:right="142"/>
              <w:spacing w:after="0"/>
              <w:rPr>
                <w:sz w:val="20"/>
                <w:szCs w:val="20"/>
                <w:color w:val="auto"/>
              </w:rPr>
            </w:pPr>
            <w:r>
              <w:rPr>
                <w:rFonts w:ascii="Times New Roman" w:cs="Times New Roman" w:eastAsia="Times New Roman" w:hAnsi="Times New Roman"/>
                <w:sz w:val="12"/>
                <w:szCs w:val="12"/>
                <w:color w:val="auto"/>
                <w:w w:val="98"/>
              </w:rPr>
              <w:t>10/1/2018</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Trop Casino Greenville</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Greenville, MS</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21,680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21,680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1,544</w:t>
            </w:r>
          </w:p>
        </w:tc>
        <w:tc>
          <w:tcPr>
            <w:tcW w:w="84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2012</w:t>
            </w:r>
          </w:p>
        </w:tc>
        <w:tc>
          <w:tcPr>
            <w:tcW w:w="100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10/1/2018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21"/>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Belle of Baton Rouge</w:t>
            </w:r>
          </w:p>
        </w:tc>
        <w:tc>
          <w:tcPr>
            <w:tcW w:w="12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Baton Rouge,</w:t>
            </w:r>
          </w:p>
        </w:tc>
        <w:tc>
          <w:tcPr>
            <w:tcW w:w="6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11,873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52,400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11,873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52,400</w:t>
            </w:r>
          </w:p>
        </w:tc>
        <w:tc>
          <w:tcPr>
            <w:tcW w:w="80" w:type="dxa"/>
            <w:vAlign w:val="bottom"/>
          </w:tcPr>
          <w:p>
            <w:pPr>
              <w:spacing w:after="0"/>
              <w:rPr>
                <w:sz w:val="10"/>
                <w:szCs w:val="10"/>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64,273</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5,488</w:t>
            </w:r>
          </w:p>
        </w:tc>
        <w:tc>
          <w:tcPr>
            <w:tcW w:w="840" w:type="dxa"/>
            <w:vAlign w:val="bottom"/>
            <w:vMerge w:val="restart"/>
          </w:tcPr>
          <w:p>
            <w:pPr>
              <w:jc w:val="center"/>
              <w:ind w:left="22"/>
              <w:spacing w:after="0"/>
              <w:rPr>
                <w:sz w:val="20"/>
                <w:szCs w:val="20"/>
                <w:color w:val="auto"/>
              </w:rPr>
            </w:pPr>
            <w:r>
              <w:rPr>
                <w:rFonts w:ascii="Times New Roman" w:cs="Times New Roman" w:eastAsia="Times New Roman" w:hAnsi="Times New Roman"/>
                <w:sz w:val="12"/>
                <w:szCs w:val="12"/>
                <w:color w:val="auto"/>
                <w:w w:val="99"/>
              </w:rPr>
              <w:t>1994</w:t>
            </w:r>
          </w:p>
        </w:tc>
        <w:tc>
          <w:tcPr>
            <w:tcW w:w="10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color w:val="auto"/>
                <w:w w:val="98"/>
              </w:rPr>
              <w:t>10/1/2018</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LA</w:t>
            </w:r>
          </w:p>
        </w:tc>
        <w:tc>
          <w:tcPr>
            <w:tcW w:w="6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Isle Casino Waterloo </w:t>
            </w:r>
            <w:r>
              <w:rPr>
                <w:rFonts w:ascii="Times New Roman" w:cs="Times New Roman" w:eastAsia="Times New Roman" w:hAnsi="Times New Roman"/>
                <w:sz w:val="14"/>
                <w:szCs w:val="14"/>
                <w:color w:val="auto"/>
                <w:vertAlign w:val="superscript"/>
              </w:rPr>
              <w:t>(2)</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Waterloo, IA</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64,263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77,958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64,263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77,958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142,221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4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2005</w:t>
            </w:r>
          </w:p>
        </w:tc>
        <w:tc>
          <w:tcPr>
            <w:tcW w:w="100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5"/>
              </w:rPr>
              <w:t>12/18/2020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62"/>
        </w:trPr>
        <w:tc>
          <w:tcPr>
            <w:tcW w:w="1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xml:space="preserve">Isle Casino Bettendorf </w:t>
            </w:r>
            <w:r>
              <w:rPr>
                <w:rFonts w:ascii="Times New Roman" w:cs="Times New Roman" w:eastAsia="Times New Roman" w:hAnsi="Times New Roman"/>
                <w:sz w:val="14"/>
                <w:szCs w:val="14"/>
                <w:color w:val="auto"/>
                <w:vertAlign w:val="superscript"/>
              </w:rPr>
              <w:t>(4)</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Bettendorf, IA</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29,636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29,636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85,150</w:t>
            </w:r>
          </w:p>
        </w:tc>
        <w:tc>
          <w:tcPr>
            <w:tcW w:w="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114,786</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84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9"/>
              </w:rPr>
              <w:t>2015</w:t>
            </w:r>
          </w:p>
        </w:tc>
        <w:tc>
          <w:tcPr>
            <w:tcW w:w="1000" w:type="dxa"/>
            <w:vAlign w:val="bottom"/>
          </w:tcPr>
          <w:p>
            <w:pPr>
              <w:jc w:val="center"/>
              <w:ind w:right="142"/>
              <w:spacing w:after="0"/>
              <w:rPr>
                <w:sz w:val="20"/>
                <w:szCs w:val="20"/>
                <w:color w:val="auto"/>
              </w:rPr>
            </w:pPr>
            <w:r>
              <w:rPr>
                <w:rFonts w:ascii="Times New Roman" w:cs="Times New Roman" w:eastAsia="Times New Roman" w:hAnsi="Times New Roman"/>
                <w:sz w:val="12"/>
                <w:szCs w:val="12"/>
                <w:color w:val="auto"/>
                <w:w w:val="95"/>
              </w:rPr>
              <w:t>12/18/2020</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Lumiere Place </w:t>
            </w:r>
            <w:r>
              <w:rPr>
                <w:rFonts w:ascii="Times New Roman" w:cs="Times New Roman" w:eastAsia="Times New Roman" w:hAnsi="Times New Roman"/>
                <w:sz w:val="14"/>
                <w:szCs w:val="14"/>
                <w:color w:val="auto"/>
                <w:vertAlign w:val="superscript"/>
              </w:rPr>
              <w:t>(1)</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 Louis, MO</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26,930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26,930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219,070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246,000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84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2005</w:t>
            </w:r>
          </w:p>
        </w:tc>
        <w:tc>
          <w:tcPr>
            <w:tcW w:w="100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10/1/2020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21"/>
        </w:trPr>
        <w:tc>
          <w:tcPr>
            <w:tcW w:w="138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Hollywood Casino</w:t>
            </w:r>
          </w:p>
        </w:tc>
        <w:tc>
          <w:tcPr>
            <w:tcW w:w="12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Morgantown,</w:t>
            </w:r>
          </w:p>
        </w:tc>
        <w:tc>
          <w:tcPr>
            <w:tcW w:w="6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30,253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30,253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30,253</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vMerge w:val="restart"/>
          </w:tcPr>
          <w:p>
            <w:pPr>
              <w:jc w:val="center"/>
              <w:ind w:left="22"/>
              <w:spacing w:after="0"/>
              <w:rPr>
                <w:sz w:val="20"/>
                <w:szCs w:val="20"/>
                <w:color w:val="auto"/>
              </w:rPr>
            </w:pPr>
            <w:r>
              <w:rPr>
                <w:rFonts w:ascii="Times New Roman" w:cs="Times New Roman" w:eastAsia="Times New Roman" w:hAnsi="Times New Roman"/>
                <w:sz w:val="12"/>
                <w:szCs w:val="12"/>
                <w:color w:val="auto"/>
                <w:w w:val="99"/>
              </w:rPr>
              <w:t>2020</w:t>
            </w:r>
          </w:p>
        </w:tc>
        <w:tc>
          <w:tcPr>
            <w:tcW w:w="10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color w:val="auto"/>
                <w:w w:val="98"/>
              </w:rPr>
              <w:t>10/1/2020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8"/>
        </w:trPr>
        <w:tc>
          <w:tcPr>
            <w:tcW w:w="138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Morgantown </w:t>
            </w:r>
            <w:r>
              <w:rPr>
                <w:rFonts w:ascii="Times New Roman" w:cs="Times New Roman" w:eastAsia="Times New Roman" w:hAnsi="Times New Roman"/>
                <w:sz w:val="14"/>
                <w:szCs w:val="14"/>
                <w:color w:val="auto"/>
                <w:vertAlign w:val="superscript"/>
              </w:rPr>
              <w:t>(3)</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PA</w:t>
            </w:r>
          </w:p>
        </w:tc>
        <w:tc>
          <w:tcPr>
            <w:tcW w:w="6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2,711,300</w:t>
            </w: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6,001,589</w:t>
            </w: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(30,888)</w:t>
            </w: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2,660,070</w:t>
            </w: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6,021,930</w:t>
            </w: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8,682,000</w:t>
            </w: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1,409,505</w:t>
            </w:r>
          </w:p>
        </w:tc>
        <w:tc>
          <w:tcPr>
            <w:tcW w:w="84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Headquarters Property:</w:t>
            </w: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GLPI Corporate Office </w:t>
            </w:r>
            <w:r>
              <w:rPr>
                <w:rFonts w:ascii="Times New Roman" w:cs="Times New Roman" w:eastAsia="Times New Roman" w:hAnsi="Times New Roman"/>
                <w:sz w:val="15"/>
                <w:szCs w:val="15"/>
                <w:color w:val="auto"/>
                <w:vertAlign w:val="superscript"/>
              </w:rPr>
              <w:t>(4)</w:t>
            </w:r>
          </w:p>
        </w:tc>
        <w:tc>
          <w:tcPr>
            <w:tcW w:w="1260" w:type="dxa"/>
            <w:vAlign w:val="bottom"/>
            <w:gridSpan w:val="2"/>
            <w:shd w:val="clear" w:color="auto" w:fill="CCEEFF"/>
          </w:tcPr>
          <w:p>
            <w:pPr>
              <w:ind w:left="80"/>
              <w:spacing w:after="0" w:line="125" w:lineRule="exact"/>
              <w:rPr>
                <w:sz w:val="20"/>
                <w:szCs w:val="20"/>
                <w:color w:val="auto"/>
              </w:rPr>
            </w:pPr>
            <w:r>
              <w:rPr>
                <w:rFonts w:ascii="Times New Roman" w:cs="Times New Roman" w:eastAsia="Times New Roman" w:hAnsi="Times New Roman"/>
                <w:sz w:val="12"/>
                <w:szCs w:val="12"/>
                <w:color w:val="auto"/>
              </w:rPr>
              <w:t>Wyomissing,</w:t>
            </w:r>
          </w:p>
        </w:tc>
        <w:tc>
          <w:tcPr>
            <w:tcW w:w="66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8,550</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9,300</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840" w:type="dxa"/>
            <w:vAlign w:val="bottom"/>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color w:val="auto"/>
                <w:w w:val="97"/>
              </w:rPr>
              <w:t>2014/2015</w:t>
            </w:r>
          </w:p>
        </w:tc>
        <w:tc>
          <w:tcPr>
            <w:tcW w:w="1000" w:type="dxa"/>
            <w:vAlign w:val="bottom"/>
            <w:vMerge w:val="restart"/>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98"/>
              </w:rPr>
              <w:t>9/19/2014</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8"/>
        </w:trPr>
        <w:tc>
          <w:tcPr>
            <w:tcW w:w="1380" w:type="dxa"/>
            <w:vAlign w:val="bottom"/>
            <w:vMerge w:val="continue"/>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w:t>
            </w:r>
          </w:p>
        </w:tc>
        <w:tc>
          <w:tcPr>
            <w:tcW w:w="660" w:type="dxa"/>
            <w:vAlign w:val="bottom"/>
            <w:gridSpan w:val="3"/>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Properties</w:t>
            </w: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2"/>
                <w:szCs w:val="12"/>
                <w:color w:val="auto"/>
              </w:rPr>
              <w:t xml:space="preserve">Other owned land </w:t>
            </w:r>
            <w:r>
              <w:rPr>
                <w:rFonts w:ascii="Times New Roman" w:cs="Times New Roman" w:eastAsia="Times New Roman" w:hAnsi="Times New Roman"/>
                <w:sz w:val="15"/>
                <w:szCs w:val="15"/>
                <w:color w:val="auto"/>
                <w:vertAlign w:val="superscript"/>
              </w:rPr>
              <w:t>(5)</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various</w:t>
            </w:r>
          </w:p>
        </w:tc>
        <w:tc>
          <w:tcPr>
            <w:tcW w:w="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6,798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6,798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6,798</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2,718,848</w:t>
            </w:r>
          </w:p>
        </w:tc>
        <w:tc>
          <w:tcPr>
            <w:tcW w:w="80" w:type="dxa"/>
            <w:vAlign w:val="bottom"/>
          </w:tcPr>
          <w:p>
            <w:pPr>
              <w:spacing w:after="0"/>
              <w:rPr>
                <w:sz w:val="13"/>
                <w:szCs w:val="13"/>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6,010,054</w:t>
            </w:r>
          </w:p>
        </w:tc>
        <w:tc>
          <w:tcPr>
            <w:tcW w:w="80" w:type="dxa"/>
            <w:vAlign w:val="bottom"/>
          </w:tcPr>
          <w:p>
            <w:pPr>
              <w:spacing w:after="0"/>
              <w:rPr>
                <w:sz w:val="13"/>
                <w:szCs w:val="13"/>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(30,803)</w:t>
            </w:r>
          </w:p>
        </w:tc>
        <w:tc>
          <w:tcPr>
            <w:tcW w:w="80" w:type="dxa"/>
            <w:vAlign w:val="bottom"/>
          </w:tcPr>
          <w:p>
            <w:pPr>
              <w:spacing w:after="0"/>
              <w:rPr>
                <w:sz w:val="13"/>
                <w:szCs w:val="13"/>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2,667,618</w:t>
            </w:r>
          </w:p>
        </w:tc>
        <w:tc>
          <w:tcPr>
            <w:tcW w:w="80" w:type="dxa"/>
            <w:vAlign w:val="bottom"/>
          </w:tcPr>
          <w:p>
            <w:pPr>
              <w:spacing w:after="0"/>
              <w:rPr>
                <w:sz w:val="13"/>
                <w:szCs w:val="13"/>
                <w:color w:val="auto"/>
              </w:rPr>
            </w:pP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6,030,480</w:t>
            </w:r>
          </w:p>
        </w:tc>
        <w:tc>
          <w:tcPr>
            <w:tcW w:w="8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8"/>
              </w:rPr>
              <w:t>$ 8,698,098</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1,410,940</w:t>
            </w: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103" w:name="page104"/>
    <w:bookmarkEnd w:id="103"/>
    <w:p>
      <w:pPr>
        <w:ind w:right="700" w:firstLine="8"/>
        <w:spacing w:after="0" w:line="229" w:lineRule="auto"/>
        <w:tabs>
          <w:tab w:leader="none" w:pos="635"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2020, the Company acquired the real estate of both of these properties in satisfaction of previously outstanding loans, subject to the Belterra Park Lease and the Lumiere Place Lease, respectively.</w:t>
      </w:r>
    </w:p>
    <w:p>
      <w:pPr>
        <w:spacing w:after="0" w:line="224" w:lineRule="exact"/>
        <w:rPr>
          <w:rFonts w:ascii="Times New Roman" w:cs="Times New Roman" w:eastAsia="Times New Roman" w:hAnsi="Times New Roman"/>
          <w:sz w:val="23"/>
          <w:szCs w:val="23"/>
          <w:color w:val="auto"/>
          <w:vertAlign w:val="superscript"/>
        </w:rPr>
      </w:pPr>
    </w:p>
    <w:p>
      <w:pPr>
        <w:ind w:right="100" w:firstLine="8"/>
        <w:spacing w:after="0" w:line="271" w:lineRule="auto"/>
        <w:tabs>
          <w:tab w:leader="none" w:pos="179"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December 18, 2020 Caesar's elected to replace Tropicana Evansville with Isle Casino Bettendorf and Isle Casino Waterloo as allowed under the Amended and Restated Caesars Master Lease.</w:t>
      </w:r>
    </w:p>
    <w:p>
      <w:pPr>
        <w:spacing w:after="0" w:line="193" w:lineRule="exact"/>
        <w:rPr>
          <w:rFonts w:ascii="Times New Roman" w:cs="Times New Roman" w:eastAsia="Times New Roman" w:hAnsi="Times New Roman"/>
          <w:sz w:val="21"/>
          <w:szCs w:val="21"/>
          <w:color w:val="auto"/>
          <w:vertAlign w:val="superscript"/>
        </w:rPr>
      </w:pPr>
    </w:p>
    <w:p>
      <w:pPr>
        <w:jc w:val="both"/>
        <w:ind w:right="100" w:firstLine="8"/>
        <w:spacing w:after="0" w:line="274" w:lineRule="auto"/>
        <w:tabs>
          <w:tab w:leader="none" w:pos="179"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pursuant to the Morgantown Lease for an initial annual rent of $3.0 million, subject to escalation provisions following the opening of the property.</w:t>
      </w:r>
    </w:p>
    <w:p>
      <w:pPr>
        <w:spacing w:after="0" w:line="199" w:lineRule="exact"/>
        <w:rPr>
          <w:rFonts w:ascii="Times New Roman" w:cs="Times New Roman" w:eastAsia="Times New Roman" w:hAnsi="Times New Roman"/>
          <w:sz w:val="21"/>
          <w:szCs w:val="21"/>
          <w:color w:val="auto"/>
          <w:vertAlign w:val="superscript"/>
        </w:rPr>
      </w:pPr>
    </w:p>
    <w:p>
      <w:pPr>
        <w:ind w:right="100" w:firstLine="8"/>
        <w:spacing w:after="0" w:line="229" w:lineRule="auto"/>
        <w:tabs>
          <w:tab w:leader="none" w:pos="28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corporate headquarters building was completed in October 2015. The land was purchased on September 19, 2014 and construction on the building occurred through October 2015.</w:t>
      </w:r>
    </w:p>
    <w:p>
      <w:pPr>
        <w:spacing w:after="0" w:line="194"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includes undeveloped land the Company owns at locations other than its tenant occupied properties.</w:t>
      </w:r>
    </w:p>
    <w:p>
      <w:pPr>
        <w:spacing w:after="0" w:line="224" w:lineRule="exact"/>
        <w:rPr>
          <w:rFonts w:ascii="Times New Roman" w:cs="Times New Roman" w:eastAsia="Times New Roman" w:hAnsi="Times New Roman"/>
          <w:sz w:val="23"/>
          <w:szCs w:val="23"/>
          <w:color w:val="auto"/>
          <w:vertAlign w:val="superscript"/>
        </w:rPr>
      </w:pPr>
    </w:p>
    <w:p>
      <w:pPr>
        <w:ind w:right="180" w:firstLine="8"/>
        <w:spacing w:after="0" w:line="238" w:lineRule="auto"/>
        <w:tabs>
          <w:tab w:leader="none" w:pos="253"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cost for federal income tax purposes of the properties listed above was $8.34 billion at December 31, 2020. This amount includes the tax basis of all real property assets acquired from Pinnacle, including building assets. The table above excludes the real estate assets of Tropicana Las Vegas which as described in Note 7 is in our TRS Segment and was acquired for $307.5 million ($226.2 million of Land and improvements and $81.3 million in Building and Improvements) in April 2020 with accumulated depreciation at December 31, 2020 totaling $2.7 million.</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activity for real estate and accumulated depreciation for the years ended December 31, 2020, 2019 and 2018 is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spacing w:after="0"/>
              <w:rPr>
                <w:sz w:val="21"/>
                <w:szCs w:val="21"/>
                <w:color w:val="auto"/>
              </w:rPr>
            </w:pPr>
          </w:p>
        </w:tc>
        <w:tc>
          <w:tcPr>
            <w:tcW w:w="30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3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8,301,496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8,314,546</w:t>
            </w:r>
          </w:p>
        </w:tc>
        <w:tc>
          <w:tcPr>
            <w:tcW w:w="14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4,519,501</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3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590,971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1,199,135</w:t>
            </w:r>
          </w:p>
        </w:tc>
        <w:tc>
          <w:tcPr>
            <w:tcW w:w="0" w:type="dxa"/>
            <w:vAlign w:val="bottom"/>
          </w:tcPr>
          <w:p>
            <w:pPr>
              <w:spacing w:after="0"/>
              <w:rPr>
                <w:sz w:val="1"/>
                <w:szCs w:val="1"/>
                <w:color w:val="auto"/>
              </w:rPr>
            </w:pPr>
          </w:p>
        </w:tc>
      </w:tr>
      <w:tr>
        <w:trPr>
          <w:trHeight w:val="27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and assets placed in service</w:t>
            </w:r>
          </w:p>
        </w:tc>
        <w:tc>
          <w:tcPr>
            <w:tcW w:w="3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Dispositions</w:t>
            </w:r>
          </w:p>
        </w:tc>
        <w:tc>
          <w:tcPr>
            <w:tcW w:w="30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(194,369)</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30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8,698,098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8,301,496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8,314,546</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3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(1,200,941)</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(983,086)</w:t>
            </w:r>
          </w:p>
        </w:tc>
        <w:tc>
          <w:tcPr>
            <w:tcW w:w="14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(857,456)</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3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(125,630)</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Dispositions</w:t>
            </w:r>
          </w:p>
        </w:tc>
        <w:tc>
          <w:tcPr>
            <w:tcW w:w="30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3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(1,410,940)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(1,200,941)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(983,086)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20" w:type="dxa"/>
            <w:vAlign w:val="bottom"/>
          </w:tcPr>
          <w:p>
            <w:pPr>
              <w:spacing w:after="0"/>
              <w:rPr>
                <w:sz w:val="23"/>
                <w:szCs w:val="23"/>
                <w:color w:val="auto"/>
              </w:rPr>
            </w:pPr>
          </w:p>
        </w:tc>
        <w:tc>
          <w:tcPr>
            <w:tcW w:w="306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728" w:right="239" w:bottom="1440" w:gutter="0" w:footer="0" w:header="0"/>
        </w:sectPr>
      </w:pPr>
    </w:p>
    <w:bookmarkStart w:id="104" w:name="page105"/>
    <w:bookmarkEnd w:id="104"/>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MORTGAGE LOANS ON REAL ESTATE</w:t>
      </w:r>
    </w:p>
    <w:p>
      <w:pPr>
        <w:spacing w:after="0" w:line="374" w:lineRule="exact"/>
        <w:rPr>
          <w:sz w:val="20"/>
          <w:szCs w:val="20"/>
          <w:color w:val="auto"/>
        </w:rPr>
      </w:pPr>
    </w:p>
    <w:tbl>
      <w:tblPr>
        <w:tblLayout w:type="fixed"/>
        <w:tblInd w:w="712"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8"/>
        </w:trPr>
        <w:tc>
          <w:tcPr>
            <w:tcW w:w="6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31, 2019</w:t>
            </w:r>
          </w:p>
        </w:tc>
      </w:tr>
      <w:tr>
        <w:trPr>
          <w:trHeight w:val="244"/>
        </w:trPr>
        <w:tc>
          <w:tcPr>
            <w:tcW w:w="65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Borders>
              <w:bottom w:val="single" w:sz="8" w:color="auto"/>
            </w:tcBorders>
          </w:tcPr>
          <w:p>
            <w:pPr>
              <w:spacing w:after="0"/>
              <w:rPr>
                <w:sz w:val="21"/>
                <w:szCs w:val="2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Mortgage Loans: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7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57,684</w:t>
            </w:r>
          </w:p>
        </w:tc>
        <w:tc>
          <w:tcPr>
            <w:tcW w:w="140" w:type="dxa"/>
            <w:vAlign w:val="bottom"/>
          </w:tcPr>
          <w:p>
            <w:pPr>
              <w:spacing w:after="0"/>
              <w:rPr>
                <w:sz w:val="23"/>
                <w:szCs w:val="23"/>
                <w:color w:val="auto"/>
              </w:rPr>
            </w:pP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303,684</w:t>
            </w:r>
          </w:p>
        </w:tc>
      </w:tr>
      <w:tr>
        <w:trPr>
          <w:trHeight w:val="27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6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 mortgage loans</w:t>
            </w:r>
          </w:p>
        </w:tc>
        <w:tc>
          <w:tcPr>
            <w:tcW w:w="30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Deductions during the period:</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6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Collections of principal</w:t>
            </w:r>
          </w:p>
        </w:tc>
        <w:tc>
          <w:tcPr>
            <w:tcW w:w="30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xml:space="preserve">Other deductions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(57,684)</w:t>
            </w:r>
          </w:p>
        </w:tc>
        <w:tc>
          <w:tcPr>
            <w:tcW w:w="1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r>
      <w:tr>
        <w:trPr>
          <w:trHeight w:val="223"/>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57,684</w:t>
            </w: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8" w:firstLine="8"/>
        <w:spacing w:after="0" w:line="241" w:lineRule="auto"/>
        <w:tabs>
          <w:tab w:leader="none" w:pos="173"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October 1, 2019, the one-year anniversary of the CZR Loan, the mortgage evidenced by a deed of trust on the Lumière Place property terminated and the loan became unsecured.</w:t>
      </w:r>
    </w:p>
    <w:p>
      <w:pPr>
        <w:spacing w:after="0" w:line="223" w:lineRule="exact"/>
        <w:rPr>
          <w:rFonts w:ascii="Times New Roman" w:cs="Times New Roman" w:eastAsia="Times New Roman" w:hAnsi="Times New Roman"/>
          <w:sz w:val="22"/>
          <w:szCs w:val="22"/>
          <w:color w:val="auto"/>
          <w:vertAlign w:val="superscript"/>
        </w:rPr>
      </w:pPr>
    </w:p>
    <w:p>
      <w:pPr>
        <w:ind w:left="-8" w:right="220" w:firstLine="8"/>
        <w:spacing w:after="0" w:line="241" w:lineRule="auto"/>
        <w:tabs>
          <w:tab w:leader="none" w:pos="173"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May 2020, the Company acquired the real estate of Belterra Park in satisfaction of the loan, subject to a long-term lease (the "Belterra Park Lease") with a Boyd affiliate operating the property.</w:t>
      </w:r>
    </w:p>
    <w:p>
      <w:pPr>
        <w:spacing w:after="0" w:line="200" w:lineRule="exact"/>
        <w:rPr>
          <w:sz w:val="20"/>
          <w:szCs w:val="20"/>
          <w:color w:val="auto"/>
        </w:rPr>
      </w:pPr>
    </w:p>
    <w:p>
      <w:pPr>
        <w:spacing w:after="0" w:line="33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886"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ind w:right="80" w:firstLine="647"/>
        <w:spacing w:after="0" w:line="252"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principal financial officer, has evaluated the effectiveness of the Company's disclosure controls and procedures, as such term is defined under Rule 13a-15(e) promulgated under the Securities Exchange Act of 1934, as amended (the "Exchange Act"), as of December 31, 2020,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as of December 31, 2020 the Company's disclosure controls and procedures were effective to ensure that information required to be disclosed by the Company in reports it files or submits under the Exchange Act is (i) recorded, processed, summarized, evaluated and reported, as applicable, within the time periods specified in the United States Securities and Exchange Commission's rules and forms and</w:t>
      </w:r>
    </w:p>
    <w:p>
      <w:pPr>
        <w:spacing w:after="0" w:line="4" w:lineRule="exact"/>
        <w:rPr>
          <w:sz w:val="20"/>
          <w:szCs w:val="20"/>
          <w:color w:val="auto"/>
        </w:rPr>
      </w:pPr>
    </w:p>
    <w:p>
      <w:pPr>
        <w:ind w:right="160" w:firstLine="8"/>
        <w:spacing w:after="0" w:line="260"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the Company's management, including the Company's principal executive officer and principal financial officer, as appropriate to allow timely decisions regarding required disclosures.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61" w:lineRule="exact"/>
        <w:rPr>
          <w:sz w:val="20"/>
          <w:szCs w:val="20"/>
          <w:color w:val="auto"/>
        </w:rPr>
      </w:pPr>
    </w:p>
    <w:p>
      <w:pPr>
        <w:jc w:val="both"/>
        <w:ind w:right="320" w:firstLine="647"/>
        <w:spacing w:after="0" w:line="260"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an adequate system of internal control over financial reporting, as defined in Exchange Act Rules 13a-15(f) and 15d-15(f). The Company's management conducted an assessment of the Company's internal control over financial reporting and concluded it was effective as of December 31, 2020. In making this assessment, management used the criteria established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right="480" w:firstLine="647"/>
        <w:spacing w:after="0" w:line="312" w:lineRule="auto"/>
        <w:rPr>
          <w:sz w:val="20"/>
          <w:szCs w:val="20"/>
          <w:color w:val="auto"/>
        </w:rPr>
      </w:pPr>
      <w:r>
        <w:rPr>
          <w:rFonts w:ascii="Times New Roman" w:cs="Times New Roman" w:eastAsia="Times New Roman" w:hAnsi="Times New Roman"/>
          <w:sz w:val="17"/>
          <w:szCs w:val="17"/>
          <w:color w:val="auto"/>
        </w:rPr>
        <w:t>Deloitte &amp; Touche LLP, the Company's independent registered accounting firm, issued an audit report on the effectiveness of the Company's internal control over financial reporting as of December 31, 2020, which is included on the following page of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1" w:lineRule="exact"/>
        <w:rPr>
          <w:sz w:val="20"/>
          <w:szCs w:val="20"/>
          <w:color w:val="auto"/>
        </w:rPr>
      </w:pPr>
    </w:p>
    <w:p>
      <w:pPr>
        <w:ind w:firstLine="647"/>
        <w:spacing w:after="0" w:line="265"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Exchange Act Rules 13a-15(f) and 15d-15(f)) that occurred during the fiscal quarter ended December 31,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06" w:name="page107"/>
    <w:bookmarkEnd w:id="10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and Leisure Properties, Inc. and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Gaming and Leisure Properties, Inc. and Subsidiaries (the "Company") as of December 31, 2020,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i w:val="1"/>
          <w:iCs w:val="1"/>
          <w:color w:val="auto"/>
        </w:rPr>
        <w:t>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COSO.</w:t>
      </w:r>
    </w:p>
    <w:p>
      <w:pPr>
        <w:spacing w:after="0" w:line="20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and financial statement schedules as of and for the year ended December 31, 2020, of the Company and our report dated February 19, 2021, expressed an unqualified opinion on those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ectPr>
          <w:pgSz w:w="11900" w:h="16838" w:orient="portrait"/>
          <w:cols w:equalWidth="0" w:num="1">
            <w:col w:w="11180"/>
          </w:cols>
          <w:pgMar w:left="320" w:top="98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type w:val="continuous"/>
        </w:sectPr>
      </w:pPr>
    </w:p>
    <w:bookmarkStart w:id="107" w:name="page108"/>
    <w:bookmarkEnd w:id="107"/>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34" w:right="1440" w:bottom="1440" w:gutter="0" w:footer="0" w:header="0"/>
        </w:sectPr>
      </w:pPr>
    </w:p>
    <w:bookmarkStart w:id="108" w:name="page109"/>
    <w:bookmarkEnd w:id="10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3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61" w:lineRule="exact"/>
        <w:rPr>
          <w:sz w:val="20"/>
          <w:szCs w:val="20"/>
          <w:color w:val="auto"/>
        </w:rPr>
      </w:pPr>
    </w:p>
    <w:p>
      <w:pPr>
        <w:ind w:firstLine="647"/>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concerning directors is hereby incorporated by reference to the Company's definitive proxy statement for its 2021 Annual Meeting of Shareholders (the "2021 Proxy Statement"), to be filed with the U.S. Securities and Exchange Commission within 120 days after December 31, 2020, pursuant to Regulation 14A under the Securities Exchange Act of 1934, as amended. Information required by this item concerning executive officers is included in Part I of this Annual Report on Form 10-K.</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called for in this item is hereby incorporated by reference to the 2021 Proxy Statement.</w:t>
      </w:r>
    </w:p>
    <w:p>
      <w:pPr>
        <w:spacing w:after="0" w:line="200" w:lineRule="exact"/>
        <w:rPr>
          <w:sz w:val="20"/>
          <w:szCs w:val="20"/>
          <w:color w:val="auto"/>
        </w:rPr>
      </w:pPr>
    </w:p>
    <w:p>
      <w:pPr>
        <w:spacing w:after="0" w:line="277" w:lineRule="exact"/>
        <w:rPr>
          <w:sz w:val="20"/>
          <w:szCs w:val="20"/>
          <w:color w:val="auto"/>
        </w:rPr>
      </w:pPr>
    </w:p>
    <w:p>
      <w:pPr>
        <w:ind w:left="940" w:right="260" w:hanging="970"/>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STOCKHOLDERS MATTERS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called for in this item is hereby incorporated by reference to the 2021 Proxy Statement.</w:t>
      </w:r>
    </w:p>
    <w:p>
      <w:pPr>
        <w:spacing w:after="0" w:line="200" w:lineRule="exact"/>
        <w:rPr>
          <w:sz w:val="20"/>
          <w:szCs w:val="20"/>
          <w:color w:val="auto"/>
        </w:rPr>
      </w:pPr>
    </w:p>
    <w:p>
      <w:pPr>
        <w:spacing w:after="0" w:line="27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called for in this item is hereby incorporated by reference to the 2021 Proxy Statement.</w:t>
      </w:r>
    </w:p>
    <w:p>
      <w:pPr>
        <w:spacing w:after="0" w:line="15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called for in this item is hereby incorporated by reference to the 2021 Proxy Statement.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34" w:right="4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61" w:lineRule="exact"/>
        <w:rPr>
          <w:sz w:val="20"/>
          <w:szCs w:val="20"/>
          <w:color w:val="auto"/>
        </w:rPr>
      </w:pPr>
    </w:p>
    <w:p>
      <w:pPr>
        <w:ind w:right="140" w:firstLine="8"/>
        <w:spacing w:after="0" w:line="281" w:lineRule="auto"/>
        <w:tabs>
          <w:tab w:leader="none" w:pos="3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 The following is a list of the Consolidated Financial Statements of the Company and its subsidiaries and supplementary data filed as part of Item 8 hereof:</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Balance Sheets as of December 31, 2020 and 2019</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2020, 2019 and 2018</w:t>
      </w:r>
    </w:p>
    <w:p>
      <w:pPr>
        <w:spacing w:after="0" w:line="157" w:lineRule="exact"/>
        <w:rPr>
          <w:sz w:val="20"/>
          <w:szCs w:val="20"/>
          <w:color w:val="auto"/>
        </w:rPr>
      </w:pPr>
    </w:p>
    <w:p>
      <w:pPr>
        <w:ind w:left="1300" w:right="1540"/>
        <w:spacing w:after="0" w:line="414" w:lineRule="auto"/>
        <w:rPr>
          <w:sz w:val="20"/>
          <w:szCs w:val="20"/>
          <w:color w:val="auto"/>
        </w:rPr>
      </w:pPr>
      <w:r>
        <w:rPr>
          <w:rFonts w:ascii="Times New Roman" w:cs="Times New Roman" w:eastAsia="Times New Roman" w:hAnsi="Times New Roman"/>
          <w:sz w:val="18"/>
          <w:szCs w:val="18"/>
          <w:color w:val="auto"/>
        </w:rPr>
        <w:t>Consolidated Statements of Changes in Shareholders' Equity for the years ended December 31, 2020, 2019 and 2018 Consolidated Statements of Cash Flows for the years ended December 31, 2020, 2019 and 2018</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57" w:lineRule="exact"/>
        <w:rPr>
          <w:sz w:val="20"/>
          <w:szCs w:val="20"/>
          <w:color w:val="auto"/>
        </w:rPr>
      </w:pPr>
    </w:p>
    <w:p>
      <w:pPr>
        <w:ind w:left="1000" w:right="4320"/>
        <w:spacing w:after="0" w:line="414" w:lineRule="auto"/>
        <w:rPr>
          <w:sz w:val="20"/>
          <w:szCs w:val="20"/>
          <w:color w:val="auto"/>
        </w:rPr>
      </w:pPr>
      <w:r>
        <w:rPr>
          <w:rFonts w:ascii="Times New Roman" w:cs="Times New Roman" w:eastAsia="Times New Roman" w:hAnsi="Times New Roman"/>
          <w:sz w:val="18"/>
          <w:szCs w:val="18"/>
          <w:color w:val="auto"/>
        </w:rPr>
        <w:t>Schedule III. Real Estate and Accumulated Depreciation as of December 31, 2020 Schedule IV. Mortgage Loans on Real Estate as of December 31, 2020</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 Exhibits, Including Those Incorporated by Reference.</w:t>
      </w:r>
    </w:p>
    <w:p>
      <w:pPr>
        <w:spacing w:after="0" w:line="157" w:lineRule="exact"/>
        <w:rPr>
          <w:sz w:val="20"/>
          <w:szCs w:val="20"/>
          <w:color w:val="auto"/>
        </w:rPr>
      </w:pPr>
    </w:p>
    <w:p>
      <w:pPr>
        <w:ind w:firstLine="986"/>
        <w:spacing w:after="0" w:line="281" w:lineRule="auto"/>
        <w:rPr>
          <w:sz w:val="20"/>
          <w:szCs w:val="20"/>
          <w:color w:val="auto"/>
        </w:rPr>
      </w:pPr>
      <w:r>
        <w:rPr>
          <w:rFonts w:ascii="Times New Roman" w:cs="Times New Roman" w:eastAsia="Times New Roman" w:hAnsi="Times New Roman"/>
          <w:sz w:val="18"/>
          <w:szCs w:val="18"/>
          <w:color w:val="auto"/>
        </w:rPr>
        <w:t>The exhibits to this Report are listed on the accompanying index to exhibits and are incorporated herein by reference or are filed as part of this annual report on Form 10-K.</w:t>
      </w:r>
    </w:p>
    <w:p>
      <w:pPr>
        <w:spacing w:after="0" w:line="3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10" w:name="page111"/>
    <w:bookmarkEnd w:id="110"/>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0980"/>
          </w:cols>
          <w:pgMar w:left="540" w:top="913" w:right="379" w:bottom="144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24765</wp:posOffset>
            </wp:positionV>
            <wp:extent cx="5480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24765</wp:posOffset>
            </wp:positionV>
            <wp:extent cx="64985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98590" cy="8255"/>
                    </a:xfrm>
                    <a:prstGeom prst="rect">
                      <a:avLst/>
                    </a:prstGeom>
                    <a:noFill/>
                  </pic:spPr>
                </pic:pic>
              </a:graphicData>
            </a:graphic>
          </wp:anchor>
        </w:drawing>
      </w:r>
    </w:p>
    <w:p>
      <w:pPr>
        <w:spacing w:after="0" w:line="28" w:lineRule="exact"/>
        <w:rPr>
          <w:sz w:val="20"/>
          <w:szCs w:val="20"/>
          <w:color w:val="auto"/>
        </w:rPr>
      </w:pPr>
    </w:p>
    <w:p>
      <w:pPr>
        <w:ind w:right="400"/>
        <w:spacing w:after="0" w:line="262" w:lineRule="auto"/>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7"/>
            <w:szCs w:val="17"/>
            <w:u w:val="single" w:color="auto"/>
            <w:color w:val="0000FF"/>
          </w:rPr>
          <w:t>Separation and Distribution Agreement, dated November 1, 2013, by and between Penn National Gaming, Inc. and Gaming and Leisure</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Properties, Inc. (Incorporated by reference to Exhibit 2.1 to the Company's current report on Form 8-K filed on November 7, 2013).</w:t>
        </w:r>
      </w:hyperlink>
    </w:p>
    <w:p>
      <w:pPr>
        <w:spacing w:after="0" w:line="20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Agreement and Plan of Merger, dated as of July 20, 2015, by and among Pinnacle Entertainment, Inc., Gaming and Leisure Properties, Inc.</w:t>
        </w:r>
      </w:hyperlink>
    </w:p>
    <w:p>
      <w:pPr>
        <w:spacing w:after="0"/>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and Gold Merger Sub, LLC. (Incorporated by reference to Exhibit 2.1 to the Company's current report on Form 8-K filed on July 22, 2015).</w:t>
        </w:r>
      </w:hyperlink>
    </w:p>
    <w:p>
      <w:pPr>
        <w:spacing w:after="0" w:line="270" w:lineRule="exact"/>
        <w:rPr>
          <w:sz w:val="20"/>
          <w:szCs w:val="20"/>
          <w:color w:val="auto"/>
        </w:rPr>
      </w:pPr>
    </w:p>
    <w:p>
      <w:pPr>
        <w:jc w:val="both"/>
        <w:ind w:right="600"/>
        <w:spacing w:after="0" w:line="226"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Amendment No. 1, dated as of March 25, 2016, to Agreement and Plan of Merger, dated as of July 20, 2015, by and among Pinnacle</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Entertainment, Inc., Gaming and Leisure Properties, Inc. and Gold Merger Sub, LLC. (Incorporated by reference to Exhibit 2.1 to the</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Company's current report on Form 8-K filed on March 28, 2016).</w:t>
        </w:r>
      </w:hyperlink>
    </w:p>
    <w:p>
      <w:pPr>
        <w:spacing w:after="0" w:line="15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0" w:space="200"/>
            <w:col w:w="10180"/>
          </w:cols>
          <w:pgMar w:left="540" w:top="913" w:right="379" w:bottom="1440" w:gutter="0" w:footer="0" w:header="0"/>
          <w:type w:val="continuous"/>
        </w:sectPr>
      </w:pPr>
    </w:p>
    <w:p>
      <w:pPr>
        <w:jc w:val="both"/>
        <w:ind w:left="800" w:right="220" w:hanging="421"/>
        <w:spacing w:after="0" w:line="226"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2.4</w:t>
      </w:r>
      <w:r>
        <w:rPr>
          <w:sz w:val="20"/>
          <w:szCs w:val="20"/>
          <w:color w:val="auto"/>
        </w:rPr>
        <w:tab/>
      </w:r>
      <w:hyperlink r:id="rId136">
        <w:r>
          <w:rPr>
            <w:rFonts w:ascii="Times New Roman" w:cs="Times New Roman" w:eastAsia="Times New Roman" w:hAnsi="Times New Roman"/>
            <w:sz w:val="18"/>
            <w:szCs w:val="18"/>
            <w:u w:val="single" w:color="auto"/>
            <w:color w:val="0000FF"/>
          </w:rPr>
          <w:t>Separation and Distribution Agreement, dated April 28, 2016, by and between PNK Entertainment, Inc., Pinnacle Entertainment, Inc. and</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solely with respect to Article VIII, Gaming and Leisure Properties, Inc. (Incorporated by reference to Exhibit 2.4 to the Company's current</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report on Form 8-K filed on April 28, 2016).</w:t>
        </w:r>
      </w:hyperlink>
    </w:p>
    <w:p>
      <w:pPr>
        <w:spacing w:after="0" w:line="157" w:lineRule="exact"/>
        <w:rPr>
          <w:rFonts w:ascii="Times New Roman" w:cs="Times New Roman" w:eastAsia="Times New Roman" w:hAnsi="Times New Roman"/>
          <w:sz w:val="18"/>
          <w:szCs w:val="18"/>
          <w:u w:val="single" w:color="auto"/>
          <w:color w:val="0000FF"/>
        </w:rPr>
      </w:pPr>
    </w:p>
    <w:p>
      <w:pPr>
        <w:jc w:val="both"/>
        <w:ind w:left="800" w:right="140" w:hanging="421"/>
        <w:spacing w:after="0" w:line="226"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2.5</w:t>
      </w:r>
      <w:r>
        <w:rPr>
          <w:sz w:val="20"/>
          <w:szCs w:val="20"/>
          <w:color w:val="auto"/>
        </w:rPr>
        <w:tab/>
      </w:r>
      <w:hyperlink r:id="rId137">
        <w:r>
          <w:rPr>
            <w:rFonts w:ascii="Times New Roman" w:cs="Times New Roman" w:eastAsia="Times New Roman" w:hAnsi="Times New Roman"/>
            <w:sz w:val="18"/>
            <w:szCs w:val="18"/>
            <w:u w:val="single" w:color="auto"/>
            <w:color w:val="0000FF"/>
          </w:rPr>
          <w:t>Agreement and Plan of Merger, dated as of April 15, 2018, by and among Eldorado Resorts, Inc., Delta Merger Sub, Inc., GLP Capital, L.P.</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and Tropicana Entertainment Inc. (Incorporated by reference to Exhibit 2.1 to the Company's current report on Form 8-K, filed on April 16,</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2018).</w:t>
        </w:r>
      </w:hyperlink>
    </w:p>
    <w:p>
      <w:pPr>
        <w:spacing w:after="0" w:line="157" w:lineRule="exact"/>
        <w:rPr>
          <w:rFonts w:ascii="Times New Roman" w:cs="Times New Roman" w:eastAsia="Times New Roman" w:hAnsi="Times New Roman"/>
          <w:sz w:val="18"/>
          <w:szCs w:val="18"/>
          <w:u w:val="single" w:color="auto"/>
          <w:color w:val="0000FF"/>
        </w:rPr>
      </w:pPr>
    </w:p>
    <w:p>
      <w:pPr>
        <w:ind w:left="800" w:right="60" w:hanging="421"/>
        <w:spacing w:after="0" w:line="237"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2.6</w:t>
      </w:r>
      <w:r>
        <w:rPr>
          <w:sz w:val="20"/>
          <w:szCs w:val="20"/>
          <w:color w:val="auto"/>
        </w:rPr>
        <w:tab/>
      </w:r>
      <w:hyperlink r:id="rId138">
        <w:r>
          <w:rPr>
            <w:rFonts w:ascii="Times New Roman" w:cs="Times New Roman" w:eastAsia="Times New Roman" w:hAnsi="Times New Roman"/>
            <w:sz w:val="18"/>
            <w:szCs w:val="18"/>
            <w:u w:val="single" w:color="auto"/>
            <w:color w:val="0000FF"/>
          </w:rPr>
          <w:t>Purchase and Sale Agreement, dated as of April 15, 2018, by and between Tropicana Entertainment Inc. and GLP Capital, L.P. (Incorporated</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by reference to Exhibit 2.2 to the Company's current report on Form 8-K, filed on April 16, 2018).</w:t>
        </w:r>
      </w:hyperlink>
    </w:p>
    <w:p>
      <w:pPr>
        <w:spacing w:after="0" w:line="158" w:lineRule="exact"/>
        <w:rPr>
          <w:sz w:val="20"/>
          <w:szCs w:val="20"/>
          <w:color w:val="auto"/>
        </w:rPr>
      </w:pPr>
    </w:p>
    <w:p>
      <w:pPr>
        <w:ind w:left="800" w:right="20" w:hanging="421"/>
        <w:spacing w:after="0" w:line="226"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2.7</w:t>
      </w:r>
      <w:r>
        <w:rPr>
          <w:sz w:val="20"/>
          <w:szCs w:val="20"/>
          <w:color w:val="auto"/>
        </w:rPr>
        <w:tab/>
      </w:r>
      <w:hyperlink r:id="rId139">
        <w:r>
          <w:rPr>
            <w:rFonts w:ascii="Times New Roman" w:cs="Times New Roman" w:eastAsia="Times New Roman" w:hAnsi="Times New Roman"/>
            <w:sz w:val="18"/>
            <w:szCs w:val="18"/>
            <w:u w:val="single" w:color="auto"/>
            <w:color w:val="0000FF"/>
          </w:rPr>
          <w:t>Amendment No. 1 and Joinder to Purchase and Sale Agreement, dated as of October 1, 2018, by and among Tropicana Entertainment, Inc.,</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Eldorado Resorts, Inc. and GLP Capital, L.P. (Incorporated by reference to Exhibit 2.3 to the Company's current report on Form 8-K, filed on</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October 1, 2018).</w:t>
        </w:r>
      </w:hyperlink>
    </w:p>
    <w:p>
      <w:pPr>
        <w:spacing w:after="0" w:line="157" w:lineRule="exact"/>
        <w:rPr>
          <w:rFonts w:ascii="Times New Roman" w:cs="Times New Roman" w:eastAsia="Times New Roman" w:hAnsi="Times New Roman"/>
          <w:sz w:val="18"/>
          <w:szCs w:val="18"/>
          <w:u w:val="single" w:color="auto"/>
          <w:color w:val="0000FF"/>
        </w:rPr>
      </w:pPr>
    </w:p>
    <w:p>
      <w:pPr>
        <w:ind w:left="800" w:right="400" w:hanging="421"/>
        <w:spacing w:after="0" w:line="237"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40">
        <w:r>
          <w:rPr>
            <w:rFonts w:ascii="Times New Roman" w:cs="Times New Roman" w:eastAsia="Times New Roman" w:hAnsi="Times New Roman"/>
            <w:sz w:val="18"/>
            <w:szCs w:val="18"/>
            <w:u w:val="single" w:color="auto"/>
            <w:color w:val="0000FF"/>
          </w:rPr>
          <w:t>Amended and Restated Articles of Incorporation of Gaming and Leisure Properties,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Company's current report on Form 8-K filed on June 15, 2018).</w:t>
        </w:r>
      </w:hyperlink>
    </w:p>
    <w:p>
      <w:pPr>
        <w:spacing w:after="0" w:line="158" w:lineRule="exact"/>
        <w:rPr>
          <w:sz w:val="20"/>
          <w:szCs w:val="20"/>
          <w:color w:val="auto"/>
        </w:rPr>
      </w:pPr>
    </w:p>
    <w:p>
      <w:pPr>
        <w:ind w:left="800" w:right="260" w:hanging="421"/>
        <w:spacing w:after="0" w:line="237"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41">
        <w:r>
          <w:rPr>
            <w:rFonts w:ascii="Times New Roman" w:cs="Times New Roman" w:eastAsia="Times New Roman" w:hAnsi="Times New Roman"/>
            <w:sz w:val="18"/>
            <w:szCs w:val="18"/>
            <w:u w:val="single" w:color="auto"/>
            <w:color w:val="0000FF"/>
          </w:rPr>
          <w:t>Amended and Restated Bylaws of Gaming and Leisure Properties, Inc. (Incorporated by reference to Exhibit 3.2 to the Company's current</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report on Form 8-K filed on June 15, 2018).</w:t>
        </w:r>
      </w:hyperlink>
    </w:p>
    <w:p>
      <w:pPr>
        <w:spacing w:after="0" w:line="146" w:lineRule="exact"/>
        <w:rPr>
          <w:sz w:val="20"/>
          <w:szCs w:val="20"/>
          <w:color w:val="auto"/>
        </w:rPr>
      </w:pPr>
    </w:p>
    <w:p>
      <w:pPr>
        <w:ind w:left="360"/>
        <w:spacing w:after="0"/>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42">
        <w:r>
          <w:rPr>
            <w:rFonts w:ascii="Times New Roman" w:cs="Times New Roman" w:eastAsia="Times New Roman" w:hAnsi="Times New Roman"/>
            <w:sz w:val="17"/>
            <w:szCs w:val="17"/>
            <w:u w:val="single" w:color="auto"/>
            <w:color w:val="0000FF"/>
          </w:rPr>
          <w:t>Indenture, dated as of October 30, 2013, among GLP Capital, L.P. and GLP Financing II, Inc., as Issuers, Gaming and Leisure</w:t>
        </w:r>
      </w:hyperlink>
    </w:p>
    <w:p>
      <w:pPr>
        <w:ind w:left="800"/>
        <w:spacing w:after="0" w:line="225"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Properties, Inc., as Parent Guarantor, and Wells Fargo Bank, National Association, as Trustee.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Company's current report on Form 8-K filed on November 1, 2013).</w:t>
        </w:r>
      </w:hyperlink>
    </w:p>
    <w:p>
      <w:pPr>
        <w:spacing w:after="0" w:line="158" w:lineRule="exact"/>
        <w:rPr>
          <w:sz w:val="20"/>
          <w:szCs w:val="20"/>
          <w:color w:val="auto"/>
        </w:rPr>
      </w:pPr>
    </w:p>
    <w:p>
      <w:pPr>
        <w:ind w:left="800" w:right="100" w:hanging="421"/>
        <w:spacing w:after="0" w:line="226"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43">
        <w:r>
          <w:rPr>
            <w:rFonts w:ascii="Times New Roman" w:cs="Times New Roman" w:eastAsia="Times New Roman" w:hAnsi="Times New Roman"/>
            <w:sz w:val="18"/>
            <w:szCs w:val="18"/>
            <w:u w:val="single" w:color="auto"/>
            <w:color w:val="0000FF"/>
          </w:rPr>
          <w:t>First Supplemental Indenture, dated as of March 28, 2016, by and among GLP Capital, L.P. and GLP Financing II, Inc., as Issuers and Wells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Fargo Bank, National Association, as Trustee. (Incorporated by reference to Exhibit 4.1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on March 28, 2016).</w:t>
        </w:r>
      </w:hyperlink>
    </w:p>
    <w:p>
      <w:pPr>
        <w:spacing w:after="0" w:line="157" w:lineRule="exact"/>
        <w:rPr>
          <w:rFonts w:ascii="Times New Roman" w:cs="Times New Roman" w:eastAsia="Times New Roman" w:hAnsi="Times New Roman"/>
          <w:sz w:val="18"/>
          <w:szCs w:val="18"/>
          <w:u w:val="single" w:color="auto"/>
          <w:color w:val="0000FF"/>
        </w:rPr>
      </w:pPr>
    </w:p>
    <w:p>
      <w:pPr>
        <w:ind w:left="800" w:right="40" w:hanging="421"/>
        <w:spacing w:after="0" w:line="226"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44">
        <w:r>
          <w:rPr>
            <w:rFonts w:ascii="Times New Roman" w:cs="Times New Roman" w:eastAsia="Times New Roman" w:hAnsi="Times New Roman"/>
            <w:sz w:val="18"/>
            <w:szCs w:val="18"/>
            <w:u w:val="single" w:color="auto"/>
            <w:color w:val="0000FF"/>
          </w:rPr>
          <w:t>Second Supplemental Indenture, dated as of April 28, 2016, by and among GLP Capital, L.P. and GLP Financing II, Inc. as Issuers and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Gaming and Leisure Properties, Inc, as Parent Guarantor and Wells Fargo Bank, National Association, as Trustee. (Incorporated by reference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to Exhibit 4.3 to the Company's current report on Form 8-K filed on April 28, 2016).</w:t>
        </w:r>
      </w:hyperlink>
    </w:p>
    <w:p>
      <w:pPr>
        <w:spacing w:after="0" w:line="157" w:lineRule="exact"/>
        <w:rPr>
          <w:rFonts w:ascii="Times New Roman" w:cs="Times New Roman" w:eastAsia="Times New Roman" w:hAnsi="Times New Roman"/>
          <w:sz w:val="18"/>
          <w:szCs w:val="18"/>
          <w:u w:val="single" w:color="auto"/>
          <w:color w:val="0000FF"/>
        </w:rPr>
      </w:pPr>
    </w:p>
    <w:p>
      <w:pPr>
        <w:ind w:left="800" w:right="40" w:hanging="421"/>
        <w:spacing w:after="0" w:line="226"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45">
        <w:r>
          <w:rPr>
            <w:rFonts w:ascii="Times New Roman" w:cs="Times New Roman" w:eastAsia="Times New Roman" w:hAnsi="Times New Roman"/>
            <w:sz w:val="18"/>
            <w:szCs w:val="18"/>
            <w:u w:val="single" w:color="auto"/>
            <w:color w:val="0000FF"/>
          </w:rPr>
          <w:t>Third Supplemental Indenture, dated as of April 28, 2016, by and among GLP Capital, L.P. and GLP Financing II, Inc. as Issuers and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Gaming and Leisure Properties, Inc. as Parent Guarantor and Wells Fargo Bank, National Association, as Trustee. (Incorporated by reference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to Exhibit 4.4 to the Company's current report on Form 8-K filed on April 28, 2016).</w:t>
        </w:r>
      </w:hyperlink>
    </w:p>
    <w:p>
      <w:pPr>
        <w:spacing w:after="0" w:line="157" w:lineRule="exact"/>
        <w:rPr>
          <w:rFonts w:ascii="Times New Roman" w:cs="Times New Roman" w:eastAsia="Times New Roman" w:hAnsi="Times New Roman"/>
          <w:sz w:val="18"/>
          <w:szCs w:val="18"/>
          <w:u w:val="single" w:color="auto"/>
          <w:color w:val="0000FF"/>
        </w:rPr>
      </w:pPr>
    </w:p>
    <w:p>
      <w:pPr>
        <w:ind w:left="800" w:right="120" w:hanging="421"/>
        <w:spacing w:after="0" w:line="226"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146">
        <w:r>
          <w:rPr>
            <w:rFonts w:ascii="Times New Roman" w:cs="Times New Roman" w:eastAsia="Times New Roman" w:hAnsi="Times New Roman"/>
            <w:sz w:val="18"/>
            <w:szCs w:val="18"/>
            <w:u w:val="single" w:color="auto"/>
            <w:color w:val="0000FF"/>
          </w:rPr>
          <w:t>Fourth Supplemental Indenture, dated May 21, 2018, by and among GLP Capital, L.P. and GLP Financing II, Inc. as Issuers, Gaming and</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Leisure Properties, Inc., as Parent Guarantor, and Wells Fargo Bank, National Association, as Trustee, relating to the Issuers' 4.375% Senior</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Notes due 2018. (Incorporated by reference to Exhibit 4.3 to the Company's current report on Form 8-K, filed on May 22, 2018).</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42" w:lineRule="exact"/>
        <w:rPr>
          <w:rFonts w:ascii="Times New Roman" w:cs="Times New Roman" w:eastAsia="Times New Roman" w:hAnsi="Times New Roman"/>
          <w:sz w:val="18"/>
          <w:szCs w:val="18"/>
          <w:u w:val="single" w:color="auto"/>
          <w:color w:val="0000FF"/>
        </w:rPr>
      </w:pPr>
    </w:p>
    <w:p>
      <w:pPr>
        <w:jc w:val="center"/>
        <w:ind w:right="1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40" w:top="913" w:right="379" w:bottom="1440" w:gutter="0" w:footer="0" w:header="0"/>
          <w:type w:val="continuous"/>
        </w:sectPr>
      </w:pPr>
    </w:p>
    <w:bookmarkStart w:id="111" w:name="page112"/>
    <w:bookmarkEnd w:id="111"/>
    <w:p>
      <w:pPr>
        <w:spacing w:after="0" w:line="3" w:lineRule="exact"/>
        <w:rPr>
          <w:sz w:val="20"/>
          <w:szCs w:val="20"/>
          <w:color w:val="auto"/>
        </w:rPr>
      </w:pPr>
    </w:p>
    <w:p>
      <w:pPr>
        <w:ind w:left="520" w:right="240" w:hanging="421"/>
        <w:spacing w:after="0" w:line="22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148">
        <w:r>
          <w:rPr>
            <w:rFonts w:ascii="Times New Roman" w:cs="Times New Roman" w:eastAsia="Times New Roman" w:hAnsi="Times New Roman"/>
            <w:sz w:val="18"/>
            <w:szCs w:val="18"/>
            <w:u w:val="single" w:color="auto"/>
            <w:color w:val="0000FF"/>
          </w:rPr>
          <w:t>Fifth Supplemental Indenture, dated May 21, 2018, among GLP Capital, L.P. and GLP Financing II, Inc. as Issuers, Gaming and Leisure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Properties, Inc., as Parent Guarantor, and Wells Fargo Bank, National Association, as Trustee, relating to the Issuers' 5.250% Senior Notes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due 2025. (Incorporated by reference to Exhibit 4.4 to the Company's current report on Form 8-K, filed on May 22, 2018).</w:t>
        </w:r>
      </w:hyperlink>
    </w:p>
    <w:p>
      <w:pPr>
        <w:spacing w:after="0" w:line="157" w:lineRule="exact"/>
        <w:rPr>
          <w:rFonts w:ascii="Times New Roman" w:cs="Times New Roman" w:eastAsia="Times New Roman" w:hAnsi="Times New Roman"/>
          <w:sz w:val="18"/>
          <w:szCs w:val="18"/>
          <w:u w:val="single" w:color="auto"/>
          <w:color w:val="0000FF"/>
        </w:rPr>
      </w:pPr>
    </w:p>
    <w:p>
      <w:pPr>
        <w:ind w:left="520" w:right="120" w:hanging="421"/>
        <w:spacing w:after="0" w:line="22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149">
        <w:r>
          <w:rPr>
            <w:rFonts w:ascii="Times New Roman" w:cs="Times New Roman" w:eastAsia="Times New Roman" w:hAnsi="Times New Roman"/>
            <w:sz w:val="18"/>
            <w:szCs w:val="18"/>
            <w:u w:val="single" w:color="auto"/>
            <w:color w:val="0000FF"/>
          </w:rPr>
          <w:t>Sixth Supplemental Indenture, dated May 21, 2018, by and among GLP Capital, L.P. and GLP Financing II, Inc. as Issuers, Gaming and</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Leisure Properties, Inc., as Parent Guarantor, and Wells Fargo Bank, National Association, as Trustee, relating to the Issuers' 5.750% Senior</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Notes due 2028. (Incorporated by reference to Exhibit 4.5 to the Company's current report on Form 8-K, filed on May 22, 2018).</w:t>
        </w:r>
      </w:hyperlink>
    </w:p>
    <w:p>
      <w:pPr>
        <w:spacing w:after="0" w:line="157" w:lineRule="exact"/>
        <w:rPr>
          <w:rFonts w:ascii="Times New Roman" w:cs="Times New Roman" w:eastAsia="Times New Roman" w:hAnsi="Times New Roman"/>
          <w:sz w:val="18"/>
          <w:szCs w:val="18"/>
          <w:u w:val="single" w:color="auto"/>
          <w:color w:val="0000FF"/>
        </w:rPr>
      </w:pPr>
    </w:p>
    <w:p>
      <w:pPr>
        <w:jc w:val="right"/>
        <w:ind w:left="80" w:right="300"/>
        <w:spacing w:after="0" w:line="21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4.8  </w:t>
      </w:r>
      <w:hyperlink r:id="rId150">
        <w:r>
          <w:rPr>
            <w:rFonts w:ascii="Times New Roman" w:cs="Times New Roman" w:eastAsia="Times New Roman" w:hAnsi="Times New Roman"/>
            <w:sz w:val="18"/>
            <w:szCs w:val="18"/>
            <w:u w:val="single" w:color="auto"/>
            <w:color w:val="0000FF"/>
          </w:rPr>
          <w:t>Seventh Supplemental Indenture, dated as of September 26, 2018, by and among GLP Capital, L.P. and GLP Financing II, Inc. as Issuers,</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Gaming and Leisure Properties, Inc., as Parent Guarantor, and Wells Fargo Bank, National Association, as Trustee, relating to the Issuers'</w:t>
        </w:r>
      </w:hyperlink>
    </w:p>
    <w:p>
      <w:pPr>
        <w:ind w:left="520"/>
        <w:spacing w:after="0" w:line="204"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5.300% Senior Notes due 2029. (Incorporated by reference to Exhibit 4.4 to the Company's current report on Form 8-K, filed on September</w:t>
        </w:r>
      </w:hyperlink>
    </w:p>
    <w:p>
      <w:pPr>
        <w:spacing w:after="0" w:line="1" w:lineRule="exact"/>
        <w:rPr>
          <w:sz w:val="20"/>
          <w:szCs w:val="20"/>
          <w:color w:val="auto"/>
        </w:rPr>
      </w:pPr>
    </w:p>
    <w:p>
      <w:pPr>
        <w:ind w:left="52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26, 2018).</w:t>
        </w:r>
      </w:hyperlink>
    </w:p>
    <w:p>
      <w:pPr>
        <w:spacing w:after="0" w:line="164" w:lineRule="exact"/>
        <w:rPr>
          <w:sz w:val="20"/>
          <w:szCs w:val="20"/>
          <w:color w:val="auto"/>
        </w:rPr>
      </w:pPr>
    </w:p>
    <w:p>
      <w:pPr>
        <w:jc w:val="both"/>
        <w:ind w:left="520" w:right="20" w:hanging="421"/>
        <w:spacing w:after="0" w:line="22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151">
        <w:r>
          <w:rPr>
            <w:rFonts w:ascii="Times New Roman" w:cs="Times New Roman" w:eastAsia="Times New Roman" w:hAnsi="Times New Roman"/>
            <w:sz w:val="18"/>
            <w:szCs w:val="18"/>
            <w:u w:val="single" w:color="auto"/>
            <w:color w:val="0000FF"/>
          </w:rPr>
          <w:t>Eighth Supplemental Indenture, dated August 29, 2019, among GLP Capital, L.P. and GLP Financing II, Inc., as issuers, Gaming and Leisure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Properties, Inc., as parent guarantor, and Wells Fargo Bank, National Association, as trustee, relating to the issuers’ 3.350% Senior Notes due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2024. (Incorporated by reference to Exhibit 4.3 of the Company's current report on Form 8-K, filed on September 5, 2019).</w:t>
        </w:r>
      </w:hyperlink>
    </w:p>
    <w:p>
      <w:pPr>
        <w:spacing w:after="0" w:line="157" w:lineRule="exact"/>
        <w:rPr>
          <w:rFonts w:ascii="Times New Roman" w:cs="Times New Roman" w:eastAsia="Times New Roman" w:hAnsi="Times New Roman"/>
          <w:sz w:val="18"/>
          <w:szCs w:val="18"/>
          <w:u w:val="single" w:color="auto"/>
          <w:color w:val="0000FF"/>
        </w:rPr>
      </w:pPr>
    </w:p>
    <w:p>
      <w:pPr>
        <w:jc w:val="both"/>
        <w:ind w:left="520" w:right="20" w:hanging="511"/>
        <w:spacing w:after="0" w:line="22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152">
        <w:r>
          <w:rPr>
            <w:rFonts w:ascii="Times New Roman" w:cs="Times New Roman" w:eastAsia="Times New Roman" w:hAnsi="Times New Roman"/>
            <w:sz w:val="18"/>
            <w:szCs w:val="18"/>
            <w:u w:val="single" w:color="auto"/>
            <w:color w:val="0000FF"/>
          </w:rPr>
          <w:t>Ninth Supplemental Indenture, dated August 29, 2019, among GLP Capital, L.P. and GLP Financing II, Inc., as issuers, Gaming and Leisure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Properties, Inc., as parent guarantor, and Wells Fargo Bank, National Association, as trustee, relating to the issuers’ 4.000% Senior Notes due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2030. (Incorporated by reference to Exhibit 4.4 of the Company's current report on Form 8-K, filed on September 5, 2019).</w:t>
        </w:r>
      </w:hyperlink>
    </w:p>
    <w:p>
      <w:pPr>
        <w:spacing w:after="0" w:line="157" w:lineRule="exact"/>
        <w:rPr>
          <w:rFonts w:ascii="Times New Roman" w:cs="Times New Roman" w:eastAsia="Times New Roman" w:hAnsi="Times New Roman"/>
          <w:sz w:val="18"/>
          <w:szCs w:val="18"/>
          <w:u w:val="single" w:color="auto"/>
          <w:color w:val="0000FF"/>
        </w:rPr>
      </w:pPr>
    </w:p>
    <w:p>
      <w:pPr>
        <w:ind w:left="520" w:right="180" w:hanging="505"/>
        <w:spacing w:after="0" w:line="22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153">
        <w:r>
          <w:rPr>
            <w:rFonts w:ascii="Times New Roman" w:cs="Times New Roman" w:eastAsia="Times New Roman" w:hAnsi="Times New Roman"/>
            <w:sz w:val="18"/>
            <w:szCs w:val="18"/>
            <w:u w:val="single" w:color="auto"/>
            <w:color w:val="0000FF"/>
          </w:rPr>
          <w:t>Tenth Supplemental Indenture, dated as of June 25, 2020, among GLP Capital, L.P. and GLP Financing II, Inc., as Issuers, Gaming and</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Leisure Properties, Inc., as Parent Guarantor, and Wells Fargo Bank, National Association, as Trustee (Incorporated by reference to Exhibit</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4.3 of the Company's current report on Form 8-K filed on July 1, 2020).</w:t>
        </w:r>
      </w:hyperlink>
    </w:p>
    <w:p>
      <w:pPr>
        <w:spacing w:after="0" w:line="157" w:lineRule="exact"/>
        <w:rPr>
          <w:rFonts w:ascii="Times New Roman" w:cs="Times New Roman" w:eastAsia="Times New Roman" w:hAnsi="Times New Roman"/>
          <w:sz w:val="18"/>
          <w:szCs w:val="18"/>
          <w:u w:val="single" w:color="auto"/>
          <w:color w:val="0000FF"/>
        </w:rPr>
      </w:pPr>
    </w:p>
    <w:p>
      <w:pPr>
        <w:ind w:left="520" w:right="60" w:hanging="511"/>
        <w:spacing w:after="0" w:line="237"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hyperlink r:id="rId154">
        <w:r>
          <w:rPr>
            <w:rFonts w:ascii="Times New Roman" w:cs="Times New Roman" w:eastAsia="Times New Roman" w:hAnsi="Times New Roman"/>
            <w:sz w:val="18"/>
            <w:szCs w:val="18"/>
            <w:u w:val="single" w:color="auto"/>
            <w:color w:val="0000FF"/>
          </w:rPr>
          <w:t>Officer's Certificate of GLP Capital, L.P. and GLP Financing II, Inc., dated as of October 30, 2013, establishing the 2018 Notes and the 2023</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Notes. (Incorporated by reference to Exhibit 4.2 to the Company's current report on Form 8-K filed on November 1, 2013).</w:t>
        </w:r>
      </w:hyperlink>
    </w:p>
    <w:p>
      <w:pPr>
        <w:spacing w:after="0" w:line="146" w:lineRule="exact"/>
        <w:rPr>
          <w:sz w:val="20"/>
          <w:szCs w:val="20"/>
          <w:color w:val="auto"/>
        </w:rPr>
      </w:pPr>
    </w:p>
    <w:p>
      <w:pPr>
        <w:spacing w:after="0"/>
        <w:tabs>
          <w:tab w:leader="none" w:pos="5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155">
        <w:r>
          <w:rPr>
            <w:rFonts w:ascii="Times New Roman" w:cs="Times New Roman" w:eastAsia="Times New Roman" w:hAnsi="Times New Roman"/>
            <w:sz w:val="17"/>
            <w:szCs w:val="17"/>
            <w:u w:val="single" w:color="auto"/>
            <w:color w:val="0000FF"/>
          </w:rPr>
          <w:t>Officer's Certificate of GLP Capital, L.P. and GLP Financing II, Inc., dated as of October 31, 2013, establishing the 2020 Notes.</w:t>
        </w:r>
      </w:hyperlink>
    </w:p>
    <w:p>
      <w:pPr>
        <w:ind w:left="520"/>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(Incorporated by reference to Exhibit 4.3 to the Company's current report on Form 8-K filed on November 1, 2013).</w:t>
        </w:r>
      </w:hyperlink>
    </w:p>
    <w:p>
      <w:pPr>
        <w:spacing w:after="0" w:line="164" w:lineRule="exact"/>
        <w:rPr>
          <w:sz w:val="20"/>
          <w:szCs w:val="20"/>
          <w:color w:val="auto"/>
        </w:rPr>
      </w:pPr>
    </w:p>
    <w:p>
      <w:pPr>
        <w:ind w:left="520" w:right="140" w:hanging="511"/>
        <w:spacing w:after="0" w:line="237"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144">
        <w:r>
          <w:rPr>
            <w:rFonts w:ascii="Times New Roman" w:cs="Times New Roman" w:eastAsia="Times New Roman" w:hAnsi="Times New Roman"/>
            <w:sz w:val="18"/>
            <w:szCs w:val="18"/>
            <w:u w:val="single" w:color="auto"/>
            <w:color w:val="0000FF"/>
          </w:rPr>
          <w:t>Form of 2021 Note (Incorporated by reference to Exhibit 4.3 and included in Exhibit 4.3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on April 28, 2016).</w:t>
        </w:r>
      </w:hyperlink>
    </w:p>
    <w:p>
      <w:pPr>
        <w:spacing w:after="0" w:line="158" w:lineRule="exact"/>
        <w:rPr>
          <w:sz w:val="20"/>
          <w:szCs w:val="20"/>
          <w:color w:val="auto"/>
        </w:rPr>
      </w:pPr>
    </w:p>
    <w:p>
      <w:pPr>
        <w:ind w:left="520" w:right="140" w:hanging="511"/>
        <w:spacing w:after="0" w:line="237"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4.15</w:t>
      </w:r>
      <w:r>
        <w:rPr>
          <w:sz w:val="20"/>
          <w:szCs w:val="20"/>
          <w:color w:val="auto"/>
        </w:rPr>
        <w:tab/>
      </w:r>
      <w:hyperlink r:id="rId145">
        <w:r>
          <w:rPr>
            <w:rFonts w:ascii="Times New Roman" w:cs="Times New Roman" w:eastAsia="Times New Roman" w:hAnsi="Times New Roman"/>
            <w:sz w:val="18"/>
            <w:szCs w:val="18"/>
            <w:u w:val="single" w:color="auto"/>
            <w:color w:val="0000FF"/>
          </w:rPr>
          <w:t>Form of 2026 Note (Incorporated by reference to Exhibit 4.4 and included in Exhibit 4.4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on April 28, 2016).</w:t>
        </w:r>
      </w:hyperlink>
    </w:p>
    <w:p>
      <w:pPr>
        <w:spacing w:after="0" w:line="158" w:lineRule="exact"/>
        <w:rPr>
          <w:sz w:val="20"/>
          <w:szCs w:val="20"/>
          <w:color w:val="auto"/>
        </w:rPr>
      </w:pPr>
    </w:p>
    <w:p>
      <w:pPr>
        <w:ind w:left="520" w:right="100" w:hanging="511"/>
        <w:spacing w:after="0" w:line="237"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148">
        <w:r>
          <w:rPr>
            <w:rFonts w:ascii="Times New Roman" w:cs="Times New Roman" w:eastAsia="Times New Roman" w:hAnsi="Times New Roman"/>
            <w:sz w:val="18"/>
            <w:szCs w:val="18"/>
            <w:u w:val="single" w:color="auto"/>
            <w:color w:val="0000FF"/>
          </w:rPr>
          <w:t>Form of 2025 Note (Incorporated by reference to Exhibit 4.6 and included in Exhibit 4.4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on May 22, 2018).</w:t>
        </w:r>
      </w:hyperlink>
    </w:p>
    <w:p>
      <w:pPr>
        <w:spacing w:after="0" w:line="158" w:lineRule="exact"/>
        <w:rPr>
          <w:sz w:val="20"/>
          <w:szCs w:val="20"/>
          <w:color w:val="auto"/>
        </w:rPr>
      </w:pPr>
    </w:p>
    <w:p>
      <w:pPr>
        <w:ind w:left="520" w:right="100" w:hanging="511"/>
        <w:spacing w:after="0" w:line="237"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149">
        <w:r>
          <w:rPr>
            <w:rFonts w:ascii="Times New Roman" w:cs="Times New Roman" w:eastAsia="Times New Roman" w:hAnsi="Times New Roman"/>
            <w:sz w:val="18"/>
            <w:szCs w:val="18"/>
            <w:u w:val="single" w:color="auto"/>
            <w:color w:val="0000FF"/>
          </w:rPr>
          <w:t>Form of 2028 Note (Incorporated by reference to Exhibit 4.7 and included in Exhibit 4.5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on May 22, 2018).</w:t>
        </w:r>
      </w:hyperlink>
    </w:p>
    <w:p>
      <w:pPr>
        <w:spacing w:after="0" w:line="158" w:lineRule="exact"/>
        <w:rPr>
          <w:sz w:val="20"/>
          <w:szCs w:val="20"/>
          <w:color w:val="auto"/>
        </w:rPr>
      </w:pPr>
    </w:p>
    <w:p>
      <w:pPr>
        <w:ind w:left="520" w:right="100" w:hanging="511"/>
        <w:spacing w:after="0" w:line="237"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4.18</w:t>
      </w:r>
      <w:r>
        <w:rPr>
          <w:sz w:val="20"/>
          <w:szCs w:val="20"/>
          <w:color w:val="auto"/>
        </w:rPr>
        <w:tab/>
      </w:r>
      <w:hyperlink r:id="rId150">
        <w:r>
          <w:rPr>
            <w:rFonts w:ascii="Times New Roman" w:cs="Times New Roman" w:eastAsia="Times New Roman" w:hAnsi="Times New Roman"/>
            <w:sz w:val="18"/>
            <w:szCs w:val="18"/>
            <w:u w:val="single" w:color="auto"/>
            <w:color w:val="0000FF"/>
          </w:rPr>
          <w:t>Form of 2029 Note (Incorporated by reference to Exhibit 4.8 and included in Exhibit 4.4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on September 26, 2018).</w:t>
        </w:r>
      </w:hyperlink>
    </w:p>
    <w:p>
      <w:pPr>
        <w:spacing w:after="0" w:line="158" w:lineRule="exact"/>
        <w:rPr>
          <w:sz w:val="20"/>
          <w:szCs w:val="20"/>
          <w:color w:val="auto"/>
        </w:rPr>
      </w:pPr>
    </w:p>
    <w:p>
      <w:pPr>
        <w:ind w:left="520" w:right="40" w:hanging="511"/>
        <w:spacing w:after="0" w:line="237"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4.19</w:t>
      </w:r>
      <w:r>
        <w:rPr>
          <w:sz w:val="20"/>
          <w:szCs w:val="20"/>
          <w:color w:val="auto"/>
        </w:rPr>
        <w:tab/>
      </w:r>
      <w:hyperlink r:id="rId151">
        <w:r>
          <w:rPr>
            <w:rFonts w:ascii="Times New Roman" w:cs="Times New Roman" w:eastAsia="Times New Roman" w:hAnsi="Times New Roman"/>
            <w:sz w:val="18"/>
            <w:szCs w:val="18"/>
            <w:u w:val="single" w:color="auto"/>
            <w:color w:val="0000FF"/>
          </w:rPr>
          <w:t>Form of 2024 Note. (Incorporated by reference to Exhibit 4.9 and included in Exhibit 4.3 of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on September 5, 2019).</w:t>
        </w:r>
      </w:hyperlink>
    </w:p>
    <w:p>
      <w:pPr>
        <w:spacing w:after="0" w:line="158" w:lineRule="exact"/>
        <w:rPr>
          <w:sz w:val="20"/>
          <w:szCs w:val="20"/>
          <w:color w:val="auto"/>
        </w:rPr>
      </w:pPr>
    </w:p>
    <w:p>
      <w:pPr>
        <w:ind w:left="520" w:hanging="511"/>
        <w:spacing w:after="0" w:line="237"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4.20</w:t>
      </w:r>
      <w:r>
        <w:rPr>
          <w:sz w:val="20"/>
          <w:szCs w:val="20"/>
          <w:color w:val="auto"/>
        </w:rPr>
        <w:tab/>
      </w:r>
      <w:hyperlink r:id="rId152">
        <w:r>
          <w:rPr>
            <w:rFonts w:ascii="Times New Roman" w:cs="Times New Roman" w:eastAsia="Times New Roman" w:hAnsi="Times New Roman"/>
            <w:sz w:val="18"/>
            <w:szCs w:val="18"/>
            <w:u w:val="single" w:color="auto"/>
            <w:color w:val="0000FF"/>
          </w:rPr>
          <w:t>Form of 2030 Note (Incorporated by reference to Exhibit 4.10 and included in Exhibit 4.4 of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on September 5, 2019).</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20" w:top="1440" w:right="379" w:bottom="1440" w:gutter="0" w:footer="0" w:header="0"/>
        </w:sectPr>
      </w:pPr>
    </w:p>
    <w:bookmarkStart w:id="112" w:name="page113"/>
    <w:bookmarkEnd w:id="112"/>
    <w:p>
      <w:pPr>
        <w:ind w:left="620" w:right="60" w:hanging="511"/>
        <w:spacing w:after="0" w:line="26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4.21</w:t>
      </w:r>
      <w:r>
        <w:rPr>
          <w:sz w:val="20"/>
          <w:szCs w:val="20"/>
          <w:color w:val="auto"/>
        </w:rPr>
        <w:tab/>
      </w:r>
      <w:hyperlink r:id="rId157">
        <w:r>
          <w:rPr>
            <w:rFonts w:ascii="Times New Roman" w:cs="Times New Roman" w:eastAsia="Times New Roman" w:hAnsi="Times New Roman"/>
            <w:sz w:val="18"/>
            <w:szCs w:val="18"/>
            <w:u w:val="single" w:color="auto"/>
            <w:color w:val="0000FF"/>
          </w:rPr>
          <w:t>Form of 2031 Note (Incorporated by reference to Exhibit 4.11 and included in Exhibit 4.3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on August 18, 2020).</w:t>
        </w:r>
      </w:hyperlink>
    </w:p>
    <w:p>
      <w:pPr>
        <w:spacing w:after="0" w:line="215" w:lineRule="exact"/>
        <w:rPr>
          <w:sz w:val="20"/>
          <w:szCs w:val="20"/>
          <w:color w:val="auto"/>
        </w:rPr>
      </w:pPr>
    </w:p>
    <w:p>
      <w:pPr>
        <w:ind w:left="60"/>
        <w:spacing w:after="0"/>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4.22*</w:t>
      </w:r>
      <w:r>
        <w:rPr>
          <w:sz w:val="20"/>
          <w:szCs w:val="20"/>
          <w:color w:val="auto"/>
        </w:rPr>
        <w:tab/>
      </w:r>
      <w:hyperlink w:anchor="page118">
        <w:r>
          <w:rPr>
            <w:rFonts w:ascii="Times New Roman" w:cs="Times New Roman" w:eastAsia="Times New Roman" w:hAnsi="Times New Roman"/>
            <w:sz w:val="17"/>
            <w:szCs w:val="17"/>
            <w:u w:val="single" w:color="auto"/>
            <w:color w:val="0000FF"/>
          </w:rPr>
          <w:t>Description of securities registered pursuant to Section 12 of the Securities Exchange Act of 1934.</w:t>
        </w:r>
      </w:hyperlink>
    </w:p>
    <w:p>
      <w:pPr>
        <w:spacing w:after="0" w:line="184" w:lineRule="exact"/>
        <w:rPr>
          <w:sz w:val="20"/>
          <w:szCs w:val="20"/>
          <w:color w:val="auto"/>
        </w:rPr>
      </w:pPr>
    </w:p>
    <w:p>
      <w:pPr>
        <w:ind w:left="620" w:right="80" w:hanging="51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58">
        <w:r>
          <w:rPr>
            <w:rFonts w:ascii="Times New Roman" w:cs="Times New Roman" w:eastAsia="Times New Roman" w:hAnsi="Times New Roman"/>
            <w:sz w:val="18"/>
            <w:szCs w:val="18"/>
            <w:u w:val="single" w:color="auto"/>
            <w:color w:val="0000FF"/>
          </w:rPr>
          <w:t>Registration Rights Agreement, dated as of October 30, 2013, by and among GLP Capital, L.P., GLP Financing II, Inc., Gaming and Leisure</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Properties, Inc. and Merrill Lynch, Pierce, Fenner &amp; Smith Incorporated and the other initial purchasers named therein, with respect to the</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2018 Notes. (Incorporated by reference to Exhibit 10.1 to the Company's current report on Form 8-K filed on November 1, 2013).</w:t>
        </w:r>
      </w:hyperlink>
    </w:p>
    <w:p>
      <w:pPr>
        <w:spacing w:after="0" w:line="157" w:lineRule="exact"/>
        <w:rPr>
          <w:rFonts w:ascii="Times New Roman" w:cs="Times New Roman" w:eastAsia="Times New Roman" w:hAnsi="Times New Roman"/>
          <w:sz w:val="18"/>
          <w:szCs w:val="18"/>
          <w:u w:val="single" w:color="auto"/>
          <w:color w:val="0000FF"/>
        </w:rPr>
      </w:pPr>
    </w:p>
    <w:p>
      <w:pPr>
        <w:ind w:left="620" w:right="80" w:hanging="51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59">
        <w:r>
          <w:rPr>
            <w:rFonts w:ascii="Times New Roman" w:cs="Times New Roman" w:eastAsia="Times New Roman" w:hAnsi="Times New Roman"/>
            <w:sz w:val="18"/>
            <w:szCs w:val="18"/>
            <w:u w:val="single" w:color="auto"/>
            <w:color w:val="0000FF"/>
          </w:rPr>
          <w:t>Registration Rights Agreement, dated as of October 30, 2013, by and among GLP Capital, L.P., GLP Financing II, Inc., Gaming and Leisure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Properties, Inc. and Merrill Lynch, Pierce, Fenner &amp; Smith Incorporated and the other initial purchasers named therein, with respect to the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2023 Notes. (Incorporated by reference to Exhibit 10.2 to the Company's current report on Form 8-K filed on November 1, 2013).</w:t>
        </w:r>
      </w:hyperlink>
    </w:p>
    <w:p>
      <w:pPr>
        <w:spacing w:after="0" w:line="157" w:lineRule="exact"/>
        <w:rPr>
          <w:rFonts w:ascii="Times New Roman" w:cs="Times New Roman" w:eastAsia="Times New Roman" w:hAnsi="Times New Roman"/>
          <w:sz w:val="18"/>
          <w:szCs w:val="18"/>
          <w:u w:val="single" w:color="auto"/>
          <w:color w:val="0000FF"/>
        </w:rPr>
      </w:pPr>
    </w:p>
    <w:p>
      <w:pPr>
        <w:ind w:left="620" w:right="80" w:hanging="51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60">
        <w:r>
          <w:rPr>
            <w:rFonts w:ascii="Times New Roman" w:cs="Times New Roman" w:eastAsia="Times New Roman" w:hAnsi="Times New Roman"/>
            <w:sz w:val="18"/>
            <w:szCs w:val="18"/>
            <w:u w:val="single" w:color="auto"/>
            <w:color w:val="0000FF"/>
          </w:rPr>
          <w:t>Registration Rights Agreement, dated as of October 31, 2013, by and among GLP Capital, L.P., GLP Financing II, Inc., Gaming and Leisure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Properties, Inc. and Merrill Lynch, Pierce, Fenner &amp; Smith Incorporated and the other initial purchasers named therein, with respect to the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2020 Notes. (Incorporated by reference to Exhibit 10.3 to the Company's current report on Form 8-K filed on November 1, 2013).</w:t>
        </w:r>
      </w:hyperlink>
    </w:p>
    <w:p>
      <w:pPr>
        <w:spacing w:after="0" w:line="157" w:lineRule="exact"/>
        <w:rPr>
          <w:rFonts w:ascii="Times New Roman" w:cs="Times New Roman" w:eastAsia="Times New Roman" w:hAnsi="Times New Roman"/>
          <w:sz w:val="18"/>
          <w:szCs w:val="18"/>
          <w:u w:val="single" w:color="auto"/>
          <w:color w:val="0000FF"/>
        </w:rPr>
      </w:pPr>
    </w:p>
    <w:p>
      <w:pPr>
        <w:ind w:left="620" w:right="220" w:hanging="51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61">
        <w:r>
          <w:rPr>
            <w:rFonts w:ascii="Times New Roman" w:cs="Times New Roman" w:eastAsia="Times New Roman" w:hAnsi="Times New Roman"/>
            <w:sz w:val="18"/>
            <w:szCs w:val="18"/>
            <w:u w:val="single" w:color="auto"/>
            <w:color w:val="0000FF"/>
          </w:rPr>
          <w:t>Credit Agreement, dated as of October 28, 2013, among GLP Capital, L.P., as successor-by-merger to GLP Financing, LLC, each lender</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from time to time party thereto and JPMorgan Chase Bank, N.A., as administrative agent. (Incorporated by reference to Exhibit 10.4 to the</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Company's current report on Form 8-K filed on November 1, 2013).</w:t>
        </w:r>
      </w:hyperlink>
    </w:p>
    <w:p>
      <w:pPr>
        <w:spacing w:after="0" w:line="157" w:lineRule="exact"/>
        <w:rPr>
          <w:rFonts w:ascii="Times New Roman" w:cs="Times New Roman" w:eastAsia="Times New Roman" w:hAnsi="Times New Roman"/>
          <w:sz w:val="18"/>
          <w:szCs w:val="18"/>
          <w:u w:val="single" w:color="auto"/>
          <w:color w:val="0000FF"/>
        </w:rPr>
      </w:pPr>
    </w:p>
    <w:p>
      <w:pPr>
        <w:ind w:left="620" w:right="300" w:hanging="51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62">
        <w:r>
          <w:rPr>
            <w:rFonts w:ascii="Times New Roman" w:cs="Times New Roman" w:eastAsia="Times New Roman" w:hAnsi="Times New Roman"/>
            <w:sz w:val="18"/>
            <w:szCs w:val="18"/>
            <w:u w:val="single" w:color="auto"/>
            <w:color w:val="0000FF"/>
          </w:rPr>
          <w:t>Amendment No. 1, dated as of July 31, 2015, to the Credit Agreement dated as of October 28, 2013 among GLP Capital, L.P., the several</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banks and other financial institutions party thereto, JPMorgan Chase Bank, N.A., as Administrative Agent and the various other parties</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thereto. (Incorporated by reference to Exhibit 10.2 to the Company's Registration Statement on S-4 filed on August 28, 2015).</w:t>
        </w:r>
      </w:hyperlink>
    </w:p>
    <w:p>
      <w:pPr>
        <w:spacing w:after="0" w:line="157" w:lineRule="exact"/>
        <w:rPr>
          <w:rFonts w:ascii="Times New Roman" w:cs="Times New Roman" w:eastAsia="Times New Roman" w:hAnsi="Times New Roman"/>
          <w:sz w:val="18"/>
          <w:szCs w:val="18"/>
          <w:u w:val="single" w:color="auto"/>
          <w:color w:val="0000FF"/>
        </w:rPr>
      </w:pPr>
    </w:p>
    <w:p>
      <w:pPr>
        <w:ind w:left="620" w:right="100" w:hanging="511"/>
        <w:spacing w:after="0" w:line="220"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63">
        <w:r>
          <w:rPr>
            <w:rFonts w:ascii="Times New Roman" w:cs="Times New Roman" w:eastAsia="Times New Roman" w:hAnsi="Times New Roman"/>
            <w:sz w:val="18"/>
            <w:szCs w:val="18"/>
            <w:u w:val="single" w:color="auto"/>
            <w:color w:val="0000FF"/>
          </w:rPr>
          <w:t>First Amendment, dated as of March 25, 2016, to Amendment No. 1, dated as of July 31, 2015, to the Credit Agreement dated as of October</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28, 2013 among GLP Capital, L.P., the several banks and other financial institutions party thereto, JPMorgan Chase Bank, N.A., as</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Administrative Agent and the various other parties thereto. (Incorporated by reference to Exhibit 10.1 to the Company's current report on</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Form 8-K filed on March 28, 2016).</w:t>
        </w:r>
      </w:hyperlink>
    </w:p>
    <w:p>
      <w:pPr>
        <w:spacing w:after="0" w:line="158" w:lineRule="exact"/>
        <w:rPr>
          <w:rFonts w:ascii="Times New Roman" w:cs="Times New Roman" w:eastAsia="Times New Roman" w:hAnsi="Times New Roman"/>
          <w:sz w:val="18"/>
          <w:szCs w:val="18"/>
          <w:u w:val="single" w:color="auto"/>
          <w:color w:val="0000FF"/>
        </w:rPr>
      </w:pPr>
    </w:p>
    <w:p>
      <w:pPr>
        <w:ind w:left="620" w:right="280" w:hanging="51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64">
        <w:r>
          <w:rPr>
            <w:rFonts w:ascii="Times New Roman" w:cs="Times New Roman" w:eastAsia="Times New Roman" w:hAnsi="Times New Roman"/>
            <w:sz w:val="18"/>
            <w:szCs w:val="18"/>
            <w:u w:val="single" w:color="auto"/>
            <w:color w:val="0000FF"/>
          </w:rPr>
          <w:t>Amendment No. 2, dated as of May 21, 2018, to the Credit Agreement dated as of October 28, 2013 among GLP Capital, L.P., the several</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banks and other financial institutions party thereto, JPMorgan Chase Bank, N.A., as Administrative Agent and the various other parties</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thereto. (Incorporated by reference to Exhibit 10.1 to the Company's current report on Form 8-K, filed on May 22, 2018).</w:t>
        </w:r>
      </w:hyperlink>
    </w:p>
    <w:p>
      <w:pPr>
        <w:spacing w:after="0" w:line="157" w:lineRule="exact"/>
        <w:rPr>
          <w:rFonts w:ascii="Times New Roman" w:cs="Times New Roman" w:eastAsia="Times New Roman" w:hAnsi="Times New Roman"/>
          <w:sz w:val="18"/>
          <w:szCs w:val="18"/>
          <w:u w:val="single" w:color="auto"/>
          <w:color w:val="0000FF"/>
        </w:rPr>
      </w:pPr>
    </w:p>
    <w:p>
      <w:pPr>
        <w:ind w:left="620" w:right="20" w:hanging="51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65">
        <w:r>
          <w:rPr>
            <w:rFonts w:ascii="Times New Roman" w:cs="Times New Roman" w:eastAsia="Times New Roman" w:hAnsi="Times New Roman"/>
            <w:sz w:val="18"/>
            <w:szCs w:val="18"/>
            <w:u w:val="single" w:color="auto"/>
            <w:color w:val="0000FF"/>
          </w:rPr>
          <w:t>Amendment No. 3, dated as of October 10, 2018, to the Credit Agreement dated as of October 28, 2013 among GLP Capital, L.P., the several</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banks and other financial institutions party thereto, JPMorgan Chase Bank, N.A., as Administrative Agent and the various other parties</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thereto. (Incorporated by reference to Exhibit 10.5 to the Company's quarterly report on Form 10-Q filed on November 1, 2018).</w:t>
        </w:r>
      </w:hyperlink>
    </w:p>
    <w:p>
      <w:pPr>
        <w:spacing w:after="0" w:line="157" w:lineRule="exact"/>
        <w:rPr>
          <w:rFonts w:ascii="Times New Roman" w:cs="Times New Roman" w:eastAsia="Times New Roman" w:hAnsi="Times New Roman"/>
          <w:sz w:val="18"/>
          <w:szCs w:val="18"/>
          <w:u w:val="single" w:color="auto"/>
          <w:color w:val="0000FF"/>
        </w:rPr>
      </w:pPr>
    </w:p>
    <w:p>
      <w:pPr>
        <w:ind w:left="620" w:right="140" w:hanging="51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66">
        <w:r>
          <w:rPr>
            <w:rFonts w:ascii="Times New Roman" w:cs="Times New Roman" w:eastAsia="Times New Roman" w:hAnsi="Times New Roman"/>
            <w:sz w:val="18"/>
            <w:szCs w:val="18"/>
            <w:u w:val="single" w:color="auto"/>
            <w:color w:val="0000FF"/>
          </w:rPr>
          <w:t>Amendment No. 5, dated as of March 30, 2020, to the Credit Agreement dated as of October 28, 2013 among GLP Capital, L.P., the several</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banks and other financial institutions party thereto, JPMorgan Chase Bank, N.A., as Administrative Agent and the various other parties</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thereto (Incorporated by reference to Exhibit 4.1 to the Company's quarterly report on Form 10-Q filed on May 1, 2020).</w:t>
        </w:r>
      </w:hyperlink>
    </w:p>
    <w:p>
      <w:pPr>
        <w:spacing w:after="0" w:line="157" w:lineRule="exact"/>
        <w:rPr>
          <w:rFonts w:ascii="Times New Roman" w:cs="Times New Roman" w:eastAsia="Times New Roman" w:hAnsi="Times New Roman"/>
          <w:sz w:val="18"/>
          <w:szCs w:val="18"/>
          <w:u w:val="single" w:color="auto"/>
          <w:color w:val="0000FF"/>
        </w:rPr>
      </w:pPr>
    </w:p>
    <w:p>
      <w:pPr>
        <w:ind w:left="620" w:right="160" w:hanging="60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67">
        <w:r>
          <w:rPr>
            <w:rFonts w:ascii="Times New Roman" w:cs="Times New Roman" w:eastAsia="Times New Roman" w:hAnsi="Times New Roman"/>
            <w:sz w:val="18"/>
            <w:szCs w:val="18"/>
            <w:u w:val="single" w:color="auto"/>
            <w:color w:val="0000FF"/>
          </w:rPr>
          <w:t>Amendment No. 6, dated as of June 25, 2020, to the Credit Agreement dated as of October 28, 2013 among GLP Capital, L.P., the several</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banks and other financial institutions party thereto, JPMorgan Chase Bank, N.A., as administrative agent, as further amended (Incorporated</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by reference to Exhibit 10.1 to the Company's current report on Form 8-K filed on July 1, 2020).</w:t>
        </w:r>
      </w:hyperlink>
    </w:p>
    <w:p>
      <w:pPr>
        <w:spacing w:after="0" w:line="157" w:lineRule="exact"/>
        <w:rPr>
          <w:rFonts w:ascii="Times New Roman" w:cs="Times New Roman" w:eastAsia="Times New Roman" w:hAnsi="Times New Roman"/>
          <w:sz w:val="18"/>
          <w:szCs w:val="18"/>
          <w:u w:val="single" w:color="auto"/>
          <w:color w:val="0000FF"/>
        </w:rPr>
      </w:pPr>
    </w:p>
    <w:p>
      <w:pPr>
        <w:ind w:left="620" w:hanging="594"/>
        <w:spacing w:after="0" w:line="237"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68">
        <w:r>
          <w:rPr>
            <w:rFonts w:ascii="Times New Roman" w:cs="Times New Roman" w:eastAsia="Times New Roman" w:hAnsi="Times New Roman"/>
            <w:sz w:val="18"/>
            <w:szCs w:val="18"/>
            <w:u w:val="single" w:color="auto"/>
            <w:color w:val="0000FF"/>
          </w:rPr>
          <w:t>Master Lease, dated November 1, 2013, by and among GLP Capital L.P. and Penn Tenant, LLC.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the Company's current report on Form 8-K filed on November 7, 2013).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20" w:top="1173" w:right="379" w:bottom="1440" w:gutter="0" w:footer="0" w:header="0"/>
        </w:sectPr>
      </w:pPr>
    </w:p>
    <w:bookmarkStart w:id="113" w:name="page114"/>
    <w:bookmarkEnd w:id="113"/>
    <w:p>
      <w:pPr>
        <w:spacing w:after="0"/>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70">
        <w:r>
          <w:rPr>
            <w:rFonts w:ascii="Times New Roman" w:cs="Times New Roman" w:eastAsia="Times New Roman" w:hAnsi="Times New Roman"/>
            <w:sz w:val="17"/>
            <w:szCs w:val="17"/>
            <w:u w:val="single" w:color="auto"/>
            <w:color w:val="0000FF"/>
          </w:rPr>
          <w:t>First Amendment to the Master Lease Agreement, dated as of March 5, 2014, by and among GLP Capital L.P. and Penn Tenant, LLC.</w:t>
        </w:r>
      </w:hyperlink>
    </w:p>
    <w:p>
      <w:pPr>
        <w:ind w:left="620"/>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(Incorporated by reference to Exhibit 10.1 to the Company's quarterly report on Form 10-Q filed on May 12, 2014).</w:t>
        </w:r>
      </w:hyperlink>
    </w:p>
    <w:p>
      <w:pPr>
        <w:spacing w:after="0" w:line="152" w:lineRule="exact"/>
        <w:rPr>
          <w:sz w:val="20"/>
          <w:szCs w:val="20"/>
          <w:color w:val="auto"/>
        </w:rPr>
      </w:pPr>
    </w:p>
    <w:p>
      <w:pPr>
        <w:spacing w:after="0"/>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71">
        <w:r>
          <w:rPr>
            <w:rFonts w:ascii="Times New Roman" w:cs="Times New Roman" w:eastAsia="Times New Roman" w:hAnsi="Times New Roman"/>
            <w:sz w:val="17"/>
            <w:szCs w:val="17"/>
            <w:u w:val="single" w:color="auto"/>
            <w:color w:val="0000FF"/>
          </w:rPr>
          <w:t>Second Amendment to the Master Lease Agreement, dated as of April 18, 2014, by and among GLP Capital L.P. and Penn Tenant, LLC.</w:t>
        </w:r>
      </w:hyperlink>
    </w:p>
    <w:p>
      <w:pPr>
        <w:ind w:left="620"/>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(Incorporated by reference to Exhibit 10.1 to the Company's quarterly report on Form 10-Q filed on August 1, 2014).</w:t>
        </w:r>
      </w:hyperlink>
    </w:p>
    <w:p>
      <w:pPr>
        <w:spacing w:after="0" w:line="152" w:lineRule="exact"/>
        <w:rPr>
          <w:sz w:val="20"/>
          <w:szCs w:val="20"/>
          <w:color w:val="auto"/>
        </w:rPr>
      </w:pPr>
    </w:p>
    <w:p>
      <w:pPr>
        <w:spacing w:after="0"/>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72">
        <w:r>
          <w:rPr>
            <w:rFonts w:ascii="Times New Roman" w:cs="Times New Roman" w:eastAsia="Times New Roman" w:hAnsi="Times New Roman"/>
            <w:sz w:val="17"/>
            <w:szCs w:val="17"/>
            <w:u w:val="single" w:color="auto"/>
            <w:color w:val="0000FF"/>
          </w:rPr>
          <w:t>Third Amendment to the Master Lease Agreement, dated as of September 20, 2016, by and among GLP Capital L.P. and Penn Tenant, LLC.</w:t>
        </w:r>
      </w:hyperlink>
    </w:p>
    <w:p>
      <w:pPr>
        <w:ind w:left="620"/>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(Incorporated by reference to Exhibit 10.2 to the Company's quarterly report on Form 10-Q filed on November 9, 2016).</w:t>
        </w:r>
      </w:hyperlink>
    </w:p>
    <w:p>
      <w:pPr>
        <w:spacing w:after="0" w:line="152" w:lineRule="exact"/>
        <w:rPr>
          <w:sz w:val="20"/>
          <w:szCs w:val="20"/>
          <w:color w:val="auto"/>
        </w:rPr>
      </w:pPr>
    </w:p>
    <w:p>
      <w:pPr>
        <w:spacing w:after="0"/>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73">
        <w:r>
          <w:rPr>
            <w:rFonts w:ascii="Times New Roman" w:cs="Times New Roman" w:eastAsia="Times New Roman" w:hAnsi="Times New Roman"/>
            <w:sz w:val="17"/>
            <w:szCs w:val="17"/>
            <w:u w:val="single" w:color="auto"/>
            <w:color w:val="0000FF"/>
          </w:rPr>
          <w:t>Fourth Amendment to the Master Lease Agreement, dated as of May 1, 2017, by and among GLP Capital L.P. and Penn Tenant, LLC.</w:t>
        </w:r>
      </w:hyperlink>
    </w:p>
    <w:p>
      <w:pPr>
        <w:ind w:left="620"/>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(Incorporated by reference to Exhibit 10.2 to the Company's quarterly report on Form 10-Q filed on May 3, 2017).</w:t>
        </w:r>
      </w:hyperlink>
    </w:p>
    <w:p>
      <w:pPr>
        <w:spacing w:after="0" w:line="152" w:lineRule="exact"/>
        <w:rPr>
          <w:sz w:val="20"/>
          <w:szCs w:val="20"/>
          <w:color w:val="auto"/>
        </w:rPr>
      </w:pPr>
    </w:p>
    <w:p>
      <w:pPr>
        <w:spacing w:after="0"/>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74">
        <w:r>
          <w:rPr>
            <w:rFonts w:ascii="Times New Roman" w:cs="Times New Roman" w:eastAsia="Times New Roman" w:hAnsi="Times New Roman"/>
            <w:sz w:val="17"/>
            <w:szCs w:val="17"/>
            <w:u w:val="single" w:color="auto"/>
            <w:color w:val="0000FF"/>
          </w:rPr>
          <w:t>Fifth Amendment to the Master Lease Agreement, dated as of June 19, 2018, by and among GLP Capital L.P. and Penn Tenant, LLC.</w:t>
        </w:r>
      </w:hyperlink>
    </w:p>
    <w:p>
      <w:pPr>
        <w:ind w:left="620"/>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(Incorporated by reference to Exhibit 10.3 to the Company's quarterly report on Form 10-Q filed on August 1, 2018).</w:t>
        </w:r>
      </w:hyperlink>
    </w:p>
    <w:p>
      <w:pPr>
        <w:spacing w:after="0" w:line="152" w:lineRule="exact"/>
        <w:rPr>
          <w:sz w:val="20"/>
          <w:szCs w:val="20"/>
          <w:color w:val="auto"/>
        </w:rPr>
      </w:pPr>
    </w:p>
    <w:p>
      <w:pPr>
        <w:spacing w:after="0"/>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75">
        <w:r>
          <w:rPr>
            <w:rFonts w:ascii="Times New Roman" w:cs="Times New Roman" w:eastAsia="Times New Roman" w:hAnsi="Times New Roman"/>
            <w:sz w:val="17"/>
            <w:szCs w:val="17"/>
            <w:u w:val="single" w:color="auto"/>
            <w:color w:val="0000FF"/>
          </w:rPr>
          <w:t>Sixth Amendment to the Master Lease Agreement, dated as of August 8, 2018, by and among GLP Capital L.P. and Penn Tenant, LLC.</w:t>
        </w:r>
      </w:hyperlink>
    </w:p>
    <w:p>
      <w:pPr>
        <w:ind w:left="620"/>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(Incorporated by reference to Exhibit 10.1 to the Company's quarterly report on Form 10-Q filed on November 1, 2018).</w:t>
        </w:r>
      </w:hyperlink>
    </w:p>
    <w:p>
      <w:pPr>
        <w:spacing w:after="0" w:line="152" w:lineRule="exact"/>
        <w:rPr>
          <w:sz w:val="20"/>
          <w:szCs w:val="20"/>
          <w:color w:val="auto"/>
        </w:rPr>
      </w:pPr>
    </w:p>
    <w:p>
      <w:pPr>
        <w:spacing w:after="0"/>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76">
        <w:r>
          <w:rPr>
            <w:rFonts w:ascii="Times New Roman" w:cs="Times New Roman" w:eastAsia="Times New Roman" w:hAnsi="Times New Roman"/>
            <w:sz w:val="17"/>
            <w:szCs w:val="17"/>
            <w:u w:val="single" w:color="auto"/>
            <w:color w:val="0000FF"/>
          </w:rPr>
          <w:t>Seventh Amendment to the Master Lease Agreement, dated as of October 31, 2018, by and among GLP Capital L.P. and Penn Tenant, LLC.</w:t>
        </w:r>
      </w:hyperlink>
    </w:p>
    <w:p>
      <w:pPr>
        <w:ind w:left="620"/>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(Incorporated by reference to Exhibit 10.16 to the Company's annual report on Form 10-K filed on February 13, 2019).</w:t>
        </w:r>
      </w:hyperlink>
    </w:p>
    <w:p>
      <w:pPr>
        <w:spacing w:after="0" w:line="152" w:lineRule="exact"/>
        <w:rPr>
          <w:sz w:val="20"/>
          <w:szCs w:val="20"/>
          <w:color w:val="auto"/>
        </w:rPr>
      </w:pPr>
    </w:p>
    <w:p>
      <w:pPr>
        <w:spacing w:after="0"/>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77">
        <w:r>
          <w:rPr>
            <w:rFonts w:ascii="Times New Roman" w:cs="Times New Roman" w:eastAsia="Times New Roman" w:hAnsi="Times New Roman"/>
            <w:sz w:val="17"/>
            <w:szCs w:val="17"/>
            <w:u w:val="single" w:color="auto"/>
            <w:color w:val="0000FF"/>
          </w:rPr>
          <w:t>Eighth Amendment to the Master Lease Agreement, dated as of November 20, 2018, by and among GLP Capital L.P. and Penn Tenant, LLC.</w:t>
        </w:r>
      </w:hyperlink>
    </w:p>
    <w:p>
      <w:pPr>
        <w:ind w:left="620"/>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(Incorporated by reference to Exhibit 10.17 to the Company's annual report on Form 10-K filed on February 13, 2019).</w:t>
        </w:r>
      </w:hyperlink>
    </w:p>
    <w:p>
      <w:pPr>
        <w:spacing w:after="0" w:line="164" w:lineRule="exact"/>
        <w:rPr>
          <w:sz w:val="20"/>
          <w:szCs w:val="20"/>
          <w:color w:val="auto"/>
        </w:rPr>
      </w:pPr>
    </w:p>
    <w:p>
      <w:pPr>
        <w:ind w:left="620" w:right="20" w:hanging="601"/>
        <w:spacing w:after="0" w:line="237"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78">
        <w:r>
          <w:rPr>
            <w:rFonts w:ascii="Times New Roman" w:cs="Times New Roman" w:eastAsia="Times New Roman" w:hAnsi="Times New Roman"/>
            <w:sz w:val="18"/>
            <w:szCs w:val="18"/>
            <w:u w:val="single" w:color="auto"/>
            <w:color w:val="0000FF"/>
          </w:rPr>
          <w:t>Master Lease, dated April 28, 2016, by and among Gold Merger Sub, LLC (as successor to Pinnacle Entertainment, Inc.) and Pinnacle MLS,</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LLC. (Incorporated by reference to Exhibit 2.3 to the Company's current report on Form 8-K filed on April 28, 2016).</w:t>
        </w:r>
      </w:hyperlink>
    </w:p>
    <w:p>
      <w:pPr>
        <w:spacing w:after="0" w:line="158" w:lineRule="exact"/>
        <w:rPr>
          <w:sz w:val="20"/>
          <w:szCs w:val="20"/>
          <w:color w:val="auto"/>
        </w:rPr>
      </w:pPr>
    </w:p>
    <w:p>
      <w:pPr>
        <w:ind w:left="620" w:right="240" w:hanging="60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79">
        <w:r>
          <w:rPr>
            <w:rFonts w:ascii="Times New Roman" w:cs="Times New Roman" w:eastAsia="Times New Roman" w:hAnsi="Times New Roman"/>
            <w:sz w:val="18"/>
            <w:szCs w:val="18"/>
            <w:u w:val="single" w:color="auto"/>
            <w:color w:val="0000FF"/>
          </w:rPr>
          <w:t>First Amendment to the Master Lease, dated August 29, 2016, by and among Gold Merger Sub, LLC (as successor to Pinnacle</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Entertainment, Inc.) and Pinnacle MLS, LLC. (Incorporated by reference to Exhibit 10.1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filed on November 9, 2016).</w:t>
        </w:r>
      </w:hyperlink>
    </w:p>
    <w:p>
      <w:pPr>
        <w:spacing w:after="0" w:line="157" w:lineRule="exact"/>
        <w:rPr>
          <w:rFonts w:ascii="Times New Roman" w:cs="Times New Roman" w:eastAsia="Times New Roman" w:hAnsi="Times New Roman"/>
          <w:sz w:val="18"/>
          <w:szCs w:val="18"/>
          <w:u w:val="single" w:color="auto"/>
          <w:color w:val="0000FF"/>
        </w:rPr>
      </w:pPr>
    </w:p>
    <w:p>
      <w:pPr>
        <w:ind w:left="620" w:right="320" w:hanging="60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80">
        <w:r>
          <w:rPr>
            <w:rFonts w:ascii="Times New Roman" w:cs="Times New Roman" w:eastAsia="Times New Roman" w:hAnsi="Times New Roman"/>
            <w:sz w:val="18"/>
            <w:szCs w:val="18"/>
            <w:u w:val="single" w:color="auto"/>
            <w:color w:val="0000FF"/>
          </w:rPr>
          <w:t>Second Amendment to the Master Lease, dated October 25, 2016, by and among Gold Merger Sub, LLC (as successor to Pinnacle</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Entertainment, Inc.) and Pinnacle MLS, LLC. (Incorporated by reference to Exhibit 10.13 to the Company's annual report on Form 10-K</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filed on February 22, 2017).</w:t>
        </w:r>
      </w:hyperlink>
    </w:p>
    <w:p>
      <w:pPr>
        <w:spacing w:after="0" w:line="157" w:lineRule="exact"/>
        <w:rPr>
          <w:rFonts w:ascii="Times New Roman" w:cs="Times New Roman" w:eastAsia="Times New Roman" w:hAnsi="Times New Roman"/>
          <w:sz w:val="18"/>
          <w:szCs w:val="18"/>
          <w:u w:val="single" w:color="auto"/>
          <w:color w:val="0000FF"/>
        </w:rPr>
      </w:pPr>
    </w:p>
    <w:p>
      <w:pPr>
        <w:ind w:left="620" w:right="240" w:hanging="60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81">
        <w:r>
          <w:rPr>
            <w:rFonts w:ascii="Times New Roman" w:cs="Times New Roman" w:eastAsia="Times New Roman" w:hAnsi="Times New Roman"/>
            <w:sz w:val="18"/>
            <w:szCs w:val="18"/>
            <w:u w:val="single" w:color="auto"/>
            <w:color w:val="0000FF"/>
          </w:rPr>
          <w:t>Third Amendment to the Master Lease, dated March 24, 2017, by and among Gold Merger Sub, LLC (as successor to Pinnacle</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Entertainment, Inc.) and Pinnacle MLS, LLC. (Incorporated by reference to Exhibit 10.1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filed on May 3, 2017).</w:t>
        </w:r>
      </w:hyperlink>
    </w:p>
    <w:p>
      <w:pPr>
        <w:spacing w:after="0" w:line="157" w:lineRule="exact"/>
        <w:rPr>
          <w:rFonts w:ascii="Times New Roman" w:cs="Times New Roman" w:eastAsia="Times New Roman" w:hAnsi="Times New Roman"/>
          <w:sz w:val="18"/>
          <w:szCs w:val="18"/>
          <w:u w:val="single" w:color="auto"/>
          <w:color w:val="0000FF"/>
        </w:rPr>
      </w:pPr>
    </w:p>
    <w:p>
      <w:pPr>
        <w:ind w:left="620" w:right="40" w:hanging="60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82">
        <w:r>
          <w:rPr>
            <w:rFonts w:ascii="Times New Roman" w:cs="Times New Roman" w:eastAsia="Times New Roman" w:hAnsi="Times New Roman"/>
            <w:sz w:val="18"/>
            <w:szCs w:val="18"/>
            <w:u w:val="single" w:color="auto"/>
            <w:color w:val="0000FF"/>
          </w:rPr>
          <w:t>Fourth Amendment to the Master Lease, dated October 15, 2018, by and between Gold Merger Sub, LLC (as successor to Pinnacle</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Entertainment, Inc.) and Pinnacle MLS, LLC. (Incorporated by reference to Exhibit 10.1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on October 16, 2018).</w:t>
        </w:r>
      </w:hyperlink>
    </w:p>
    <w:p>
      <w:pPr>
        <w:spacing w:after="0" w:line="211" w:lineRule="exact"/>
        <w:rPr>
          <w:rFonts w:ascii="Times New Roman" w:cs="Times New Roman" w:eastAsia="Times New Roman" w:hAnsi="Times New Roman"/>
          <w:sz w:val="18"/>
          <w:szCs w:val="18"/>
          <w:u w:val="single" w:color="auto"/>
          <w:color w:val="0000FF"/>
        </w:rPr>
      </w:pPr>
    </w:p>
    <w:p>
      <w:pPr>
        <w:ind w:left="620" w:right="220" w:hanging="601"/>
        <w:spacing w:after="0" w:line="226" w:lineRule="auto"/>
        <w:tabs>
          <w:tab w:leader="none" w:pos="6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83">
        <w:r>
          <w:rPr>
            <w:rFonts w:ascii="Times New Roman" w:cs="Times New Roman" w:eastAsia="Times New Roman" w:hAnsi="Times New Roman"/>
            <w:sz w:val="18"/>
            <w:szCs w:val="18"/>
            <w:u w:val="single" w:color="auto"/>
            <w:color w:val="0000FF"/>
          </w:rPr>
          <w:t>Master Lease, dated October 1, 2018, by and among GLP Capital, L.P., Tropicana AC Sub Corp., Tropicana Entertainment, Inc. and</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Tropicana Atlantic City Corp (Incorporated by reference to Exhibit 10.1 to the Company's current report on Form 8-K, filed on October 1,</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2018).</w:t>
        </w:r>
      </w:hyperlink>
    </w:p>
    <w:p>
      <w:pPr>
        <w:spacing w:after="0" w:line="157" w:lineRule="exact"/>
        <w:rPr>
          <w:rFonts w:ascii="Times New Roman" w:cs="Times New Roman" w:eastAsia="Times New Roman" w:hAnsi="Times New Roman"/>
          <w:sz w:val="18"/>
          <w:szCs w:val="18"/>
          <w:u w:val="single" w:color="auto"/>
          <w:color w:val="0000FF"/>
        </w:rPr>
      </w:pPr>
    </w:p>
    <w:p>
      <w:pPr>
        <w:ind w:left="620" w:right="260" w:hanging="601"/>
        <w:spacing w:after="0" w:line="262"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84">
        <w:r>
          <w:rPr>
            <w:rFonts w:ascii="Times New Roman" w:cs="Times New Roman" w:eastAsia="Times New Roman" w:hAnsi="Times New Roman"/>
            <w:sz w:val="17"/>
            <w:szCs w:val="17"/>
            <w:u w:val="single" w:color="auto"/>
            <w:color w:val="0000FF"/>
          </w:rPr>
          <w:t>First Amendment to Master Lease, dated June 6, 2019, by and among GLP Capital, L.P., Tropicana Entertainment, Inc. and Tropicana</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Atlantic City Corp. (Incorporated by reference to Exhibit 10.1 to the Company's quarterly report on Form 10-Q, filed on August 8, 2019).</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20" w:top="946" w:right="419" w:bottom="1440" w:gutter="0" w:footer="0" w:header="0"/>
        </w:sectPr>
      </w:pPr>
    </w:p>
    <w:bookmarkStart w:id="114" w:name="page115"/>
    <w:bookmarkEnd w:id="114"/>
    <w:p>
      <w:pPr>
        <w:ind w:left="700" w:right="40" w:hanging="601"/>
        <w:spacing w:after="0" w:line="237"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86">
        <w:r>
          <w:rPr>
            <w:rFonts w:ascii="Times New Roman" w:cs="Times New Roman" w:eastAsia="Times New Roman" w:hAnsi="Times New Roman"/>
            <w:sz w:val="18"/>
            <w:szCs w:val="18"/>
            <w:u w:val="single" w:color="auto"/>
            <w:color w:val="0000FF"/>
          </w:rPr>
          <w:t>Master Lease Agreement, dated October 15, 2018, by and between Gold Merger Sub, LLC and Boyd TCIV, LLC. (Incorporated by reference</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to Exhibit 10.2 to the Company's current report on Form 8-K, filed on October 16, 2018).</w:t>
        </w:r>
      </w:hyperlink>
    </w:p>
    <w:p>
      <w:pPr>
        <w:spacing w:after="0" w:line="158" w:lineRule="exact"/>
        <w:rPr>
          <w:sz w:val="20"/>
          <w:szCs w:val="20"/>
          <w:color w:val="auto"/>
        </w:rPr>
      </w:pPr>
    </w:p>
    <w:p>
      <w:pPr>
        <w:ind w:left="700" w:right="140" w:hanging="601"/>
        <w:spacing w:after="0" w:line="220"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87">
        <w:r>
          <w:rPr>
            <w:rFonts w:ascii="Times New Roman" w:cs="Times New Roman" w:eastAsia="Times New Roman" w:hAnsi="Times New Roman"/>
            <w:sz w:val="18"/>
            <w:szCs w:val="18"/>
            <w:u w:val="single" w:color="auto"/>
            <w:color w:val="0000FF"/>
          </w:rPr>
          <w:t>Consent Agreement by and among Gaming and Leisure Properties, Inc., Gold Merger Sub, LLC, PA Meadows, LLC, WTA II, Inc., CCR</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Pennsylvania Racing, Inc., Penn National Gaming, Inc., Pinnacle Entertainment, Inc., PNK Development 33, LLC and Pinnacle MLS, LLC</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dated December 17, 2017. (Incorporated by reference to Exhibit 10.1 to the Company's current report on Form 8-K filed on December 19,</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2017).</w:t>
        </w:r>
      </w:hyperlink>
    </w:p>
    <w:p>
      <w:pPr>
        <w:spacing w:after="0" w:line="146" w:lineRule="exact"/>
        <w:rPr>
          <w:rFonts w:ascii="Times New Roman" w:cs="Times New Roman" w:eastAsia="Times New Roman" w:hAnsi="Times New Roman"/>
          <w:sz w:val="18"/>
          <w:szCs w:val="18"/>
          <w:u w:val="single" w:color="auto"/>
          <w:color w:val="0000FF"/>
        </w:rPr>
      </w:pPr>
    </w:p>
    <w:p>
      <w:pPr>
        <w:ind w:left="80"/>
        <w:spacing w:after="0"/>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88">
        <w:r>
          <w:rPr>
            <w:rFonts w:ascii="Times New Roman" w:cs="Times New Roman" w:eastAsia="Times New Roman" w:hAnsi="Times New Roman"/>
            <w:sz w:val="17"/>
            <w:szCs w:val="17"/>
            <w:u w:val="single" w:color="auto"/>
            <w:color w:val="0000FF"/>
          </w:rPr>
          <w:t>Tax Matters Agreement, dated as of November 1, 2013, by and among Penn National Gaming, Inc. and Gaming and Leisure Properties, Inc.</w:t>
        </w:r>
      </w:hyperlink>
    </w:p>
    <w:p>
      <w:pPr>
        <w:ind w:left="700"/>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(Incorporated by reference to Exhibit 10.2 to the Company's current report on Form 8-K filed on November 7, 2013).</w:t>
        </w:r>
      </w:hyperlink>
    </w:p>
    <w:p>
      <w:pPr>
        <w:spacing w:after="0" w:line="152" w:lineRule="exact"/>
        <w:rPr>
          <w:rFonts w:ascii="Times New Roman" w:cs="Times New Roman" w:eastAsia="Times New Roman" w:hAnsi="Times New Roman"/>
          <w:sz w:val="18"/>
          <w:szCs w:val="18"/>
          <w:u w:val="single" w:color="auto"/>
          <w:color w:val="0000FF"/>
        </w:rPr>
      </w:pPr>
    </w:p>
    <w:p>
      <w:pPr>
        <w:ind w:left="80"/>
        <w:spacing w:after="0"/>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89">
        <w:r>
          <w:rPr>
            <w:rFonts w:ascii="Times New Roman" w:cs="Times New Roman" w:eastAsia="Times New Roman" w:hAnsi="Times New Roman"/>
            <w:sz w:val="17"/>
            <w:szCs w:val="17"/>
            <w:u w:val="single" w:color="auto"/>
            <w:color w:val="0000FF"/>
          </w:rPr>
          <w:t>Tax Matters Agreement, dated as of July 20, 2015, by and among Pinnacle Entertainment, Inc. and Gaming and Leisure Properties, Inc.</w:t>
        </w:r>
      </w:hyperlink>
    </w:p>
    <w:p>
      <w:pPr>
        <w:ind w:left="700"/>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(Incorporated by reference to Exhibit 10.1 to the Company's current report on Form 8-K filed on July 22, 2015).</w:t>
        </w:r>
      </w:hyperlink>
    </w:p>
    <w:p>
      <w:pPr>
        <w:spacing w:after="0" w:line="164" w:lineRule="exact"/>
        <w:rPr>
          <w:rFonts w:ascii="Times New Roman" w:cs="Times New Roman" w:eastAsia="Times New Roman" w:hAnsi="Times New Roman"/>
          <w:sz w:val="18"/>
          <w:szCs w:val="18"/>
          <w:u w:val="single" w:color="auto"/>
          <w:color w:val="0000FF"/>
        </w:rPr>
      </w:pPr>
    </w:p>
    <w:p>
      <w:pPr>
        <w:jc w:val="right"/>
        <w:ind w:left="80" w:right="62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10.31  </w:t>
      </w:r>
      <w:hyperlink r:id="rId190">
        <w:r>
          <w:rPr>
            <w:rFonts w:ascii="Times New Roman" w:cs="Times New Roman" w:eastAsia="Times New Roman" w:hAnsi="Times New Roman"/>
            <w:sz w:val="18"/>
            <w:szCs w:val="18"/>
            <w:u w:val="single" w:color="auto"/>
            <w:color w:val="0000FF"/>
          </w:rPr>
          <w:t>Employee Matters Agreement, dated as of November 1, 2013, by and between Penn National Gaming, Inc. and Gaming and Leisure</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0000FF"/>
          </w:rPr>
          <w:t>Properties, Inc. (Incorporated by reference to Exhibit 10.4 to the Company's current report on Form 8-K filed on November 7, 2013).</w:t>
        </w:r>
      </w:hyperlink>
    </w:p>
    <w:p>
      <w:pPr>
        <w:spacing w:after="0" w:line="158" w:lineRule="exact"/>
        <w:rPr>
          <w:sz w:val="20"/>
          <w:szCs w:val="20"/>
          <w:color w:val="auto"/>
        </w:rPr>
      </w:pPr>
    </w:p>
    <w:p>
      <w:pPr>
        <w:ind w:left="700" w:right="200" w:hanging="601"/>
        <w:spacing w:after="0" w:line="226"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91">
        <w:r>
          <w:rPr>
            <w:rFonts w:ascii="Times New Roman" w:cs="Times New Roman" w:eastAsia="Times New Roman" w:hAnsi="Times New Roman"/>
            <w:sz w:val="18"/>
            <w:szCs w:val="18"/>
            <w:u w:val="single" w:color="auto"/>
            <w:color w:val="0000FF"/>
          </w:rPr>
          <w:t>Employee Matters Agreement, dated April 28, 2016, by and between PNK Entertainment, Inc. and Gold Merger Sub, LLC (as successor to</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Pinnacle Entertainment, Inc.) (Incorporated by reference to Exhibit 2.5 to the Company's current report on Form 8-K filed on April 28,</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2016).</w:t>
        </w:r>
      </w:hyperlink>
    </w:p>
    <w:p>
      <w:pPr>
        <w:spacing w:after="0" w:line="157" w:lineRule="exact"/>
        <w:rPr>
          <w:rFonts w:ascii="Times New Roman" w:cs="Times New Roman" w:eastAsia="Times New Roman" w:hAnsi="Times New Roman"/>
          <w:sz w:val="18"/>
          <w:szCs w:val="18"/>
          <w:u w:val="single" w:color="auto"/>
          <w:color w:val="0000FF"/>
        </w:rPr>
      </w:pPr>
    </w:p>
    <w:p>
      <w:pPr>
        <w:ind w:left="700" w:right="500" w:hanging="682"/>
        <w:spacing w:after="0" w:line="237"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 #</w:t>
      </w:r>
      <w:r>
        <w:rPr>
          <w:sz w:val="20"/>
          <w:szCs w:val="20"/>
          <w:color w:val="auto"/>
        </w:rPr>
        <w:tab/>
      </w:r>
      <w:hyperlink r:id="rId192">
        <w:r>
          <w:rPr>
            <w:rFonts w:ascii="Times New Roman" w:cs="Times New Roman" w:eastAsia="Times New Roman" w:hAnsi="Times New Roman"/>
            <w:sz w:val="18"/>
            <w:szCs w:val="18"/>
            <w:u w:val="single" w:color="auto"/>
            <w:color w:val="0000FF"/>
          </w:rPr>
          <w:t>Gaming and Leisure Properties, Inc.’s Second Amended and Restated 2013 Long-Term Incentive Compensation Plan (Incorporated by</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reference to Appendix A to the Company’s Definitive Proxy Statement on Schedule 14A, filed April 29, 2020).</w:t>
        </w:r>
      </w:hyperlink>
    </w:p>
    <w:p>
      <w:pPr>
        <w:spacing w:after="0" w:line="158" w:lineRule="exact"/>
        <w:rPr>
          <w:sz w:val="20"/>
          <w:szCs w:val="20"/>
          <w:color w:val="auto"/>
        </w:rPr>
      </w:pPr>
    </w:p>
    <w:p>
      <w:pPr>
        <w:ind w:left="700" w:right="360" w:hanging="637"/>
        <w:spacing w:after="0" w:line="262"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93">
        <w:r>
          <w:rPr>
            <w:rFonts w:ascii="Times New Roman" w:cs="Times New Roman" w:eastAsia="Times New Roman" w:hAnsi="Times New Roman"/>
            <w:sz w:val="17"/>
            <w:szCs w:val="17"/>
            <w:u w:val="single" w:color="auto"/>
            <w:color w:val="0000FF"/>
          </w:rPr>
          <w:t>Form of Restricted Stock Performance Award I under the Gaming and Leisure Properties, Inc. 2013 Long-Term Incentive Compensation</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Plan. (Incorporated by reference to Exhibit 4.8 to the Company's annual report on Form 10-K filed on February 22, 2017).</w:t>
        </w:r>
      </w:hyperlink>
    </w:p>
    <w:p>
      <w:pPr>
        <w:spacing w:after="0" w:line="140" w:lineRule="exact"/>
        <w:rPr>
          <w:sz w:val="20"/>
          <w:szCs w:val="20"/>
          <w:color w:val="auto"/>
        </w:rPr>
      </w:pPr>
    </w:p>
    <w:p>
      <w:pPr>
        <w:ind w:left="700" w:right="300" w:hanging="682"/>
        <w:spacing w:after="0" w:line="262"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10.35 #</w:t>
      </w:r>
      <w:r>
        <w:rPr>
          <w:sz w:val="20"/>
          <w:szCs w:val="20"/>
          <w:color w:val="auto"/>
        </w:rPr>
        <w:tab/>
      </w:r>
      <w:hyperlink r:id="rId194">
        <w:r>
          <w:rPr>
            <w:rFonts w:ascii="Times New Roman" w:cs="Times New Roman" w:eastAsia="Times New Roman" w:hAnsi="Times New Roman"/>
            <w:sz w:val="17"/>
            <w:szCs w:val="17"/>
            <w:u w:val="single" w:color="auto"/>
            <w:color w:val="0000FF"/>
          </w:rPr>
          <w:t>Form of Restricted Stock Performance Award II under the Gaming and Leisure Properties, Inc. 2013 Long-Term Incentive Compensation</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Plan. (Incorporated by reference to Exhibit 4.9 to the Company's annual report on Form 10-K filed on February 22, 2017).</w:t>
        </w:r>
      </w:hyperlink>
    </w:p>
    <w:p>
      <w:pPr>
        <w:spacing w:after="0" w:line="140" w:lineRule="exact"/>
        <w:rPr>
          <w:sz w:val="20"/>
          <w:szCs w:val="20"/>
          <w:color w:val="auto"/>
        </w:rPr>
      </w:pPr>
    </w:p>
    <w:p>
      <w:pPr>
        <w:ind w:left="700" w:hanging="682"/>
        <w:spacing w:after="0" w:line="237"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 #</w:t>
      </w:r>
      <w:r>
        <w:rPr>
          <w:sz w:val="20"/>
          <w:szCs w:val="20"/>
          <w:color w:val="auto"/>
        </w:rPr>
        <w:tab/>
      </w:r>
      <w:hyperlink r:id="rId195">
        <w:r>
          <w:rPr>
            <w:rFonts w:ascii="Times New Roman" w:cs="Times New Roman" w:eastAsia="Times New Roman" w:hAnsi="Times New Roman"/>
            <w:sz w:val="18"/>
            <w:szCs w:val="18"/>
            <w:u w:val="single" w:color="auto"/>
            <w:color w:val="0000FF"/>
          </w:rPr>
          <w:t>Form of Restricted Stock Award under the Gaming and Leisure Properties, Inc. 2013 Long-Term Incentive Compensation Plan. (Incorporated</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by reference to Exhibit 4.2 to the Company's quarterly report on Form 10-Q filed on May 4, 2015).</w:t>
        </w:r>
      </w:hyperlink>
    </w:p>
    <w:p>
      <w:pPr>
        <w:spacing w:after="0" w:line="158" w:lineRule="exact"/>
        <w:rPr>
          <w:sz w:val="20"/>
          <w:szCs w:val="20"/>
          <w:color w:val="auto"/>
        </w:rPr>
      </w:pPr>
    </w:p>
    <w:p>
      <w:pPr>
        <w:ind w:left="700" w:hanging="682"/>
        <w:spacing w:after="0" w:line="226"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 #</w:t>
      </w:r>
      <w:r>
        <w:rPr>
          <w:sz w:val="20"/>
          <w:szCs w:val="20"/>
          <w:color w:val="auto"/>
        </w:rPr>
        <w:tab/>
      </w:r>
      <w:hyperlink r:id="rId196">
        <w:r>
          <w:rPr>
            <w:rFonts w:ascii="Times New Roman" w:cs="Times New Roman" w:eastAsia="Times New Roman" w:hAnsi="Times New Roman"/>
            <w:sz w:val="18"/>
            <w:szCs w:val="18"/>
            <w:u w:val="single" w:color="auto"/>
            <w:color w:val="0000FF"/>
          </w:rPr>
          <w:t>Form of Restricted Stock Performance Award I under the Gaming and Leisure Properties, Inc. 2013 Long-Term Incentive Compensation Plan</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for Awards Issued after January 1, 2018. (Incorporated by reference to Exhibit 10.26 to the Company's annual report on Form 10-K filed on</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February 16, 2018).</w:t>
        </w:r>
      </w:hyperlink>
    </w:p>
    <w:p>
      <w:pPr>
        <w:spacing w:after="0" w:line="157" w:lineRule="exact"/>
        <w:rPr>
          <w:rFonts w:ascii="Times New Roman" w:cs="Times New Roman" w:eastAsia="Times New Roman" w:hAnsi="Times New Roman"/>
          <w:sz w:val="18"/>
          <w:szCs w:val="18"/>
          <w:u w:val="single" w:color="auto"/>
          <w:color w:val="0000FF"/>
        </w:rPr>
      </w:pPr>
    </w:p>
    <w:p>
      <w:pPr>
        <w:ind w:left="700" w:hanging="682"/>
        <w:spacing w:after="0" w:line="226"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 #</w:t>
      </w:r>
      <w:r>
        <w:rPr>
          <w:sz w:val="20"/>
          <w:szCs w:val="20"/>
          <w:color w:val="auto"/>
        </w:rPr>
        <w:tab/>
      </w:r>
      <w:hyperlink r:id="rId197">
        <w:r>
          <w:rPr>
            <w:rFonts w:ascii="Times New Roman" w:cs="Times New Roman" w:eastAsia="Times New Roman" w:hAnsi="Times New Roman"/>
            <w:sz w:val="18"/>
            <w:szCs w:val="18"/>
            <w:u w:val="single" w:color="auto"/>
            <w:color w:val="0000FF"/>
          </w:rPr>
          <w:t>Form of Restricted Stock Performance Award II under the Gaming and Leisure Properties, Inc. 2013 Long-Term Incentive Compensation</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Plan for Awards Issued after January 1, 2018. (Incorporated by reference to Exhibit 10.27 to the Company's annual report on Form 10-K filed</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on February 16, 2018).</w:t>
        </w:r>
      </w:hyperlink>
    </w:p>
    <w:p>
      <w:pPr>
        <w:spacing w:after="0" w:line="197" w:lineRule="exact"/>
        <w:rPr>
          <w:rFonts w:ascii="Times New Roman" w:cs="Times New Roman" w:eastAsia="Times New Roman" w:hAnsi="Times New Roman"/>
          <w:sz w:val="18"/>
          <w:szCs w:val="18"/>
          <w:u w:val="single" w:color="auto"/>
          <w:color w:val="0000FF"/>
        </w:rPr>
      </w:pPr>
    </w:p>
    <w:p>
      <w:pPr>
        <w:jc w:val="both"/>
        <w:ind w:left="700" w:right="200" w:hanging="682"/>
        <w:spacing w:after="0" w:line="226"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 #</w:t>
      </w:r>
      <w:r>
        <w:rPr>
          <w:sz w:val="20"/>
          <w:szCs w:val="20"/>
          <w:color w:val="auto"/>
        </w:rPr>
        <w:tab/>
      </w:r>
      <w:hyperlink r:id="rId198">
        <w:r>
          <w:rPr>
            <w:rFonts w:ascii="Times New Roman" w:cs="Times New Roman" w:eastAsia="Times New Roman" w:hAnsi="Times New Roman"/>
            <w:sz w:val="18"/>
            <w:szCs w:val="18"/>
            <w:u w:val="single" w:color="auto"/>
            <w:color w:val="0000FF"/>
          </w:rPr>
          <w:t>Form of Board of Director Restricted Stock Award under the Gaming and Leisure Properties, Inc. 2013 Amended and Restated Long-Term</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Incentive Compensation Plan. (Incorporated by reference to Exhibit 10.36 to the Company's annual report on Form 10-K filed on February</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13, 2019.</w:t>
        </w:r>
      </w:hyperlink>
    </w:p>
    <w:p>
      <w:pPr>
        <w:spacing w:after="0" w:line="157" w:lineRule="exact"/>
        <w:rPr>
          <w:rFonts w:ascii="Times New Roman" w:cs="Times New Roman" w:eastAsia="Times New Roman" w:hAnsi="Times New Roman"/>
          <w:sz w:val="18"/>
          <w:szCs w:val="18"/>
          <w:u w:val="single" w:color="auto"/>
          <w:color w:val="0000FF"/>
        </w:rPr>
      </w:pPr>
    </w:p>
    <w:p>
      <w:pPr>
        <w:ind w:left="700" w:right="420" w:hanging="682"/>
        <w:spacing w:after="0" w:line="237"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 #</w:t>
      </w:r>
      <w:r>
        <w:rPr>
          <w:sz w:val="20"/>
          <w:szCs w:val="20"/>
          <w:color w:val="auto"/>
        </w:rPr>
        <w:tab/>
      </w:r>
      <w:hyperlink r:id="rId199">
        <w:r>
          <w:rPr>
            <w:rFonts w:ascii="Times New Roman" w:cs="Times New Roman" w:eastAsia="Times New Roman" w:hAnsi="Times New Roman"/>
            <w:sz w:val="18"/>
            <w:szCs w:val="18"/>
            <w:u w:val="single" w:color="auto"/>
            <w:color w:val="0000FF"/>
          </w:rPr>
          <w:t>Gaming and Leisure Properties, Inc. Executive Change in Control and Severance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Company's current report on Form 8-K, filed on February 4, 2019).</w:t>
        </w:r>
      </w:hyperlink>
    </w:p>
    <w:p>
      <w:pPr>
        <w:spacing w:after="0" w:line="158" w:lineRule="exact"/>
        <w:rPr>
          <w:sz w:val="20"/>
          <w:szCs w:val="20"/>
          <w:color w:val="auto"/>
        </w:rPr>
      </w:pPr>
    </w:p>
    <w:p>
      <w:pPr>
        <w:ind w:left="700" w:right="120" w:hanging="682"/>
        <w:spacing w:after="0" w:line="237"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 #</w:t>
      </w:r>
      <w:r>
        <w:rPr>
          <w:sz w:val="20"/>
          <w:szCs w:val="20"/>
          <w:color w:val="auto"/>
        </w:rPr>
        <w:tab/>
      </w:r>
      <w:hyperlink r:id="rId200">
        <w:r>
          <w:rPr>
            <w:rFonts w:ascii="Times New Roman" w:cs="Times New Roman" w:eastAsia="Times New Roman" w:hAnsi="Times New Roman"/>
            <w:sz w:val="18"/>
            <w:szCs w:val="18"/>
            <w:u w:val="single" w:color="auto"/>
            <w:color w:val="0000FF"/>
          </w:rPr>
          <w:t>Letter Agreement, dated as of April 24, 2018, by and between William J. Clifford and Gaming and Leisure Properties, Inc. (Incorporated by</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reference to Exhibit 10.1 to the Company's current report on Form 8-K, filed on April 30,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40" w:top="957" w:right="379" w:bottom="1440" w:gutter="0" w:footer="0" w:header="0"/>
        </w:sectPr>
      </w:pPr>
    </w:p>
    <w:bookmarkStart w:id="115" w:name="page116"/>
    <w:bookmarkEnd w:id="115"/>
    <w:p>
      <w:pPr>
        <w:ind w:left="1020" w:right="200" w:hanging="601"/>
        <w:spacing w:after="0" w:line="22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10.42</w:t>
      </w:r>
      <w:r>
        <w:rPr>
          <w:sz w:val="20"/>
          <w:szCs w:val="20"/>
          <w:color w:val="auto"/>
        </w:rPr>
        <w:tab/>
      </w:r>
      <w:hyperlink r:id="rId202">
        <w:r>
          <w:rPr>
            <w:rFonts w:ascii="Times New Roman" w:cs="Times New Roman" w:eastAsia="Times New Roman" w:hAnsi="Times New Roman"/>
            <w:sz w:val="18"/>
            <w:szCs w:val="18"/>
            <w:u w:val="single" w:color="auto"/>
            <w:color w:val="0000FF"/>
          </w:rPr>
          <w:t>Amended and Restated Membership Interest Purchase Agreement, dated as of December 15, 2015, by and among Gaming and Leisure</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Properties, Inc., GLP Capital, L.P., PA Meadows LLC, PA Mezzco LLC and Cannery Casino Resorts, LLC. (Incorporated by reference to</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Exhibit 10.14 to the Company's annual report on Form 10-K filed on February 22, 2016).</w:t>
        </w:r>
      </w:hyperlink>
    </w:p>
    <w:p>
      <w:pPr>
        <w:spacing w:after="0" w:line="145" w:lineRule="exact"/>
        <w:rPr>
          <w:rFonts w:ascii="Times New Roman" w:cs="Times New Roman" w:eastAsia="Times New Roman" w:hAnsi="Times New Roman"/>
          <w:sz w:val="18"/>
          <w:szCs w:val="18"/>
          <w:u w:val="single" w:color="auto"/>
          <w:color w:val="0000FF"/>
        </w:rPr>
      </w:pPr>
    </w:p>
    <w:p>
      <w:pPr>
        <w:ind w:left="400"/>
        <w:spacing w:after="0"/>
        <w:tabs>
          <w:tab w:leader="none" w:pos="10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10.43</w:t>
      </w:r>
      <w:r>
        <w:rPr>
          <w:sz w:val="20"/>
          <w:szCs w:val="20"/>
          <w:color w:val="auto"/>
        </w:rPr>
        <w:tab/>
      </w:r>
      <w:hyperlink r:id="rId203">
        <w:r>
          <w:rPr>
            <w:rFonts w:ascii="Times New Roman" w:cs="Times New Roman" w:eastAsia="Times New Roman" w:hAnsi="Times New Roman"/>
            <w:sz w:val="17"/>
            <w:szCs w:val="17"/>
            <w:u w:val="single" w:color="auto"/>
            <w:color w:val="0000FF"/>
          </w:rPr>
          <w:t>Amended and Restated Master Lease by and among GLP Capital, L.P., as landlord, and Tropicana Entertainment, Inc., as tenant, dated June</w:t>
        </w:r>
      </w:hyperlink>
    </w:p>
    <w:p>
      <w:pPr>
        <w:ind w:left="1020"/>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15, 2020 (Incorporated by reference to Exhibit 10.1 to the Company's current report on Form 8-K filed on June 17, 2020).</w:t>
        </w:r>
      </w:hyperlink>
    </w:p>
    <w:p>
      <w:pPr>
        <w:spacing w:after="0" w:line="164" w:lineRule="exact"/>
        <w:rPr>
          <w:rFonts w:ascii="Times New Roman" w:cs="Times New Roman" w:eastAsia="Times New Roman" w:hAnsi="Times New Roman"/>
          <w:sz w:val="18"/>
          <w:szCs w:val="18"/>
          <w:u w:val="single" w:color="auto"/>
          <w:color w:val="0000FF"/>
        </w:rPr>
      </w:pPr>
    </w:p>
    <w:p>
      <w:pPr>
        <w:ind w:left="1020" w:hanging="601"/>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10.44</w:t>
      </w:r>
      <w:r>
        <w:rPr>
          <w:sz w:val="20"/>
          <w:szCs w:val="20"/>
          <w:color w:val="auto"/>
        </w:rPr>
        <w:tab/>
      </w:r>
      <w:hyperlink r:id="rId204">
        <w:r>
          <w:rPr>
            <w:rFonts w:ascii="Times New Roman" w:cs="Times New Roman" w:eastAsia="Times New Roman" w:hAnsi="Times New Roman"/>
            <w:sz w:val="18"/>
            <w:szCs w:val="18"/>
            <w:u w:val="single" w:color="auto"/>
            <w:color w:val="0000FF"/>
          </w:rPr>
          <w:t>Separation Agreement dated July 27, 2020 by and between the Company and Steven T. Snyder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the Company's current report on Form 8-K filed on July 29, 2020).</w:t>
        </w:r>
      </w:hyperlink>
    </w:p>
    <w:p>
      <w:pPr>
        <w:spacing w:after="0" w:line="158" w:lineRule="exact"/>
        <w:rPr>
          <w:sz w:val="20"/>
          <w:szCs w:val="20"/>
          <w:color w:val="auto"/>
        </w:rPr>
      </w:pPr>
    </w:p>
    <w:p>
      <w:pPr>
        <w:ind w:left="600"/>
        <w:spacing w:after="0"/>
        <w:tabs>
          <w:tab w:leader="none" w:pos="10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w:anchor="page151">
        <w:r>
          <w:rPr>
            <w:rFonts w:ascii="Times New Roman" w:cs="Times New Roman" w:eastAsia="Times New Roman" w:hAnsi="Times New Roman"/>
            <w:sz w:val="17"/>
            <w:szCs w:val="17"/>
            <w:u w:val="single" w:color="auto"/>
            <w:color w:val="0000FF"/>
          </w:rPr>
          <w:t>Subsidiaries of the Registrant.</w:t>
        </w:r>
      </w:hyperlink>
    </w:p>
    <w:p>
      <w:pPr>
        <w:spacing w:after="0" w:line="184" w:lineRule="exact"/>
        <w:rPr>
          <w:sz w:val="20"/>
          <w:szCs w:val="20"/>
          <w:color w:val="auto"/>
        </w:rPr>
      </w:pPr>
    </w:p>
    <w:p>
      <w:pPr>
        <w:ind w:left="460"/>
        <w:spacing w:after="0"/>
        <w:tabs>
          <w:tab w:leader="none" w:pos="10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22.1*</w:t>
      </w:r>
      <w:r>
        <w:rPr>
          <w:sz w:val="20"/>
          <w:szCs w:val="20"/>
          <w:color w:val="auto"/>
        </w:rPr>
        <w:tab/>
      </w:r>
      <w:hyperlink w:anchor="page152">
        <w:r>
          <w:rPr>
            <w:rFonts w:ascii="Times New Roman" w:cs="Times New Roman" w:eastAsia="Times New Roman" w:hAnsi="Times New Roman"/>
            <w:sz w:val="17"/>
            <w:szCs w:val="17"/>
            <w:u w:val="single" w:color="auto"/>
            <w:color w:val="0000FF"/>
          </w:rPr>
          <w:t>List of Subsidiary Issuers of Guaranteed Securities.</w:t>
        </w:r>
      </w:hyperlink>
    </w:p>
    <w:p>
      <w:pPr>
        <w:spacing w:after="0" w:line="184" w:lineRule="exact"/>
        <w:rPr>
          <w:sz w:val="20"/>
          <w:szCs w:val="20"/>
          <w:color w:val="auto"/>
        </w:rPr>
      </w:pPr>
    </w:p>
    <w:p>
      <w:pPr>
        <w:ind w:left="600"/>
        <w:spacing w:after="0"/>
        <w:tabs>
          <w:tab w:leader="none" w:pos="10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w:anchor="page153">
        <w:r>
          <w:rPr>
            <w:rFonts w:ascii="Times New Roman" w:cs="Times New Roman" w:eastAsia="Times New Roman" w:hAnsi="Times New Roman"/>
            <w:sz w:val="17"/>
            <w:szCs w:val="17"/>
            <w:u w:val="single" w:color="auto"/>
            <w:color w:val="0000FF"/>
          </w:rPr>
          <w:t>Consent of Deloitte &amp; Touche LLP, Independent Registered Public Accounting Firm.</w:t>
        </w:r>
      </w:hyperlink>
    </w:p>
    <w:p>
      <w:pPr>
        <w:spacing w:after="0" w:line="184" w:lineRule="exact"/>
        <w:rPr>
          <w:sz w:val="20"/>
          <w:szCs w:val="20"/>
          <w:color w:val="auto"/>
        </w:rPr>
      </w:pPr>
    </w:p>
    <w:p>
      <w:pPr>
        <w:ind w:left="1020" w:right="60" w:hanging="547"/>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154">
        <w:r>
          <w:rPr>
            <w:rFonts w:ascii="Times New Roman" w:cs="Times New Roman" w:eastAsia="Times New Roman" w:hAnsi="Times New Roman"/>
            <w:sz w:val="18"/>
            <w:szCs w:val="18"/>
            <w:u w:val="single" w:color="auto"/>
            <w:color w:val="0000FF"/>
          </w:rPr>
          <w:t xml:space="preserve">Principal Executive Officer and </w:t>
        </w:r>
        <w:r>
          <w:rPr>
            <w:rFonts w:ascii="Times New Roman" w:cs="Times New Roman" w:eastAsia="Times New Roman" w:hAnsi="Times New Roman"/>
            <w:sz w:val="18"/>
            <w:szCs w:val="18"/>
            <w:color w:val="0000FF"/>
          </w:rPr>
          <w:t>Principal</w:t>
        </w:r>
        <w:r>
          <w:rPr>
            <w:rFonts w:ascii="Times New Roman" w:cs="Times New Roman" w:eastAsia="Times New Roman" w:hAnsi="Times New Roman"/>
            <w:sz w:val="18"/>
            <w:szCs w:val="18"/>
            <w:u w:val="single" w:color="auto"/>
            <w:color w:val="0000FF"/>
          </w:rPr>
          <w:t xml:space="preserve"> Financial Officer Certification pursuant to rule 13a-14(a) or 15d-14(a) of the Securities Exchange</w:t>
        </w:r>
      </w:hyperlink>
      <w:r>
        <w:rPr>
          <w:rFonts w:ascii="Times New Roman" w:cs="Times New Roman" w:eastAsia="Times New Roman" w:hAnsi="Times New Roman"/>
          <w:sz w:val="18"/>
          <w:szCs w:val="18"/>
          <w:u w:val="single" w:color="auto"/>
          <w:color w:val="0000FF"/>
        </w:rPr>
        <w:t xml:space="preserve"> </w:t>
      </w:r>
      <w:hyperlink w:anchor="page154">
        <w:r>
          <w:rPr>
            <w:rFonts w:ascii="Times New Roman" w:cs="Times New Roman" w:eastAsia="Times New Roman" w:hAnsi="Times New Roman"/>
            <w:sz w:val="18"/>
            <w:szCs w:val="18"/>
            <w:u w:val="single" w:color="auto"/>
            <w:color w:val="0000FF"/>
          </w:rPr>
          <w:t>Act of 1934.</w:t>
        </w:r>
      </w:hyperlink>
    </w:p>
    <w:p>
      <w:pPr>
        <w:spacing w:after="0" w:line="211" w:lineRule="exact"/>
        <w:rPr>
          <w:sz w:val="20"/>
          <w:szCs w:val="20"/>
          <w:color w:val="auto"/>
        </w:rPr>
      </w:pPr>
    </w:p>
    <w:p>
      <w:pPr>
        <w:ind w:left="1020" w:right="480" w:hanging="547"/>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hyperlink w:anchor="page155">
        <w:r>
          <w:rPr>
            <w:rFonts w:ascii="Times New Roman" w:cs="Times New Roman" w:eastAsia="Times New Roman" w:hAnsi="Times New Roman"/>
            <w:sz w:val="18"/>
            <w:szCs w:val="18"/>
            <w:u w:val="single" w:color="auto"/>
            <w:color w:val="0000FF"/>
          </w:rPr>
          <w:t xml:space="preserve">Principal Executive Officer and </w:t>
        </w:r>
        <w:r>
          <w:rPr>
            <w:rFonts w:ascii="Times New Roman" w:cs="Times New Roman" w:eastAsia="Times New Roman" w:hAnsi="Times New Roman"/>
            <w:sz w:val="18"/>
            <w:szCs w:val="18"/>
            <w:color w:val="0000FF"/>
          </w:rPr>
          <w:t>Principal</w:t>
        </w:r>
        <w:r>
          <w:rPr>
            <w:rFonts w:ascii="Times New Roman" w:cs="Times New Roman" w:eastAsia="Times New Roman" w:hAnsi="Times New Roman"/>
            <w:sz w:val="18"/>
            <w:szCs w:val="18"/>
            <w:u w:val="single" w:color="auto"/>
            <w:color w:val="0000FF"/>
          </w:rPr>
          <w:t xml:space="preserve"> Financial Officer Certification pursuant to 18 U.S.C. Section 1350, As Adopted Pursuant to</w:t>
        </w:r>
      </w:hyperlink>
      <w:r>
        <w:rPr>
          <w:rFonts w:ascii="Times New Roman" w:cs="Times New Roman" w:eastAsia="Times New Roman" w:hAnsi="Times New Roman"/>
          <w:sz w:val="18"/>
          <w:szCs w:val="18"/>
          <w:u w:val="single" w:color="auto"/>
          <w:color w:val="0000FF"/>
        </w:rPr>
        <w:t xml:space="preserve"> </w:t>
      </w:r>
      <w:hyperlink w:anchor="page155">
        <w:r>
          <w:rPr>
            <w:rFonts w:ascii="Times New Roman" w:cs="Times New Roman" w:eastAsia="Times New Roman" w:hAnsi="Times New Roman"/>
            <w:sz w:val="18"/>
            <w:szCs w:val="18"/>
            <w:u w:val="single" w:color="auto"/>
            <w:color w:val="0000FF"/>
          </w:rPr>
          <w:t>Section 906 of The Sarbanes - Oxley Act of 2002.</w:t>
        </w:r>
      </w:hyperlink>
    </w:p>
    <w:p>
      <w:pPr>
        <w:spacing w:after="0" w:line="211" w:lineRule="exact"/>
        <w:rPr>
          <w:sz w:val="20"/>
          <w:szCs w:val="20"/>
          <w:color w:val="auto"/>
        </w:rPr>
      </w:pPr>
    </w:p>
    <w:p>
      <w:pPr>
        <w:jc w:val="both"/>
        <w:ind w:left="1020" w:right="40" w:hanging="477"/>
        <w:spacing w:after="0" w:line="239" w:lineRule="auto"/>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Gaming and Leisure Properties, Inc.'s Annual Report on Form 10-K for the year ended December 31, 2020, formatted in Inline XBRL: (i) Consolidated Balance Sheets, ii) Consolidated Statements of Income, (iii) Consolidated Statements of Changes in Shareholders’ Equity, (iv) Consolidated Statements of Cash Flows and (v) Notes to the Consolidated Financial Statements.</w:t>
      </w:r>
    </w:p>
    <w:p>
      <w:pPr>
        <w:spacing w:after="0" w:line="158" w:lineRule="exact"/>
        <w:rPr>
          <w:sz w:val="20"/>
          <w:szCs w:val="20"/>
          <w:color w:val="auto"/>
        </w:rPr>
      </w:pPr>
    </w:p>
    <w:p>
      <w:pPr>
        <w:ind w:left="1020" w:right="220" w:hanging="477"/>
        <w:spacing w:after="0" w:line="237"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2020, formatted in Inline XBRL and contained in Exhibit 101.</w:t>
      </w:r>
    </w:p>
    <w:p>
      <w:pPr>
        <w:spacing w:after="0" w:line="21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plans and arrangements for executives and others.</w:t>
      </w:r>
    </w:p>
    <w:p>
      <w:pPr>
        <w:spacing w:after="0" w:line="15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57" w:right="479" w:bottom="1440" w:gutter="0" w:footer="0" w:header="0"/>
        </w:sectPr>
      </w:pPr>
    </w:p>
    <w:bookmarkStart w:id="116" w:name="page117"/>
    <w:bookmarkEnd w:id="11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39" w:lineRule="exact"/>
        <w:rPr>
          <w:sz w:val="20"/>
          <w:szCs w:val="20"/>
          <w:color w:val="auto"/>
        </w:rPr>
      </w:pPr>
    </w:p>
    <w:p>
      <w:pPr>
        <w:ind w:firstLine="647"/>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GAMING AND LEISURE PROPERTIES, INC.</w:t>
      </w:r>
    </w:p>
    <w:p>
      <w:pPr>
        <w:spacing w:after="0" w:line="27" w:lineRule="exact"/>
        <w:rPr>
          <w:sz w:val="20"/>
          <w:szCs w:val="20"/>
          <w:color w:val="auto"/>
        </w:rPr>
      </w:pPr>
    </w:p>
    <w:p>
      <w:pPr>
        <w:ind w:left="5440"/>
        <w:spacing w:after="0"/>
        <w:tabs>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M. CARLINO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13970</wp:posOffset>
            </wp:positionV>
            <wp:extent cx="30054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6">
                      <a:extLst>
                        <a:ext uri="{28A0092B-C50C-407E-A947-70E740481C1C}"/>
                      </a:extLst>
                    </a:blip>
                    <a:srcRect/>
                    <a:stretch>
                      <a:fillRect/>
                    </a:stretch>
                  </pic:blipFill>
                  <pic:spPr bwMode="auto">
                    <a:xfrm>
                      <a:off x="0" y="0"/>
                      <a:ext cx="3005455" cy="8255"/>
                    </a:xfrm>
                    <a:prstGeom prst="rect">
                      <a:avLst/>
                    </a:prstGeom>
                    <a:noFill/>
                  </pic:spPr>
                </pic:pic>
              </a:graphicData>
            </a:graphic>
          </wp:anchor>
        </w:drawing>
      </w:r>
    </w:p>
    <w:p>
      <w:pPr>
        <w:ind w:left="8240"/>
        <w:spacing w:after="0"/>
        <w:rPr>
          <w:sz w:val="20"/>
          <w:szCs w:val="20"/>
          <w:color w:val="auto"/>
        </w:rPr>
      </w:pPr>
      <w:r>
        <w:rPr>
          <w:rFonts w:ascii="Times New Roman" w:cs="Times New Roman" w:eastAsia="Times New Roman" w:hAnsi="Times New Roman"/>
          <w:sz w:val="18"/>
          <w:szCs w:val="18"/>
          <w:color w:val="auto"/>
        </w:rPr>
        <w:t>Peter M. Carlino</w:t>
      </w:r>
    </w:p>
    <w:p>
      <w:pPr>
        <w:ind w:left="7880"/>
        <w:spacing w:after="0" w:line="203" w:lineRule="auto"/>
        <w:rPr>
          <w:sz w:val="20"/>
          <w:szCs w:val="20"/>
          <w:color w:val="auto"/>
        </w:rPr>
      </w:pPr>
      <w:r>
        <w:rPr>
          <w:rFonts w:ascii="Times New Roman" w:cs="Times New Roman" w:eastAsia="Times New Roman" w:hAnsi="Times New Roman"/>
          <w:sz w:val="18"/>
          <w:szCs w:val="18"/>
          <w:i w:val="1"/>
          <w:iCs w:val="1"/>
          <w:color w:val="auto"/>
        </w:rPr>
        <w:t>Chairman of the Board and</w:t>
      </w:r>
    </w:p>
    <w:p>
      <w:pPr>
        <w:ind w:left="8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19, 2021</w:t>
      </w:r>
    </w:p>
    <w:p>
      <w:pPr>
        <w:spacing w:after="0" w:line="157" w:lineRule="exact"/>
        <w:rPr>
          <w:sz w:val="20"/>
          <w:szCs w:val="20"/>
          <w:color w:val="auto"/>
        </w:rPr>
      </w:pPr>
    </w:p>
    <w:p>
      <w:pPr>
        <w:ind w:right="120" w:firstLine="566"/>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80" w:type="dxa"/>
            <w:vAlign w:val="bottom"/>
            <w:gridSpan w:val="8"/>
          </w:tcPr>
          <w:p>
            <w:pPr>
              <w:spacing w:after="0"/>
              <w:rPr>
                <w:sz w:val="13"/>
                <w:szCs w:val="13"/>
                <w:color w:val="auto"/>
              </w:rPr>
            </w:pPr>
          </w:p>
        </w:tc>
        <w:tc>
          <w:tcPr>
            <w:tcW w:w="2240" w:type="dxa"/>
            <w:vAlign w:val="bottom"/>
          </w:tcPr>
          <w:p>
            <w:pPr>
              <w:spacing w:after="0"/>
              <w:rPr>
                <w:sz w:val="13"/>
                <w:szCs w:val="13"/>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60" w:type="dxa"/>
            <w:vAlign w:val="bottom"/>
            <w:gridSpan w:val="3"/>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1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8"/>
              </w:rPr>
              <w:t>/s/ PETER M. CARLINO</w:t>
            </w:r>
          </w:p>
        </w:tc>
        <w:tc>
          <w:tcPr>
            <w:tcW w:w="4820" w:type="dxa"/>
            <w:vAlign w:val="bottom"/>
            <w:gridSpan w:val="3"/>
          </w:tcPr>
          <w:p>
            <w:pPr>
              <w:ind w:left="540"/>
              <w:spacing w:after="0" w:line="176" w:lineRule="exact"/>
              <w:rPr>
                <w:sz w:val="20"/>
                <w:szCs w:val="20"/>
                <w:color w:val="auto"/>
              </w:rPr>
            </w:pPr>
            <w:r>
              <w:rPr>
                <w:rFonts w:ascii="Times New Roman" w:cs="Times New Roman" w:eastAsia="Times New Roman" w:hAnsi="Times New Roman"/>
                <w:sz w:val="18"/>
                <w:szCs w:val="18"/>
                <w:color w:val="auto"/>
              </w:rPr>
              <w:t>(Principal Executive Officer and Principal Financial</w:t>
            </w:r>
          </w:p>
        </w:tc>
        <w:tc>
          <w:tcPr>
            <w:tcW w:w="1860" w:type="dxa"/>
            <w:vAlign w:val="bottom"/>
            <w:gridSpan w:val="3"/>
            <w:vMerge w:val="restart"/>
          </w:tcPr>
          <w:p>
            <w:pPr>
              <w:jc w:val="center"/>
              <w:ind w:left="452"/>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13"/>
            <w:vMerge w:val="continue"/>
          </w:tcPr>
          <w:p>
            <w:pPr>
              <w:spacing w:after="0"/>
              <w:rPr>
                <w:sz w:val="16"/>
                <w:szCs w:val="16"/>
                <w:color w:val="auto"/>
              </w:rPr>
            </w:pPr>
          </w:p>
        </w:tc>
        <w:tc>
          <w:tcPr>
            <w:tcW w:w="4820" w:type="dxa"/>
            <w:vAlign w:val="bottom"/>
            <w:gridSpan w:val="3"/>
          </w:tcPr>
          <w:p>
            <w:pPr>
              <w:ind w:left="540"/>
              <w:spacing w:after="0" w:line="189" w:lineRule="exact"/>
              <w:rPr>
                <w:sz w:val="20"/>
                <w:szCs w:val="20"/>
                <w:color w:val="auto"/>
              </w:rPr>
            </w:pPr>
            <w:r>
              <w:rPr>
                <w:rFonts w:ascii="Times New Roman" w:cs="Times New Roman" w:eastAsia="Times New Roman" w:hAnsi="Times New Roman"/>
                <w:sz w:val="18"/>
                <w:szCs w:val="18"/>
                <w:color w:val="auto"/>
              </w:rPr>
              <w:t>Officer)</w:t>
            </w:r>
          </w:p>
        </w:tc>
        <w:tc>
          <w:tcPr>
            <w:tcW w:w="1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7"/>
          </w:tcPr>
          <w:p>
            <w:pPr>
              <w:jc w:val="center"/>
              <w:ind w:right="440"/>
              <w:spacing w:after="0"/>
              <w:rPr>
                <w:sz w:val="20"/>
                <w:szCs w:val="20"/>
                <w:color w:val="auto"/>
              </w:rPr>
            </w:pPr>
            <w:r>
              <w:rPr>
                <w:rFonts w:ascii="Times New Roman" w:cs="Times New Roman" w:eastAsia="Times New Roman" w:hAnsi="Times New Roman"/>
                <w:sz w:val="18"/>
                <w:szCs w:val="18"/>
                <w:color w:val="auto"/>
                <w:w w:val="99"/>
              </w:rPr>
              <w:t>Peter M. Carlino</w:t>
            </w:r>
          </w:p>
        </w:tc>
        <w:tc>
          <w:tcPr>
            <w:tcW w:w="500" w:type="dxa"/>
            <w:vAlign w:val="bottom"/>
            <w:gridSpan w:val="3"/>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840" w:type="dxa"/>
            <w:vAlign w:val="bottom"/>
            <w:gridSpan w:val="9"/>
            <w:vMerge w:val="restart"/>
          </w:tcPr>
          <w:p>
            <w:pPr>
              <w:jc w:val="center"/>
              <w:spacing w:after="0"/>
              <w:rPr>
                <w:sz w:val="20"/>
                <w:szCs w:val="20"/>
                <w:color w:val="auto"/>
              </w:rPr>
            </w:pPr>
            <w:r>
              <w:rPr>
                <w:rFonts w:ascii="Times New Roman" w:cs="Times New Roman" w:eastAsia="Times New Roman" w:hAnsi="Times New Roman"/>
                <w:sz w:val="18"/>
                <w:szCs w:val="18"/>
                <w:color w:val="auto"/>
              </w:rPr>
              <w:t>/s/ DESIREE A. BURKE</w:t>
            </w:r>
          </w:p>
        </w:tc>
        <w:tc>
          <w:tcPr>
            <w:tcW w:w="660" w:type="dxa"/>
            <w:vAlign w:val="bottom"/>
            <w:gridSpan w:val="7"/>
            <w:vMerge w:val="restart"/>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tc>
        <w:tc>
          <w:tcPr>
            <w:tcW w:w="1860" w:type="dxa"/>
            <w:vAlign w:val="bottom"/>
            <w:gridSpan w:val="3"/>
            <w:vMerge w:val="restart"/>
          </w:tcPr>
          <w:p>
            <w:pPr>
              <w:jc w:val="center"/>
              <w:ind w:left="452"/>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0" w:type="dxa"/>
            <w:vAlign w:val="bottom"/>
          </w:tcPr>
          <w:p>
            <w:pPr>
              <w:spacing w:after="0"/>
              <w:rPr>
                <w:sz w:val="1"/>
                <w:szCs w:val="1"/>
                <w:color w:val="auto"/>
              </w:rPr>
            </w:pPr>
          </w:p>
        </w:tc>
      </w:tr>
      <w:tr>
        <w:trPr>
          <w:trHeight w:val="194"/>
        </w:trPr>
        <w:tc>
          <w:tcPr>
            <w:tcW w:w="1840" w:type="dxa"/>
            <w:vAlign w:val="bottom"/>
            <w:tcBorders>
              <w:bottom w:val="single" w:sz="8" w:color="auto"/>
            </w:tcBorders>
            <w:gridSpan w:val="9"/>
            <w:vMerge w:val="continue"/>
          </w:tcPr>
          <w:p>
            <w:pPr>
              <w:spacing w:after="0"/>
              <w:rPr>
                <w:sz w:val="16"/>
                <w:szCs w:val="16"/>
                <w:color w:val="auto"/>
              </w:rPr>
            </w:pPr>
          </w:p>
        </w:tc>
        <w:tc>
          <w:tcPr>
            <w:tcW w:w="660" w:type="dxa"/>
            <w:vAlign w:val="bottom"/>
            <w:gridSpan w:val="7"/>
            <w:vMerge w:val="continue"/>
          </w:tcPr>
          <w:p>
            <w:pPr>
              <w:spacing w:after="0"/>
              <w:rPr>
                <w:sz w:val="16"/>
                <w:szCs w:val="16"/>
                <w:color w:val="auto"/>
              </w:rPr>
            </w:pPr>
          </w:p>
        </w:tc>
        <w:tc>
          <w:tcPr>
            <w:tcW w:w="4820" w:type="dxa"/>
            <w:vAlign w:val="bottom"/>
            <w:gridSpan w:val="3"/>
          </w:tcPr>
          <w:p>
            <w:pPr>
              <w:ind w:left="540"/>
              <w:spacing w:after="0" w:line="189" w:lineRule="exact"/>
              <w:rPr>
                <w:sz w:val="20"/>
                <w:szCs w:val="20"/>
                <w:color w:val="auto"/>
              </w:rPr>
            </w:pPr>
            <w:r>
              <w:rPr>
                <w:rFonts w:ascii="Times New Roman" w:cs="Times New Roman" w:eastAsia="Times New Roman" w:hAnsi="Times New Roman"/>
                <w:sz w:val="18"/>
                <w:szCs w:val="18"/>
                <w:color w:val="auto"/>
              </w:rPr>
              <w:t>Treasurer (Principal Accounting Officer)</w:t>
            </w:r>
          </w:p>
        </w:tc>
        <w:tc>
          <w:tcPr>
            <w:tcW w:w="1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gridSpan w:val="10"/>
          </w:tcPr>
          <w:p>
            <w:pPr>
              <w:jc w:val="center"/>
              <w:ind w:right="940"/>
              <w:spacing w:after="0"/>
              <w:rPr>
                <w:sz w:val="20"/>
                <w:szCs w:val="20"/>
                <w:color w:val="auto"/>
              </w:rPr>
            </w:pPr>
            <w:r>
              <w:rPr>
                <w:rFonts w:ascii="Times New Roman" w:cs="Times New Roman" w:eastAsia="Times New Roman" w:hAnsi="Times New Roman"/>
                <w:sz w:val="18"/>
                <w:szCs w:val="18"/>
                <w:color w:val="auto"/>
                <w:w w:val="98"/>
              </w:rPr>
              <w:t>Desiree A. Burke</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 CAROL LYNTON</w:t>
            </w:r>
          </w:p>
        </w:tc>
        <w:tc>
          <w:tcPr>
            <w:tcW w:w="620" w:type="dxa"/>
            <w:vAlign w:val="bottom"/>
            <w:gridSpan w:val="6"/>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52"/>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gridSpan w:val="10"/>
          </w:tcPr>
          <w:p>
            <w:pPr>
              <w:jc w:val="center"/>
              <w:ind w:right="940"/>
              <w:spacing w:after="0"/>
              <w:rPr>
                <w:sz w:val="20"/>
                <w:szCs w:val="20"/>
                <w:color w:val="auto"/>
              </w:rPr>
            </w:pPr>
            <w:r>
              <w:rPr>
                <w:rFonts w:ascii="Times New Roman" w:cs="Times New Roman" w:eastAsia="Times New Roman" w:hAnsi="Times New Roman"/>
                <w:sz w:val="18"/>
                <w:szCs w:val="18"/>
                <w:color w:val="auto"/>
                <w:w w:val="99"/>
              </w:rPr>
              <w:t>Carol Lynton</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500" w:type="dxa"/>
            <w:vAlign w:val="bottom"/>
            <w:gridSpan w:val="16"/>
          </w:tcPr>
          <w:p>
            <w:pPr>
              <w:jc w:val="center"/>
              <w:ind w:right="340"/>
              <w:spacing w:after="0"/>
              <w:rPr>
                <w:sz w:val="20"/>
                <w:szCs w:val="20"/>
                <w:color w:val="auto"/>
              </w:rPr>
            </w:pPr>
            <w:r>
              <w:rPr>
                <w:rFonts w:ascii="Times New Roman" w:cs="Times New Roman" w:eastAsia="Times New Roman" w:hAnsi="Times New Roman"/>
                <w:sz w:val="18"/>
                <w:szCs w:val="18"/>
                <w:color w:val="auto"/>
                <w:w w:val="98"/>
              </w:rPr>
              <w:t>/s/ JOSEPH W. MARSHALL</w:t>
            </w:r>
          </w:p>
        </w:tc>
        <w:tc>
          <w:tcPr>
            <w:tcW w:w="48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52"/>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8"/>
                <w:szCs w:val="18"/>
                <w:color w:val="auto"/>
                <w:w w:val="97"/>
              </w:rPr>
              <w:t>Joseph W. Marshall</w:t>
            </w:r>
          </w:p>
        </w:tc>
        <w:tc>
          <w:tcPr>
            <w:tcW w:w="3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11"/>
          </w:tcPr>
          <w:p>
            <w:pPr>
              <w:jc w:val="center"/>
              <w:ind w:right="600"/>
              <w:spacing w:after="0"/>
              <w:rPr>
                <w:sz w:val="20"/>
                <w:szCs w:val="20"/>
                <w:color w:val="auto"/>
              </w:rPr>
            </w:pPr>
            <w:r>
              <w:rPr>
                <w:rFonts w:ascii="Times New Roman" w:cs="Times New Roman" w:eastAsia="Times New Roman" w:hAnsi="Times New Roman"/>
                <w:sz w:val="18"/>
                <w:szCs w:val="18"/>
                <w:color w:val="auto"/>
                <w:w w:val="98"/>
              </w:rPr>
              <w:t>/s/ JAMES B. PERRY</w:t>
            </w:r>
          </w:p>
        </w:tc>
        <w:tc>
          <w:tcPr>
            <w:tcW w:w="48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52"/>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James B. Perry</w:t>
            </w:r>
          </w:p>
        </w:tc>
        <w:tc>
          <w:tcPr>
            <w:tcW w:w="620" w:type="dxa"/>
            <w:vAlign w:val="bottom"/>
            <w:gridSpan w:val="6"/>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2480" w:type="dxa"/>
            <w:vAlign w:val="bottom"/>
            <w:gridSpan w:val="15"/>
          </w:tcPr>
          <w:p>
            <w:pPr>
              <w:jc w:val="center"/>
              <w:ind w:right="360"/>
              <w:spacing w:after="0"/>
              <w:rPr>
                <w:sz w:val="20"/>
                <w:szCs w:val="20"/>
                <w:color w:val="auto"/>
              </w:rPr>
            </w:pPr>
            <w:r>
              <w:rPr>
                <w:rFonts w:ascii="Times New Roman" w:cs="Times New Roman" w:eastAsia="Times New Roman" w:hAnsi="Times New Roman"/>
                <w:sz w:val="18"/>
                <w:szCs w:val="18"/>
                <w:color w:val="auto"/>
                <w:w w:val="97"/>
              </w:rPr>
              <w:t>/s/ BARRY F. SCHWARTZ</w:t>
            </w:r>
          </w:p>
        </w:tc>
        <w:tc>
          <w:tcPr>
            <w:tcW w:w="48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52"/>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8"/>
                <w:szCs w:val="18"/>
                <w:color w:val="auto"/>
                <w:w w:val="98"/>
              </w:rPr>
              <w:t>Barry F. Schwartz</w:t>
            </w:r>
          </w:p>
        </w:tc>
        <w:tc>
          <w:tcPr>
            <w:tcW w:w="420" w:type="dxa"/>
            <w:vAlign w:val="bottom"/>
            <w:gridSpan w:val="2"/>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11"/>
          </w:tcPr>
          <w:p>
            <w:pPr>
              <w:jc w:val="center"/>
              <w:ind w:right="600"/>
              <w:spacing w:after="0"/>
              <w:rPr>
                <w:sz w:val="20"/>
                <w:szCs w:val="20"/>
                <w:color w:val="auto"/>
              </w:rPr>
            </w:pPr>
            <w:r>
              <w:rPr>
                <w:rFonts w:ascii="Times New Roman" w:cs="Times New Roman" w:eastAsia="Times New Roman" w:hAnsi="Times New Roman"/>
                <w:sz w:val="18"/>
                <w:szCs w:val="18"/>
                <w:color w:val="auto"/>
                <w:w w:val="98"/>
              </w:rPr>
              <w:t>/s/ EARL C. SHANKS</w:t>
            </w:r>
          </w:p>
        </w:tc>
        <w:tc>
          <w:tcPr>
            <w:tcW w:w="48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52"/>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Earl C. Shanks</w:t>
            </w:r>
          </w:p>
        </w:tc>
        <w:tc>
          <w:tcPr>
            <w:tcW w:w="600" w:type="dxa"/>
            <w:vAlign w:val="bottom"/>
            <w:gridSpan w:val="5"/>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color w:val="auto"/>
                <w:w w:val="99"/>
              </w:rPr>
              <w:t>/s/ E. SCOTT URDANG</w:t>
            </w:r>
          </w:p>
        </w:tc>
        <w:tc>
          <w:tcPr>
            <w:tcW w:w="520" w:type="dxa"/>
            <w:vAlign w:val="bottom"/>
            <w:gridSpan w:val="4"/>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52"/>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gridSpan w:val="10"/>
          </w:tcPr>
          <w:p>
            <w:pPr>
              <w:jc w:val="center"/>
              <w:ind w:right="940"/>
              <w:spacing w:after="0"/>
              <w:rPr>
                <w:sz w:val="20"/>
                <w:szCs w:val="20"/>
                <w:color w:val="auto"/>
              </w:rPr>
            </w:pPr>
            <w:r>
              <w:rPr>
                <w:rFonts w:ascii="Times New Roman" w:cs="Times New Roman" w:eastAsia="Times New Roman" w:hAnsi="Times New Roman"/>
                <w:sz w:val="18"/>
                <w:szCs w:val="18"/>
                <w:color w:val="auto"/>
              </w:rPr>
              <w:t>E. Scott Urdang</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1034" w:right="45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4.22</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GAMING AND LEISURE PROPERTIES, INC.’S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 AND EXCHANGE ACT OF 1934</w:t>
      </w:r>
    </w:p>
    <w:p>
      <w:pPr>
        <w:spacing w:after="0" w:line="20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is a summary of certain information concerning Gaming and Leisure Properties, Inc.’s (“GLPI,” “we,” “us,” or “our”) securities registered pursuant to Section 12 of the Securities and Exchange Act of 1934, as amended (the “Exchange Act”). The summaries and descriptions below do not purport to be complete statements of the relevant provisions of GLPI’s amended and restated articles of incorporation (the “Articles of Incorporation”) and amended and restated bylaws (the “Bylaws”). The summaries are qualified in their entirety by reference to the full text of GLPI’s Articles of Incorporation and Bylaws, which are included as exhibits to GLPI’s Annual Report on Form 10-K for the year ended December 31, 2020, of which this exhibit is a part.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Articles of Incorporation provide that GLPI may issue up to 500,000,000 shares of common stock, par value $0.01 per share, and 50,000,000 shares of preferred stock, par value $0.01 per share. No shares of our preferred stock are issued and outstanding.</w:t>
      </w:r>
    </w:p>
    <w:p>
      <w:pPr>
        <w:spacing w:after="0" w:line="16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issued and outstanding shares of GLPI common stock are fully paid and nonassessable. This means the full purchase price for the outstanding shares of common stock has been paid and the holders of such shares will not be assessed any additional amounts for such shares. Any additional shares of common stock that GLPI may issue in the future will also be fully paid and nonassessable.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Subject to prior dividend rights of the holders of any preferred stock, applicable law and the restrictions of the Articles of Incorporation on ownership and transfer of GLPI’s stock, holders of GLPI common stock will be entitled to receive dividends when and if declared by its board of directors out of funds legally available for that purpose.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In the event of any liquidation, dissolution or winding up of GLPI after the satisfaction in full of the liquidation preferences of holders of any preferred stock, holders of shares of our common stock will be entitled to ratable distribution of the remaining assets available for distribution to shareholders.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the rights of the holders of preferred stock, applicable law and restrictions of the Articles of Incorporation on ownership and transfer of GLPI’s stock, each share of common stock will be entitled to one vote on all matters submitted to a vote of shareholders, including the election of directors, and the holders of common stock possess the exclusive voting power. Holders of shares of common stock will not have cumulative voting rights in the election of directors of GLPI. Generally, all matters to be voted on by shareholders must be approved by a majority of the votes cast by the holders of shares entitled to vote at a meeting at which a quorum is present, subject to any voting rights granted to holders of any then outstanding preferred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w:t>
      </w:r>
    </w:p>
    <w:p>
      <w:pPr>
        <w:spacing w:after="0" w:line="22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Holders of GLPI’s common stock do not have any preemptive, subscription, redemption, conversion or sinking fund rights with respect to the common stock, or any instruments convertible (directly or indirectly) into GLPI stock.</w:t>
      </w:r>
    </w:p>
    <w:p>
      <w:pPr>
        <w:spacing w:after="0" w:line="5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Subject to the restrictions of the Articles of Incorporation on ownership and transfer of GLPI’s stock, holders of shares of GLPI common stock generally will have no preference or appraisal rights. Subject to the restrictions in the Articles of Incorporation on ownership and transfer of GLPI’s stock, holders of shares of GLPI’s common stock initially will have equal dividend, liquidation and other rights.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“GLPI.”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Under the Articles of Incorporation, GLPI’s board of directors may from time to time establish and cause GLPI to issue one or more series of preferred stock and set the terms, preferences, conversion or other rights, voting powers, restrictions, limitations as to dividends or other distributions, qualifications, or terms or conditions of redemption of such class or series. The authority of GLPI’s board of directors with respect to each series of preferred stock includes, but is not limited to, the determination of the following:</w:t>
      </w:r>
    </w:p>
    <w:p>
      <w:pPr>
        <w:spacing w:after="0" w:line="200" w:lineRule="exact"/>
        <w:rPr>
          <w:sz w:val="20"/>
          <w:szCs w:val="20"/>
          <w:color w:val="auto"/>
        </w:rPr>
      </w:pPr>
    </w:p>
    <w:p>
      <w:pPr>
        <w:spacing w:after="0" w:line="225" w:lineRule="exact"/>
        <w:rPr>
          <w:sz w:val="20"/>
          <w:szCs w:val="20"/>
          <w:color w:val="auto"/>
        </w:rPr>
      </w:pPr>
    </w:p>
    <w:p>
      <w:pPr>
        <w:ind w:left="660" w:hanging="329"/>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which may be by distinguishing number, letter or title;</w:t>
      </w:r>
    </w:p>
    <w:p>
      <w:pPr>
        <w:spacing w:after="0" w:line="116" w:lineRule="exact"/>
        <w:rPr>
          <w:rFonts w:ascii="Times New Roman" w:cs="Times New Roman" w:eastAsia="Times New Roman" w:hAnsi="Times New Roman"/>
          <w:sz w:val="18"/>
          <w:szCs w:val="18"/>
          <w:color w:val="auto"/>
        </w:rPr>
      </w:pPr>
    </w:p>
    <w:p>
      <w:pPr>
        <w:ind w:left="660" w:right="340" w:hanging="329"/>
        <w:spacing w:after="0" w:line="28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such series, including the authority to increase or decrease such number (but not below the number of shares thereof then outstanding);</w:t>
      </w:r>
    </w:p>
    <w:p>
      <w:pPr>
        <w:spacing w:after="0" w:line="54" w:lineRule="exact"/>
        <w:rPr>
          <w:rFonts w:ascii="Times New Roman" w:cs="Times New Roman" w:eastAsia="Times New Roman" w:hAnsi="Times New Roman"/>
          <w:sz w:val="18"/>
          <w:szCs w:val="18"/>
          <w:color w:val="auto"/>
        </w:rPr>
      </w:pPr>
    </w:p>
    <w:p>
      <w:pPr>
        <w:ind w:left="660" w:right="180" w:hanging="329"/>
        <w:spacing w:after="0" w:line="28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of the shares of such series, whether the dividends shall be cumulative and, if so, the date from which they shall be cumulative, and the relative rights of priority, if any, of payment of dividends on shares of such series;</w:t>
      </w:r>
    </w:p>
    <w:p>
      <w:pPr>
        <w:spacing w:after="0" w:line="5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shall be payable;</w:t>
      </w:r>
    </w:p>
    <w:p>
      <w:pPr>
        <w:spacing w:after="0" w:line="11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GLPI to redeem shares of such series and the terms and conditions of such redemption;</w:t>
      </w:r>
    </w:p>
    <w:p>
      <w:pPr>
        <w:spacing w:after="0" w:line="116" w:lineRule="exact"/>
        <w:rPr>
          <w:rFonts w:ascii="Times New Roman" w:cs="Times New Roman" w:eastAsia="Times New Roman" w:hAnsi="Times New Roman"/>
          <w:sz w:val="18"/>
          <w:szCs w:val="18"/>
          <w:color w:val="auto"/>
        </w:rPr>
      </w:pPr>
    </w:p>
    <w:p>
      <w:pPr>
        <w:ind w:left="660" w:right="260" w:hanging="329"/>
        <w:spacing w:after="0" w:line="28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in case of a voluntary or involuntary liquidation, dissolution or winding up of GLPI, and the relative rights of priority, if any, of payment of shares of such series;</w:t>
      </w:r>
    </w:p>
    <w:p>
      <w:pPr>
        <w:spacing w:after="0" w:line="5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 if any, of such series and the terms and conditions under which such voting power may be exercised;</w:t>
      </w:r>
    </w:p>
    <w:p>
      <w:pPr>
        <w:spacing w:after="0" w:line="116" w:lineRule="exact"/>
        <w:rPr>
          <w:rFonts w:ascii="Times New Roman" w:cs="Times New Roman" w:eastAsia="Times New Roman" w:hAnsi="Times New Roman"/>
          <w:sz w:val="18"/>
          <w:szCs w:val="18"/>
          <w:color w:val="auto"/>
        </w:rPr>
      </w:pPr>
    </w:p>
    <w:p>
      <w:pPr>
        <w:ind w:left="660" w:right="140" w:hanging="329"/>
        <w:spacing w:after="0" w:line="28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GLPI to retire shares of such series pursuant to a retirement or sinking fund or funds of a similar nature or otherwise and the terms and conditions of such obligations;</w:t>
      </w:r>
    </w:p>
    <w:p>
      <w:pPr>
        <w:spacing w:after="0" w:line="54" w:lineRule="exact"/>
        <w:rPr>
          <w:rFonts w:ascii="Times New Roman" w:cs="Times New Roman" w:eastAsia="Times New Roman" w:hAnsi="Times New Roman"/>
          <w:sz w:val="18"/>
          <w:szCs w:val="18"/>
          <w:color w:val="auto"/>
        </w:rPr>
      </w:pPr>
    </w:p>
    <w:p>
      <w:pPr>
        <w:ind w:left="660" w:hanging="329"/>
        <w:spacing w:after="0" w:line="28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shares of such series shall be convertible into or exchangeable for shares of stock of any other class or classes, including the price or prices or the rate or rates of conversion or exchange and the terms of adjustment, if any;</w:t>
      </w:r>
    </w:p>
    <w:p>
      <w:pPr>
        <w:spacing w:after="0" w:line="5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and</w:t>
      </w:r>
    </w:p>
    <w:p>
      <w:pPr>
        <w:spacing w:after="0" w:line="11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or limitations of the shares of such series.</w:t>
      </w:r>
    </w:p>
    <w:p>
      <w:pPr>
        <w:spacing w:after="0" w:line="251" w:lineRule="exact"/>
        <w:rPr>
          <w:sz w:val="20"/>
          <w:szCs w:val="20"/>
          <w:color w:val="auto"/>
        </w:rPr>
      </w:pPr>
    </w:p>
    <w:p>
      <w:pPr>
        <w:ind w:right="60" w:firstLine="27"/>
        <w:spacing w:after="0" w:line="258" w:lineRule="auto"/>
        <w:rPr>
          <w:sz w:val="20"/>
          <w:szCs w:val="20"/>
          <w:color w:val="auto"/>
        </w:rPr>
      </w:pPr>
      <w:r>
        <w:rPr>
          <w:rFonts w:ascii="Times New Roman" w:cs="Times New Roman" w:eastAsia="Times New Roman" w:hAnsi="Times New Roman"/>
          <w:sz w:val="18"/>
          <w:szCs w:val="18"/>
          <w:color w:val="auto"/>
        </w:rPr>
        <w:t>Accordingly, GLPI’s board of directors, without shareholder approval, may issue preferred stock with voting, conversion, or other rights that could adversely affect the voting power and other rights of the holders of GLPI’s common stock. Preferred stock could be issued quickly with terms calculated to delay, defer, or prevent a change of control or other corporate action, or make removal of management more difficult. Additionally, the issuance of preferred stock may have the effect of decreasing the market price of GLPI’s common stock and may adversely affect the voting and other rights of the holders of GLPI’s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for GLPI to qualify to be taxed as a real estate investment trust (“REIT”) under the Internal Revenue Code of 1986, as amended (the “Code”), shares of its stock must be beneficially owned by 100 or more persons during at least 335 days of a taxable year of twelve months (other than the first year for which an election to qualify to be taxed as a REIT has been made) or during a proportionate part of a shorter taxable year. Also, not more than 50% of the value of the outstanding shares of GLPI stock (after taking into account options to acquire shares of stock) may be owned, directly or indirectly,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actually or constructively, 10% or more by the REIT, or a 10% owner of the REIT) is not qualifying income for purposes of the gross income tests under the Code. To qualify to be taxed as a REIT, GLPI must satisfy other requirements as well.</w:t>
      </w:r>
    </w:p>
    <w:p>
      <w:pPr>
        <w:spacing w:after="0" w:line="2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Articles of Incorporation contain restrictions on the ownership and transfer of GLPI’s stock that are intended to assist GLPI in complying with these requirements. The relevant sections of the Articles of Incorporation provide that, subject to the exceptions described below, no person or entity may own, or be deemed to own, beneficially or by virtue of the applicable constructive ownership provisions of the Code, more than 7% of the outstanding shares of GLPI common stock (the “common</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994" w:right="359" w:bottom="1440" w:gutter="0" w:footer="0" w:header="0"/>
        </w:sectPr>
      </w:pPr>
    </w:p>
    <w:bookmarkStart w:id="119" w:name="page120"/>
    <w:bookmarkEnd w:id="119"/>
    <w:p>
      <w:pPr>
        <w:spacing w:after="0" w:line="258" w:lineRule="auto"/>
        <w:rPr>
          <w:sz w:val="20"/>
          <w:szCs w:val="20"/>
          <w:color w:val="auto"/>
        </w:rPr>
      </w:pPr>
      <w:r>
        <w:rPr>
          <w:rFonts w:ascii="Times New Roman" w:cs="Times New Roman" w:eastAsia="Times New Roman" w:hAnsi="Times New Roman"/>
          <w:sz w:val="18"/>
          <w:szCs w:val="18"/>
          <w:color w:val="auto"/>
        </w:rPr>
        <w:t>stock ownership limit”) or more than 7% in value or in number, whichever is more restrictive, of the outstanding shares of all classes or series of GLPI stock (the “aggregate stock ownership limit”). The common stock ownership limit and the aggregate stock ownership limit are collectively referred to as the “ownership limits.” The person or entity that, but for operation of the ownership limits or another restriction on ownership and transfer of GLPI stock as described below, would beneficially own or constructively own shares of GLPI stock in violation of such limits or restrictions or, if appropriate in the context, a person or entity that would have been the record owner of such shares of GLPI stock is referred to as a “prohibited owner.”</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constructive ownership rules under the Code are complex and may cause stock owned beneficially or constructively by a group of related individuals and/or entities to be owned beneficially or constructively by one individual or entity. As a result, the acquisition of less than 7% of the outstanding shares of GLPI common stock or less than 7% in value or in number, whichever is more restrictive, of the outstanding shares of all classes and series of GLPI stock (or the acquisition by an individual or entity of an interest in an entity that owns, beneficially or constructively, shares of GLPI stock) could, nevertheless, cause that individual or entity, or another individual or entity, to own beneficially or constructively shares of GLPI stock in excess of the ownership limits. In addition, a person that did not acquire more than 7% of our outstanding stock may become subject to these restrictions if repurchases by us cause such person’s holdings to exceed 7% of our outstanding stock.</w:t>
      </w:r>
    </w:p>
    <w:p>
      <w:pPr>
        <w:spacing w:after="0" w:line="18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Pursuant to the Articles of Incorporation, GLPI’s board of directors may exempt, prospectively or retroactively, a particular shareholder (the “excepted holder”) from the ownership limits or establish a different limit on ownership (the “excepted holder limit”) if:</w:t>
      </w:r>
    </w:p>
    <w:p>
      <w:pPr>
        <w:spacing w:after="0" w:line="163" w:lineRule="exact"/>
        <w:rPr>
          <w:sz w:val="20"/>
          <w:szCs w:val="20"/>
          <w:color w:val="auto"/>
        </w:rPr>
      </w:pPr>
    </w:p>
    <w:p>
      <w:pPr>
        <w:ind w:left="660" w:hanging="329"/>
        <w:spacing w:after="0" w:line="265"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individual’s beneficial or constructive ownership of GLPI stock will result in GLPI being “closely held” under Section 856(h) of the Code (without regard to whether the ownership interest is held during the last half of a taxable year) or otherwise failing to qualify to be taxed as a REIT or would cause any income of GLPI that would otherwise qualify as rents from real property to fail to qualify as such; and</w:t>
      </w:r>
    </w:p>
    <w:p>
      <w:pPr>
        <w:spacing w:after="0" w:line="177" w:lineRule="exact"/>
        <w:rPr>
          <w:rFonts w:ascii="Times New Roman" w:cs="Times New Roman" w:eastAsia="Times New Roman" w:hAnsi="Times New Roman"/>
          <w:sz w:val="18"/>
          <w:szCs w:val="18"/>
          <w:color w:val="auto"/>
        </w:rPr>
      </w:pPr>
    </w:p>
    <w:p>
      <w:pPr>
        <w:ind w:left="660" w:right="140" w:hanging="329"/>
        <w:spacing w:after="0" w:line="276" w:lineRule="auto"/>
        <w:tabs>
          <w:tab w:leader="none" w:pos="65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shareholder does not and represents that it will not own, actually or constructively, an interest in a tenant of GLPI (or a tenant of any entity owned or controlled by GLPI) that would cause GLPI to own, actually or constructively, more than a 9.9% interest (as set forth in Section 856(d)</w:t>
      </w:r>
    </w:p>
    <w:p>
      <w:pPr>
        <w:ind w:left="660" w:right="3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(2)(B) of the Code) in such tenant (or GLPI’s board of directors determines that rent derived from such tenant will not affect GLPI’s ability to qualify to be taxed as a REIT).</w:t>
      </w:r>
    </w:p>
    <w:p>
      <w:pPr>
        <w:spacing w:after="0" w:line="86" w:lineRule="exact"/>
        <w:rPr>
          <w:sz w:val="20"/>
          <w:szCs w:val="20"/>
          <w:color w:val="auto"/>
        </w:rPr>
      </w:pPr>
    </w:p>
    <w:p>
      <w:pPr>
        <w:ind w:right="500" w:firstLine="27"/>
        <w:spacing w:after="0" w:line="281" w:lineRule="auto"/>
        <w:rPr>
          <w:sz w:val="20"/>
          <w:szCs w:val="20"/>
          <w:color w:val="auto"/>
        </w:rPr>
      </w:pPr>
      <w:r>
        <w:rPr>
          <w:rFonts w:ascii="Times New Roman" w:cs="Times New Roman" w:eastAsia="Times New Roman" w:hAnsi="Times New Roman"/>
          <w:sz w:val="18"/>
          <w:szCs w:val="18"/>
          <w:color w:val="auto"/>
        </w:rPr>
        <w:t>Peter M. Carlino, GLPI’s Chairman and Chief Executive Officer, the Carlino Family Trust, The Vanguard Group Inc., BlackRock, Inc. and Cohen &amp; Steers, Inc. have each been deemed excepted holders by GLPI’s board of directors.</w:t>
      </w:r>
    </w:p>
    <w:p>
      <w:pPr>
        <w:spacing w:after="0" w:line="1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condition of granting the waiver or establishing the excepted holder limit, GLPI’s board of directors may require an opinion of counsel or a ruling from the IRS, in either case in form and in substance satisfactory to GLPI’s board of directors (in its sole discretion) in order to determine or ensure GLPI’s status as a REIT and such representations and undertakings from the person requesting the exception as GLPI’s board of directors may require (in its sole discretion) to make the determinations above. GLPI’s board of directors may impose such conditions or restrictions as it deems appropriate in connection with granting such a waiver or establishing an excepted holder limit.</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GLPI’s board of directors may from time to time increase or decrease the common stock ownership limit, the aggregate stock ownership limit or both, for all other persons, unless, after giving effect to such increase, five or fewer individuals could beneficially own, in the aggregate, more than 49.9% in value of GLPI’s outstanding stock. A reduced ownership limit will not apply to any person or entity whose percentage ownership of GLPI common stock or GLPI stock of all classes and series, as applicable, is, at the effective time of such reduction, in excess of such decreased ownership limit until such time as such person’s or entity’s percentage ownership of GLPI common stock or GLPI stock of all classes and series, as applicable, equals or falls below the decreased ownership limit, but any further acquisition of shares of GLPI common stock or stock of all other classes or series, as applicable, will violate the decreased ownership limit.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Articles of Incorporation further prohibit:</w:t>
      </w:r>
    </w:p>
    <w:p>
      <w:pPr>
        <w:spacing w:after="0" w:line="225" w:lineRule="exact"/>
        <w:rPr>
          <w:sz w:val="20"/>
          <w:szCs w:val="20"/>
          <w:color w:val="auto"/>
        </w:rPr>
      </w:pPr>
    </w:p>
    <w:p>
      <w:pPr>
        <w:ind w:left="660" w:right="140" w:hanging="329"/>
        <w:spacing w:after="0" w:line="265"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beneficially or constructively owning shares of GLPI stock that would result in GLPI being “closely held” under Section 856(h) of the Code (without regard to whether the ownership interest is held during the last half of a taxable year) or otherwise cause GLPI to fail to qualify to be taxed as a REIT;</w:t>
      </w:r>
    </w:p>
    <w:p>
      <w:pPr>
        <w:spacing w:after="0" w:line="177" w:lineRule="exact"/>
        <w:rPr>
          <w:rFonts w:ascii="Times New Roman" w:cs="Times New Roman" w:eastAsia="Times New Roman" w:hAnsi="Times New Roman"/>
          <w:sz w:val="18"/>
          <w:szCs w:val="18"/>
          <w:color w:val="auto"/>
        </w:rPr>
      </w:pPr>
    </w:p>
    <w:p>
      <w:pPr>
        <w:ind w:left="660" w:right="40" w:hanging="329"/>
        <w:spacing w:after="0" w:line="281"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transferring shares of GLPI stock if the transfer would result in shares of GLPI stock being beneficially owned by fewer than 100 persons (determined without reference to the rules of attribution under Section 544 of the Code); and</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90" w:right="359" w:bottom="1440" w:gutter="0" w:footer="0" w:header="0"/>
        </w:sectPr>
      </w:pPr>
    </w:p>
    <w:bookmarkStart w:id="120" w:name="page121"/>
    <w:bookmarkEnd w:id="120"/>
    <w:p>
      <w:pPr>
        <w:ind w:left="660" w:right="280" w:hanging="329"/>
        <w:spacing w:after="0" w:line="281"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constructively owning shares of GLPI stock to the extent that such constructive ownership would cause any of GLPI’s income that would otherwise qualify as “rents from real property” for purposes of Section 856(d) of the Code to fail to qualify as such.</w:t>
      </w:r>
    </w:p>
    <w:p>
      <w:pPr>
        <w:spacing w:after="0" w:line="1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person who acquires or attempts or intends to acquire beneficial or constructive ownership of shares of GLPI stock that will or may violate the ownership limits or any of the other restrictions on ownership and transfer of GLPI stock described above, or who would have owned shares of GLPI stock transferred to the charitable trust described below, must immediately give notice to GLPI of such event or, in the case of an attempted or proposed transaction, give GLPI at least fifteen days’ prior written notice and provide GLPI with such other information as it may request in order to determine the effect of such transfer on its status as a REIT. The foregoing restrictions on ownership and transfer of GLPI stock will not apply if GLPI’s board of directors determines that it is no longer in GLPI’s best interests to attempt to qualify, or to continue to qualify, to be taxed as a REIT or that compliance with the restrictions and limits on ownership and transfer of GLPI stock described above is no longer required in order for GLPI to qualify to be taxed as a REIT.</w:t>
      </w:r>
    </w:p>
    <w:p>
      <w:pPr>
        <w:spacing w:after="0" w:line="18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If any transfer of shares of GLPI stock or any other event would result in any person violating the ownership limits or any other restriction on ownership and transfer of GLPI shares described above then that number of shares (rounded up to the nearest whole share) that would cause the violation will be automatically transferred to, and held by, a trust for the benefit of one or more charitable organizations selected by GLPI, and the intended transferee or other prohibited owner will acquire no rights in the shares. The automatic transfer will be effective as of the close of business on the business day prior to the date of the violative transfer or other event that results in a transfer to the trust. If the transfer to the trust as described above would not be effective, for any reason, to prevent violation of the applicable ownership limits or any other restriction on ownership and transfer of GLPI shares described above, then the Articles of Incorporation provide that the transfer of the shares will be null and void and the intended transferee will acquire no rights in such shares.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Shares of GLPI stock held in the trust will continue to be issued and outstanding shares. The prohibited owner will not benefit economically from ownership of any shares of GLPI stock held in the trust and will have no rights to distributions and no rights to vote or other rights attributable to the shares of GLPI stock held in the trust. The trustee of the trust shall have all voting rights and rights to dividends and other distributions with respect to shares held in the trust for the exclusive benefit of the charitable beneficiary of the trust. Any distribution made before GLPI’s discovery that the shares have been transferred to a trust as described above must be repaid by the recipient to the trustee upon demand and any dividend or other distribution authorized but unpaid shall be paid when due to the trustee. Subject to Pennsylvania law, effective as of the date that the shares have been transferred to the trust, the trustee will have the authority (at the trustee’s sole discretion) (i) to rescind as void any vote cast by a prohibited owner or unsuitable person, as applicable, before GLPI’s discovery that the shares have been transferred to the trust and (ii) to recast the vote in accordance with the desires of the trustee acting for the benefit of the charitable beneficiary of the trust. However, if GLPI has already taken irreversible corporate action, then the trustee may not rescind and recast the vote.</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Shares of GLPI stock transferred to the trustee will be deemed offered for sale to GLPI, or its designee, at a price per share equal to the lesser of (i) the market price of the shares on the day of the event causing the shares to be held in the trust, or (ii) the market price on the date GLPI, or its designee, accepts such offer. GLPI may reduce the amount so payable to the prohibited owner by the amount of any distribution that GLPI made to the prohibited owner before it discovered that the shares had been automatically transferred to the trust and that are then owed by the prohibited owner to the trustee as described above, and GLPI may pay the amount of any such reduction to the trustee for the benefit of the charitable beneficiary. GLPI will have the right to accept such offer until the trustee has sold the shares of GLPI stock held in the trust as discussed below. Upon a sale to GLPI, the interest of the charitable beneficiary in the shares sold will terminate, and the trustee must distribute the net proceeds of the sale to the prohibited owner and must distribute any distributions held by the trustee with respect to such shares to the charitable beneficiary.</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If GLPI does not buy the shares, the trustee must, within 20 days of receiving notice from GLPI of the transfer of shares to the trust, sell the shares to a person or entity designated by the trustee who could own the shares without violating the ownership limits or the other restrictions on ownership and transfer of GLPI stock. After the sale of the shares, the interest of the charitable beneficiary in the shares sold will terminate and the trustee must distribute to the prohibited owner an amount equal to the lesser of (i) the market price of the shares on the day of the event causing the shares to be held in the trust and (ii) the sales proceeds (net of any commissions and other expenses of sale) received by the trust for the shares. The trustee may reduce the amount payable to the prohibited owner by the amount of any distribution that GLPI paid to the prohibited owner before GLPI discovered that the shares had been automatically transferred to the trust and that are then owed by the prohibited owner to the trustee as described above. Any net sales proceeds in excess of the amount payable to the prohibited owner must be paid immediately to the charitable beneficiary, together with any distributions thereon. In addition, if prior to the discovery by GLPI that shares of stock have been transferred to a trust, such shares of stock are sold by a prohibited owner, then such shares will be</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106" w:right="359" w:bottom="1440" w:gutter="0" w:footer="0" w:header="0"/>
        </w:sectPr>
      </w:pPr>
    </w:p>
    <w:bookmarkStart w:id="121" w:name="page122"/>
    <w:bookmarkEnd w:id="121"/>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deemed to have been sold on behalf of the trust and, to the extent that the prohibited owner received an amount for such shares that exceeds the amount that such prohibited owner was entitled to receive, such excess amount will be paid to the trustee upon demand. The prohibited owner will have no rights in the shares held by the trustee.</w:t>
      </w:r>
    </w:p>
    <w:p>
      <w:pPr>
        <w:spacing w:after="0" w:line="1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if GLPI’s board of directors determines in good faith that a transfer or other event has occurred that would violate the restrictions on ownership and transfer of GLPI stock described above or that a person or entity intends to acquire or has attempted to acquire beneficial or constructive ownership of any shares of GLPI stock in violation of the restrictions on ownership and transfer of GLPI stock described above, GLPI’s board of directors may take such action as it deems advisable to refuse to give effect to or to prevent such transfer or other event, including, but not limited to, causing GLPI to redeem shares of GLPI stock, refusing to give effect to the transfer of GLPI’s books or instituting proceedings to enjoin the transfer or other event.</w:t>
      </w:r>
    </w:p>
    <w:p>
      <w:pPr>
        <w:spacing w:after="0" w:line="1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Every person or entity who is a beneficial owner or constructive owner of more than 5% (or such lower percentage as required by the Code or the regulations promulgated thereunder) in number of value (whichever is more restrictive) of GLPI stock, within 30 days after initially reaching such ownership threshold and within 30 days after the end of each taxable year, must give GLPI written notice stating the shareholder’s name and address, the number of shares of each class and series of GLPI stock that the shareholder beneficially or constructively owns and a description of the manner in which the shares are held. Each such owner must provide to GLPI such additional information as GLPI may request in order to determine the effect, if any, of the shareholder’s beneficial ownership on GLPI’s qualification as a REIT and to ensure compliance with the applicable ownership limits. In addition, any person or entity that will be a beneficial owner or constructive owner of shares of GLPI stock and any person or entity (including the shareholder of record) who is holding shares of GLPI stock for a beneficial owner or constructive owner must provide to GLPI such information as GLPI may request in order to determine GLPI’s qualification as a REIT and to comply with the requirements of any governmental or taxing authority or to determine such compliance and to ensure compliance with the ownership limits.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certificates representing shares of GLPI stock will bear a legend referring to the restrictions on ownership and transfer of GLPI stock described above.</w:t>
      </w:r>
    </w:p>
    <w:p>
      <w:pPr>
        <w:spacing w:after="0" w:line="22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restrictions on ownership and transfer of GLPI stock described above could delay, defer or prevent a transaction or a change in control that might involve a premium price for GLPI common stock or otherwise be in the best interests of GLPI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Securities Owned or Controlled by an Unsuitable Person or Affiliate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the restrictions set forth above, all of GLPI’s outstanding capital stock shall be held subject to applicable gaming laws. Any person owning or controlling at least five percent of any class of GLPI’s outstanding capital stock will be required by the Articles of Incorporation to promptly notify GLPI of such person’s identity. The Articles of Incorporation provide that capital stock of GLPI that is owned or controlled by an unsuitable person or an affiliate of an unsuitable person is redeemable by GLPI, out of funds legally available for that redemption, to the extent required by the gaming authorities making the determination of unsuitability or to the extent determined to be necessary or advisable by GLPI’s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GLPI’s board of directors alone), the lesser of (i) the market price on the date of the redemption notice, (ii) the market price on the redemption date or (iii) the actual amount paid by the owner thereof, in each case less a discount in a percentage (up to 100%) to be determined by GLPI’s board of directors in its sole and absolute discretion. The redemption price may be paid in cash, by promissory note, or both, as required by the applicable gaming authority and, if not, as determined by GLPI.</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Articles of Incorporation also provide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the GLPI board of directors in its sole and absolute discretion.</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Articles of Incorporation require any unsuitable person and any affiliate of an unsuitable person to indemnify and hold harmless GLPI and its affiliated companies for any and all losses, costs, and expenses, including attorneys’ costs, fees and expenses, incurred by GLPI and its affiliated companies as a result of, or arising out of, the unsuitable person’s ownership or</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06" w:right="339" w:bottom="1440" w:gutter="0" w:footer="0" w:header="0"/>
        </w:sectPr>
      </w:pPr>
    </w:p>
    <w:bookmarkStart w:id="122" w:name="page123"/>
    <w:bookmarkEnd w:id="122"/>
    <w:p>
      <w:pPr>
        <w:ind w:right="320"/>
        <w:spacing w:after="0" w:line="281" w:lineRule="auto"/>
        <w:rPr>
          <w:sz w:val="20"/>
          <w:szCs w:val="20"/>
          <w:color w:val="auto"/>
        </w:rPr>
      </w:pPr>
      <w:r>
        <w:rPr>
          <w:rFonts w:ascii="Times New Roman" w:cs="Times New Roman" w:eastAsia="Times New Roman" w:hAnsi="Times New Roman"/>
          <w:sz w:val="18"/>
          <w:szCs w:val="18"/>
          <w:color w:val="auto"/>
        </w:rPr>
        <w:t>control of any securities of GLPI, failure or refusal to comply with the provisions of the Articles of Incorporation, or failure to divest himself, herself or itself of any securities when and in the specific manner required by a gaming authority or the Articles of Incorporation.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GLPI common stock is Continental Stock Transfer &amp; Trust.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issue debt securities in one or more series under an indenture dated October 30, 2013 among GLP Capital, L.P. and GLP Financing II, Inc., two wholly-owned Subsidiaries of GLPI, as issuers, GLPI as parent guarantor and Wells Fargo Bank, National Association, as trustee. The terms of the debt securities include those stated in the base indenture as supplemented by the supplemental indenture or officer’s certificate related to such debt securities (the base indenture, as supplemented, is referred to as the “indenture”) and those made part of the indenture by reference to the Trust Indenture Act of 1939, as amended (the “TIA”).</w:t>
      </w:r>
    </w:p>
    <w:p>
      <w:pPr>
        <w:spacing w:after="0" w:line="18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In this description, (1) the “Operating Partnership” refers only to GLP Capital, L.P., and not to any of its Subsidiaries, (2) “Capital Corp.” refers only to GLP Financing II, Inc., and not to any of its Subsidiaries, (3) “Issuers,” “we,” “us” and “our” refer only to the Operating Partnership and Capital Corp., and</w:t>
      </w:r>
    </w:p>
    <w:p>
      <w:pPr>
        <w:ind w:right="100" w:firstLine="8"/>
        <w:spacing w:after="0" w:line="260"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refers only to GLPI and not to any of its Subsidiaries. Other defined terms used in this description but not defined below under the caption “-Certain Definitions” have the meanings assigned to them in the indenture.</w:t>
      </w:r>
    </w:p>
    <w:p>
      <w:pPr>
        <w:spacing w:after="0" w:line="180"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our existing senior unsecured notes (as defined below) and the indenture. It does not restate the indenture in its entirety. The summary is qualified in its entirety by reference to the full text of the base indenture and supplemental indentures, which are included as exhibits to GLPI’s Annual Report on Form 10-K for the year ended December 31, 2020, of which this exhibit is a part.</w:t>
      </w:r>
    </w:p>
    <w:p>
      <w:pPr>
        <w:spacing w:after="0" w:line="177"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The registered holder of an existing senior unsecured note is treated as the owner of it for all purposes. Only registered holders have rights under the indenture.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5.375% Senior Unsecured Notes Due 2023</w:t>
      </w: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30, 2013, the Issuers issued $500 million of 5.375% senior unsecured notes maturing on November 1, 2023 (the “2023 Notes”), all of which were outstanding as of December 31, 2020. Interest on the 2023 Notes accrues at the rate of 5.375% per annum and is payable semi-annually on May 1 and November 1 of each year. The Issuers will make each interest payment on the 2023 Notes to the holders of record on the immediately preceding April 15 and October 15. Interest on the 2023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5.375% Senior Unsecured Notes Due 2026</w:t>
      </w: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28, 2016, the Issuers issued $975 million of 5.375% senior unsecured notes maturing on April 15, 2026 (the “2026 Notes”), all of which were outstanding as of December 31, 2020. Interest on the 2026 Notes accrues at the rate of 5.375% per annum and is payable semi-annually on April 15 and October 15 of each year. The Issuers will make each interest payment on the 2026 Notes to the holders of record on the immediately preceding April 1 and October 1. Interest on the 2026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0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5.75% Senior Unsecured Notes Due 2028</w:t>
      </w: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21, 2018, the Issuers issued $500 million of 5.75% senior unsecured notes maturing on June 1, 2028 (the “2028 Notes”), all of which were outstanding as of December 31, 2020. Interest on the 2028 Notes accrues at the rate of 5.75% per annum and is payable semi-annually on June 1 and December 1 of each year. The Issuers will make each interest payment on the 2028 Notes to the holders of record on the immediately preceding May 15 and November 15. Interest on the 2028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5.25% Senior Unsecured Notes Due 2025</w:t>
      </w:r>
    </w:p>
    <w:p>
      <w:pPr>
        <w:spacing w:after="0" w:line="2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1, 2018, the Issuers issued $500 million of 5.25% senior unsecured notes maturing on June 1, 2025 (the “Initial 2025 Notes”). On September 26, 2018, the Issuers issued an additional $350 million of 5.25% senior unsecured notes maturing on June 1, 2025 (the “New 2025 Notes,” and together with the Initial 2025 Notes, the “2025 Notes,”) which such notes became part of the same series as the Initial 2025 Notes. All of the 2025 Notes were outstanding as of December 31, 2020. Interest on the 2025 Notes accrues at the rate of 5.25% per annum and is payable semi-annually on June 1 and December 1 of each year. The Issuers will make each interest payment on the 2025 Notes to the holders of record on the immediately preceding May 15 and November 15. Interest on the 2025 Notes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5.30% Senior Unsecured Notes Due 2029</w:t>
      </w: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September 26, 2018, the Issuers issued $750 million of 5.30% senior unsecured notes maturing on January 15, 2029 (the “2029 Notes”), all of which were outstanding as of December 31, 2020. Interest on the 2029 Notes accrues at the rate of 5.30% per annum and is payable semi-annually on January 15 and July 15 of each year. The Issuers will make each interest payment on the 2029 Notes to the holders of record on the immediately preceding January 1 and July 1. Interest on the 2029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3.350% Senior Unsecured Notes Due 2024</w:t>
      </w: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29, 2019, the Issuers issued $400 million of 3.350% senior unsecured notes maturing on September 1, 2024 (the “2024 Notes”), all of which were outstanding as of December 31, 2020. Interest on the 2024 Notes accrues at the rate of 3.350% per annum and is payable semi-annually on March 1 and September 1 of each year. The Issuers will make each interest payment on the 2024 Notes to the holders of record on the immediately preceding February 15 and August 15. Interest on the 2024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2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4.000% Senior Unsecured Notes Due 2030</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29, 2019, the Issuers issued $700 million of 4.000% senior unsecured notes maturing on January 15, 2030 (the “2030 Notes”, all of which were outstanding as of December 31, 2020. Interest on the 2030 Notes accrues at the rate of 4.000% per annum and is payable semi-annually on January 15 and July 15 of each year. The Issuers will make each interest payment on the 2030 Notes to the holders of record on the immediately preceding January 1 and July 1. Interest on the 2030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4.000% Senior Unsecured Notes Due 2031</w:t>
      </w:r>
    </w:p>
    <w:p>
      <w:pPr>
        <w:spacing w:after="0" w:line="2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June 25, 2020, the Issuers issued $500 million of 4.000% senior unsecured notes maturing on January 15, 2031 (the “Initial 2031 Notes”). On August 18, 2020, the Issuers issued an additional $200 million of 4.000% senior unsecured notes maturing on January 15, 2031 (the “New 2031 Notes,” and together with the Initial 2031 Notes, the “2031 Notes,” and together with the 2023 Notes, the 2026 Notes, the 2028 Notes, the 2025 Notes, the 2029 Notes, the 2024 Notes and the 2030 Notes, the “existing senior unsecured notes” or the “notes”). All of the 2031 Notes were outstanding as of December 31, 2020. Interest on the 2031 Notes accrues at the rate of 4.000% per annum and is payable semi-annually on January 15 and July 15 of each year. The Issuers will make each interest payment on the 2031 Notes to the holders of record on the immediately preceding January 1 and July 1. Interest on the 2031 Notes will be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93" w:lineRule="exact"/>
        <w:rPr>
          <w:sz w:val="20"/>
          <w:szCs w:val="20"/>
          <w:color w:val="auto"/>
        </w:rPr>
      </w:pPr>
    </w:p>
    <w:p>
      <w:pPr>
        <w:ind w:right="28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Brief Description of the Existing Senior Unsecured Notes and the Existing Senior Unsecured Notes Guarantee </w:t>
      </w:r>
      <w:r>
        <w:rPr>
          <w:rFonts w:ascii="Times New Roman" w:cs="Times New Roman" w:eastAsia="Times New Roman" w:hAnsi="Times New Roman"/>
          <w:sz w:val="18"/>
          <w:szCs w:val="18"/>
          <w:color w:val="auto"/>
        </w:rPr>
        <w:t>Each of the series of existing senior unsecured notes:</w:t>
      </w:r>
    </w:p>
    <w:p>
      <w:pPr>
        <w:spacing w:after="0" w:line="1" w:lineRule="exact"/>
        <w:rPr>
          <w:sz w:val="20"/>
          <w:szCs w:val="20"/>
          <w:color w:val="auto"/>
        </w:rPr>
      </w:pPr>
    </w:p>
    <w:p>
      <w:pPr>
        <w:ind w:left="660" w:hanging="329"/>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general senior unsecured obligations of the Issuers;</w:t>
      </w:r>
    </w:p>
    <w:p>
      <w:pPr>
        <w:spacing w:after="0" w:line="114" w:lineRule="exact"/>
        <w:rPr>
          <w:rFonts w:ascii="Times New Roman" w:cs="Times New Roman" w:eastAsia="Times New Roman" w:hAnsi="Times New Roman"/>
          <w:sz w:val="18"/>
          <w:szCs w:val="18"/>
          <w:color w:val="auto"/>
        </w:rPr>
      </w:pPr>
    </w:p>
    <w:p>
      <w:pPr>
        <w:ind w:left="660" w:right="20" w:hanging="329"/>
        <w:spacing w:after="0" w:line="283"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the Issuers’ senior indebtedness, including all of the other series of existing senior unsecured notes and borrowings under the Credit Facility, without giving effect to collateral arrangements;</w:t>
      </w:r>
    </w:p>
    <w:p>
      <w:pPr>
        <w:spacing w:after="0" w:line="53" w:lineRule="exact"/>
        <w:rPr>
          <w:rFonts w:ascii="Times New Roman" w:cs="Times New Roman" w:eastAsia="Times New Roman" w:hAnsi="Times New Roman"/>
          <w:sz w:val="18"/>
          <w:szCs w:val="18"/>
          <w:color w:val="auto"/>
        </w:rPr>
      </w:pPr>
    </w:p>
    <w:p>
      <w:pPr>
        <w:ind w:left="660" w:right="460" w:hanging="329"/>
        <w:spacing w:after="0" w:line="281"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effectively subordinated in right of payment to all of the Issuers' secured indebtedness to the extent of the value of the assets securing such indebtedness;</w:t>
      </w:r>
    </w:p>
    <w:p>
      <w:pPr>
        <w:spacing w:after="0" w:line="5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senior in right of payment to all of the Issuers’ senior subordinated or subordinated indebtedness;</w:t>
      </w:r>
    </w:p>
    <w:p>
      <w:pPr>
        <w:spacing w:after="0" w:line="11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structurally subordinated to all liabilities of the Issuers’ Subsidiaries (other than Capital Corp., which is a co-Issuer of the notes); and</w:t>
      </w:r>
    </w:p>
    <w:p>
      <w:pPr>
        <w:spacing w:after="0" w:line="11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fully and unconditionally guaranteed by the Guarantor.</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existing senior unsecured notes are guaranteed by the Guarantor; however, the Guarantor is not subject to most of the covenants in the indenture.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guarantee of each series of the existing senior unsecured notes:</w:t>
      </w:r>
    </w:p>
    <w:p>
      <w:pPr>
        <w:spacing w:after="0" w:line="251" w:lineRule="exact"/>
        <w:rPr>
          <w:sz w:val="20"/>
          <w:szCs w:val="20"/>
          <w:color w:val="auto"/>
        </w:rPr>
      </w:pPr>
    </w:p>
    <w:p>
      <w:pPr>
        <w:ind w:left="660" w:hanging="329"/>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general unsecured obligation of the Guarantor;</w:t>
      </w:r>
    </w:p>
    <w:p>
      <w:pPr>
        <w:spacing w:after="0" w:line="249" w:lineRule="exact"/>
        <w:rPr>
          <w:rFonts w:ascii="Times New Roman" w:cs="Times New Roman" w:eastAsia="Times New Roman" w:hAnsi="Times New Roman"/>
          <w:sz w:val="18"/>
          <w:szCs w:val="18"/>
          <w:color w:val="auto"/>
        </w:rPr>
      </w:pPr>
    </w:p>
    <w:p>
      <w:pPr>
        <w:ind w:left="660" w:right="80" w:hanging="329"/>
        <w:spacing w:after="0" w:line="283"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the Guarantor’s senior indebtedness, including its guarantee of all of the other series of existing senior unsecured notes and borrowings under the Credit Facility, without giving effect to collateral arrangements;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6" w:right="339" w:bottom="1440" w:gutter="0" w:footer="0" w:header="0"/>
        </w:sectPr>
      </w:pPr>
    </w:p>
    <w:bookmarkStart w:id="125" w:name="page126"/>
    <w:bookmarkEnd w:id="125"/>
    <w:p>
      <w:pPr>
        <w:ind w:left="660" w:right="120" w:hanging="329"/>
        <w:spacing w:after="0" w:line="281"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effectively subordinated in right of payment to all of the Guarantor’s secured indebtedness to the extent of the value of the assets securing such indebtedness;</w:t>
      </w:r>
    </w:p>
    <w:p>
      <w:pPr>
        <w:spacing w:after="0" w:line="189"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senior in right of payment to all of the Guarantor’s senior subordinated or subordinated indebtedness; and</w:t>
      </w:r>
    </w:p>
    <w:p>
      <w:pPr>
        <w:spacing w:after="0" w:line="25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structurally subordinated to all liabilities of the Guarantor’s Subsidiaries (other than the Issuers).</w:t>
      </w:r>
    </w:p>
    <w:p>
      <w:pPr>
        <w:spacing w:after="0" w:line="225"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 obligation of the Guarantor under its guarantee is limited as necessary to prevent that guarantee from constituting a fraudulent conveyance under applicable law.</w:t>
      </w:r>
    </w:p>
    <w:p>
      <w:pPr>
        <w:spacing w:after="0" w:line="16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As of December 31, 2020, the Issuers, the Guarantor and the Issuers’ Subsidiaries had $424.0 million of indebtedness outstanding under the Credit Facility, consisting of $424.0 million outstanding under the Term Loan A-2 facility. The indenture permits the Issuers and the Issuers’ Subsidiaries to incur substantial additional indebtedness and does not limit the amount of indebtedness that the Guarantor may incur.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Corp.</w:t>
      </w:r>
    </w:p>
    <w:p>
      <w:pPr>
        <w:spacing w:after="0" w:line="12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Capital Corp. is a Delaware corporation and a wholly owned Subsidiary of the Operating Partnership. Capital Corp. is nominally capitalized and does not have any material assets or significant operations, other than with respect to acting as co-Issuer or guarantor for certain debt obligations the Operating Partnership may incur or guarantee from time to time.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121"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The Issuers may issue additional notes of a series the same as or different from any of the series of the existing senior unsecured notes from time to time under the indenture. Any issuance of additional notes is subject to the covenants set forth below under “-Certain Covenants-Limitations on Incurrence of Indebtedness.” Any additional notes of the same series as any of the series of the existing senior unsecured notes subsequently issued will be treated as a single series with the applicable series of the existing senior unsecured notes for all purposes under the indenture, including, without limitation, waivers, amendments, redemptions and offers to purchase. The Issuers issue notes in denominations of $2,000 and integral multiples of $1,000.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Sinking Fund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not be entitled to the benefit of any sinking fund.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Redemption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redeem all or part of any series of the notes at any time at our option at a redemption price equal to the greater of:</w:t>
      </w:r>
    </w:p>
    <w:p>
      <w:pPr>
        <w:spacing w:after="0" w:line="117" w:lineRule="exact"/>
        <w:rPr>
          <w:sz w:val="20"/>
          <w:szCs w:val="20"/>
          <w:color w:val="auto"/>
        </w:rPr>
      </w:pPr>
    </w:p>
    <w:p>
      <w:pPr>
        <w:ind w:left="400" w:hanging="392"/>
        <w:spacing w:after="0"/>
        <w:tabs>
          <w:tab w:leader="none" w:pos="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w:t>
      </w:r>
    </w:p>
    <w:p>
      <w:pPr>
        <w:spacing w:after="0" w:line="116" w:lineRule="exact"/>
        <w:rPr>
          <w:rFonts w:ascii="Times New Roman" w:cs="Times New Roman" w:eastAsia="Times New Roman" w:hAnsi="Times New Roman"/>
          <w:sz w:val="18"/>
          <w:szCs w:val="18"/>
          <w:color w:val="auto"/>
        </w:rPr>
      </w:pPr>
    </w:p>
    <w:p>
      <w:pPr>
        <w:ind w:firstLine="8"/>
        <w:spacing w:after="0" w:line="253" w:lineRule="auto"/>
        <w:tabs>
          <w:tab w:leader="none" w:pos="38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that would be due if such notes matured 90 days prior to their maturity date (or 30 days in the case of the 2024 Notes) (the “</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xml:space="preserve">”) but for the redemption thereof (exclusive of interest accrued to, but not including, the date of redemption) discounted to the date of redemption on a semi-annual basis (assuming a 360-day year consisting of twelve 30-day months) at the Treasury Rate (or the Adjusted Treasury Rate in the case of the 2031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50 basis points (or 40 basis points in the case of the 2030 Notes, 30 basis points in the case of the 2024 Notes and 35 basis points in the case of the 2029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on the amount being redeemed to, but not including, the date of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we redeem the notes on or after the applicable Par Call Date, the redemption price will equal 100% of the principal amount of the notes to be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on the amount being redeemed to, but not including, the date of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installments of interest that are due and payable on any interest payment dates falling on or prior to a redemption date shall be payable on such interest payment dates to the persons who were registered holders of the notes to be redeemed at the close of business on the applicable record dates.</w:t>
      </w:r>
    </w:p>
    <w:p>
      <w:pPr>
        <w:spacing w:after="0" w:line="19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Unless we default in our payment of the redemption price, on and after the redemption date, interest will cease to accrue on the notes or portions of such notes called for redemption.</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890" w:right="359" w:bottom="1440" w:gutter="0" w:footer="0" w:header="0"/>
        </w:sectPr>
      </w:pPr>
    </w:p>
    <w:bookmarkStart w:id="126" w:name="page127"/>
    <w:bookmarkEnd w:id="126"/>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as having a maturity comparable to the remaining term of the applicable series of notes being redeemed calculated as if the maturity date of such notes was the applicable Par Call Date (as applicable,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that would be utilized, at the time of selection and in accordance with customary financial practice, in pricing new issues of corporate debt securities of comparable maturity to the Remaining Life of such series of notes.</w:t>
      </w:r>
    </w:p>
    <w:p>
      <w:pPr>
        <w:spacing w:after="0" w:line="178"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(1) the average of four Reference Treasury Dealer Quotations for such redemption date, after excluding the highest and lowest of such Reference Treasury Dealer Quotations, or (2) if the Issuers are provided fewer than four such Reference Treasury Dealer Quotations, the average of all such quotations.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Quotation Agent</w:t>
      </w:r>
      <w:r>
        <w:rPr>
          <w:rFonts w:ascii="Times New Roman" w:cs="Times New Roman" w:eastAsia="Times New Roman" w:hAnsi="Times New Roman"/>
          <w:sz w:val="18"/>
          <w:szCs w:val="18"/>
          <w:color w:val="auto"/>
        </w:rPr>
        <w:t>” means the Reference Treasury Dealer appointed by the Issuers to act as the Quotation Agent from time to time.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xml:space="preserve">” means (1) with respect to the 2030 Notes and 2024 Notes, Wells Fargo Securities, LLC and its successors, BofA Securities, Inc. and its successors, Fifth Third Securities, Inc. and its successors and J.P. Morgan Securities LLC and its successors; (2) with respect to the 2029 Notes, Merrill Lynch, Pierce, Fenner &amp; Smith Incorporated, J.P. Morgan Securities LLC and Wells Fargo Securities, LLC and their respective successors; (3) with respect to the 2025 Notes and 2028 Notes, Wells Fargo Securities, LLC and its successors and (4) with respect to the 2026 Notes, and 2023 Notes, J.P. Morgan Securities LLC or Merrill Lynch, Pierce, Fenner &amp; Smith Incorporated and their respective successors;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any of the foregoing shall cease to be a primary U.S. Government securities dealer in New York City (a “</w:t>
      </w:r>
      <w:r>
        <w:rPr>
          <w:rFonts w:ascii="Times New Roman" w:cs="Times New Roman" w:eastAsia="Times New Roman" w:hAnsi="Times New Roman"/>
          <w:sz w:val="18"/>
          <w:szCs w:val="18"/>
          <w:i w:val="1"/>
          <w:iCs w:val="1"/>
          <w:color w:val="auto"/>
        </w:rPr>
        <w:t>Primary Treasury Dealer</w:t>
      </w:r>
      <w:r>
        <w:rPr>
          <w:rFonts w:ascii="Times New Roman" w:cs="Times New Roman" w:eastAsia="Times New Roman" w:hAnsi="Times New Roman"/>
          <w:sz w:val="18"/>
          <w:szCs w:val="18"/>
          <w:color w:val="auto"/>
        </w:rPr>
        <w:t>”), we will substitute therefor another Primary Treasury Dealer, and (5) any other Primary Treasury Dealers selected by the Issuers.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an Issuer, of the bid and asked prices for the Comparable Treasury Issue (expressed in each case as a percentage of its principal amount) quoted in writing to the Issuers by such Reference Treasury Dealer at 5:00 p.m., New York City time, on the third business day preceding such redemption date (or in the case of the notes other than the 2026 Notes, the third business day preceding the relevant Deposit Date in connection with the satisfaction and discharge of notes in accordance with the terms of the indenture).</w:t>
      </w:r>
    </w:p>
    <w:p>
      <w:pPr>
        <w:spacing w:after="0" w:line="182"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on such redemption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Redemption</w:t>
      </w:r>
    </w:p>
    <w:p>
      <w:pPr>
        <w:spacing w:after="0" w:line="11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In addition to the foregoing, if any Gaming Authority requires that a holder or Beneficial Owner of notes must be licensed, qualified or found suitable under any applicable Gaming Laws and such holder or Beneficial Owner:</w:t>
      </w:r>
    </w:p>
    <w:p>
      <w:pPr>
        <w:spacing w:after="0" w:line="55" w:lineRule="exact"/>
        <w:rPr>
          <w:sz w:val="20"/>
          <w:szCs w:val="20"/>
          <w:color w:val="auto"/>
        </w:rPr>
      </w:pPr>
    </w:p>
    <w:p>
      <w:pPr>
        <w:ind w:right="20" w:firstLine="8"/>
        <w:spacing w:after="0" w:line="281" w:lineRule="auto"/>
        <w:tabs>
          <w:tab w:leader="none" w:pos="38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apply for a license, qualification or a finding of suitability within 30 days (or such shorter period as may be required by the applicable Gaming Authority) after being requested to do so by the Gaming Authority, or</w:t>
      </w:r>
    </w:p>
    <w:p>
      <w:pPr>
        <w:spacing w:after="0" w:line="108" w:lineRule="exact"/>
        <w:rPr>
          <w:rFonts w:ascii="Times New Roman" w:cs="Times New Roman" w:eastAsia="Times New Roman" w:hAnsi="Times New Roman"/>
          <w:sz w:val="18"/>
          <w:szCs w:val="18"/>
          <w:color w:val="auto"/>
        </w:rPr>
      </w:pPr>
    </w:p>
    <w:p>
      <w:pPr>
        <w:ind w:right="200" w:firstLine="8"/>
        <w:spacing w:after="0" w:line="281" w:lineRule="auto"/>
        <w:tabs>
          <w:tab w:leader="none" w:pos="38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denied such license or qualification or not found suitable, or if any Gaming Authority otherwise requires that notes from any holder or Beneficial Owner be redeemed, subject to applicable Gaming Laws the Issuers shall have the right, at their option:</w:t>
      </w:r>
    </w:p>
    <w:p>
      <w:pPr>
        <w:spacing w:after="0" w:line="54" w:lineRule="exact"/>
        <w:rPr>
          <w:rFonts w:ascii="Times New Roman" w:cs="Times New Roman" w:eastAsia="Times New Roman" w:hAnsi="Times New Roman"/>
          <w:sz w:val="18"/>
          <w:szCs w:val="18"/>
          <w:color w:val="auto"/>
        </w:rPr>
      </w:pPr>
    </w:p>
    <w:p>
      <w:pPr>
        <w:ind w:left="660" w:right="720" w:hanging="5"/>
        <w:spacing w:after="0" w:line="281" w:lineRule="auto"/>
        <w:tabs>
          <w:tab w:leader="none" w:pos="100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any such holder or Beneficial Owner to dispose of its notes within 30 days (or such earlier date as may be required by the applicable Gaming Authority) of receipt of such notice or finding by such Gaming Authority, or</w:t>
      </w:r>
    </w:p>
    <w:p>
      <w:pPr>
        <w:spacing w:after="0" w:line="54" w:lineRule="exact"/>
        <w:rPr>
          <w:rFonts w:ascii="Times New Roman" w:cs="Times New Roman" w:eastAsia="Times New Roman" w:hAnsi="Times New Roman"/>
          <w:sz w:val="18"/>
          <w:szCs w:val="18"/>
          <w:color w:val="auto"/>
        </w:rPr>
      </w:pPr>
    </w:p>
    <w:p>
      <w:pPr>
        <w:ind w:left="1060" w:hanging="405"/>
        <w:spacing w:after="0"/>
        <w:tabs>
          <w:tab w:leader="none" w:pos="10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call for the redemption of the notes of such holder or Beneficial Owner at a redemption price equal to the least of:</w:t>
      </w:r>
    </w:p>
    <w:p>
      <w:pPr>
        <w:spacing w:after="0" w:line="116" w:lineRule="exact"/>
        <w:rPr>
          <w:rFonts w:ascii="Times New Roman" w:cs="Times New Roman" w:eastAsia="Times New Roman" w:hAnsi="Times New Roman"/>
          <w:sz w:val="18"/>
          <w:szCs w:val="18"/>
          <w:color w:val="auto"/>
        </w:rPr>
      </w:pPr>
    </w:p>
    <w:p>
      <w:pPr>
        <w:ind w:left="1300" w:right="460" w:firstLine="2"/>
        <w:spacing w:after="0" w:line="281" w:lineRule="auto"/>
        <w:tabs>
          <w:tab w:leader="none" w:pos="1729"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thereof, together with accrued interest to the earlier of the date of redemption or the date of the denial of license or qualification or of the finding of unsuitability by such Gaming Authority,</w:t>
      </w:r>
    </w:p>
    <w:p>
      <w:pPr>
        <w:spacing w:after="0" w:line="54" w:lineRule="exact"/>
        <w:rPr>
          <w:rFonts w:ascii="Times New Roman" w:cs="Times New Roman" w:eastAsia="Times New Roman" w:hAnsi="Times New Roman"/>
          <w:sz w:val="18"/>
          <w:szCs w:val="18"/>
          <w:color w:val="auto"/>
        </w:rPr>
      </w:pPr>
    </w:p>
    <w:p>
      <w:pPr>
        <w:ind w:left="1300" w:right="280" w:firstLine="2"/>
        <w:spacing w:after="0" w:line="281" w:lineRule="auto"/>
        <w:tabs>
          <w:tab w:leader="none" w:pos="1719"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holder or Beneficial Owner acquired the notes, together with accrued interest to the earlier of the date of redemption or the date of the denial of license or qualification or of the finding of unsuitability by such Gaming Authority, or</w:t>
      </w:r>
    </w:p>
    <w:p>
      <w:pPr>
        <w:spacing w:after="0" w:line="54" w:lineRule="exact"/>
        <w:rPr>
          <w:rFonts w:ascii="Times New Roman" w:cs="Times New Roman" w:eastAsia="Times New Roman" w:hAnsi="Times New Roman"/>
          <w:sz w:val="18"/>
          <w:szCs w:val="18"/>
          <w:color w:val="auto"/>
        </w:rPr>
      </w:pPr>
    </w:p>
    <w:p>
      <w:pPr>
        <w:ind w:left="1720" w:hanging="418"/>
        <w:spacing w:after="0"/>
        <w:tabs>
          <w:tab w:leader="none" w:pos="172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lesser amount as may be required by any Gaming Authority.</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104" w:right="379" w:bottom="1440" w:gutter="0" w:footer="0" w:header="0"/>
        </w:sectPr>
      </w:pPr>
    </w:p>
    <w:bookmarkStart w:id="127" w:name="page128"/>
    <w:bookmarkEnd w:id="127"/>
    <w:p>
      <w:pPr>
        <w:ind w:right="760"/>
        <w:spacing w:after="0" w:line="281" w:lineRule="auto"/>
        <w:rPr>
          <w:sz w:val="20"/>
          <w:szCs w:val="20"/>
          <w:color w:val="auto"/>
        </w:rPr>
      </w:pPr>
      <w:r>
        <w:rPr>
          <w:rFonts w:ascii="Times New Roman" w:cs="Times New Roman" w:eastAsia="Times New Roman" w:hAnsi="Times New Roman"/>
          <w:sz w:val="18"/>
          <w:szCs w:val="18"/>
          <w:color w:val="auto"/>
        </w:rPr>
        <w:t>The Issuers shall notify the trustee in writing of any such redemption as soon as practicable. The holder or Beneficial Owner applying for license, qualification or a finding of suitability must pay all costs of the licensure or investigation for such qualification or finding of suitability.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Mandatory Redemption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are not required to make mandatory redemption or sinking fund payments with respect to the notes.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Selection and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less than all of the notes of any series are to be redeemed at any time, the trustee will select notes of such series for redemption as follows:</w:t>
      </w:r>
    </w:p>
    <w:p>
      <w:pPr>
        <w:spacing w:after="0" w:line="117" w:lineRule="exact"/>
        <w:rPr>
          <w:sz w:val="20"/>
          <w:szCs w:val="20"/>
          <w:color w:val="auto"/>
        </w:rPr>
      </w:pPr>
    </w:p>
    <w:p>
      <w:pPr>
        <w:ind w:right="100" w:firstLine="8"/>
        <w:spacing w:after="0" w:line="281" w:lineRule="auto"/>
        <w:tabs>
          <w:tab w:leader="none" w:pos="3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listed on any national securities exchange, in compliance with the requirements of the principal national securities exchange on which the notes are listed; or</w:t>
      </w:r>
    </w:p>
    <w:p>
      <w:pPr>
        <w:spacing w:after="0" w:line="52" w:lineRule="exact"/>
        <w:rPr>
          <w:rFonts w:ascii="Times New Roman" w:cs="Times New Roman" w:eastAsia="Times New Roman" w:hAnsi="Times New Roman"/>
          <w:sz w:val="18"/>
          <w:szCs w:val="18"/>
          <w:color w:val="auto"/>
        </w:rPr>
      </w:pPr>
    </w:p>
    <w:p>
      <w:pPr>
        <w:ind w:right="200" w:firstLine="8"/>
        <w:spacing w:after="0" w:line="261" w:lineRule="auto"/>
        <w:tabs>
          <w:tab w:leader="none" w:pos="3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notes are not listed on any national securities exchange,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by lot or by such method as the trustee deems fair and appropriate and in accordance with DTC procedures.</w:t>
      </w:r>
    </w:p>
    <w:p>
      <w:pPr>
        <w:spacing w:after="0" w:line="1"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notes of $2,000 or less can be redeemed in part. Notices of redemption will be mailed by first class mail (or in the case of global notes, given pursuant to applicable DTC procedures) at least 30 (or 15 in the case of the 2031 Notes) but not more than 60 days before the redemption date to each holder of notes to be redeemed at its registered address, except that (a) redemption notices may be mailed or given more than 60 days prior to a redemption date if the notice is issued in connection with a defeasance of the notes or a satisfaction and discharge of the indenture, and (b) redemption notices may be mailed or given less than 30 days (or 15 days in the case of the 2031 Notes) or more than 60 days prior to a redemption date if so required by any applicable Gaming Authority in connection with a redemption described above under the caption “—Redemption-Gaming Redemption.”</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(subject to satisfaction of any applicable conditions precedent). Unless we default in the payment of the redemption price, on and after the redemption date, interest ceases to accrue on notes or portions of them called for redemption. For the avoidance of doubt, the trustee shall not have any responsibility for calculating the redemption price.</w:t>
      </w:r>
    </w:p>
    <w:p>
      <w:pPr>
        <w:spacing w:after="0" w:line="12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Subject to applicable securities laws, the Issuers or their affiliates may at any time and from time to time purchase notes or other indebtedness. Any such purchases may be made through open market or privately negotiated transactions with third parties or pursuant to one or more tender or exchange offers or otherwise, upon such terms and at such prices as well as with such consideration as the Issuers or any such affiliates may determine.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at the Option of 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and Rating Decline</w:t>
      </w:r>
    </w:p>
    <w:p>
      <w:pPr>
        <w:spacing w:after="0" w:line="36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If a Change of Control Triggering Event occurs with respect to a series of notes other than the 2031 Notes, each holder of such notes will have the right to require the Issuers to repurchase all or any part (equal to $2,000 or an integral multiple of $1,000) of that holder’s notes of the applicable series pursuant to an offer by the Issuers (a “Change of Control Offer”) on the terms set forth in the indenture, except to the extent the Issuers have previously redeemed such notes as described under “—Redemption-Optional Redemption.” In the Change of Control Offer, the Issuers will offer a payment in cash equal to 101% of the aggregate principal amount of notes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on the notes repurchased, to the date of purchase (the “Change of Control Payment”). Within 30 days following the occurrence of a Change of Control Triggering Event, the Issuers will mail a notice to each holder describing the transaction or transactions that constitute, or are expected to constitute, the Change of Control Triggering Event, and offering to repurchase notes on the date (the “Change of Control Payment Date”) specified in the notice, which date will be no earlier than 30 days and no later than 60 days after the date such notice is mailed (or in the case of global notes, given pursuant to applicable DTC procedures), pursuant to the procedures required by the indenture and described in such notice. The Issuers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indenture, the Issuers will comply with the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06" w:right="339" w:bottom="1440" w:gutter="0" w:footer="0" w:header="0"/>
        </w:sectPr>
      </w:pPr>
    </w:p>
    <w:bookmarkStart w:id="128" w:name="page129"/>
    <w:bookmarkEnd w:id="128"/>
    <w:p>
      <w:pPr>
        <w:ind w:right="120"/>
        <w:spacing w:after="0" w:line="281" w:lineRule="auto"/>
        <w:rPr>
          <w:sz w:val="20"/>
          <w:szCs w:val="20"/>
          <w:color w:val="auto"/>
        </w:rPr>
      </w:pPr>
      <w:r>
        <w:rPr>
          <w:rFonts w:ascii="Times New Roman" w:cs="Times New Roman" w:eastAsia="Times New Roman" w:hAnsi="Times New Roman"/>
          <w:sz w:val="18"/>
          <w:szCs w:val="18"/>
          <w:color w:val="auto"/>
        </w:rPr>
        <w:t>applicable securities laws and regulations and will not be deemed to have breached its obligations under the Change of Control provisions of the indenture by virtue of such conflict.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Change of Control Payment Date, the Issuers will, to the extent lawful:</w:t>
      </w:r>
    </w:p>
    <w:p>
      <w:pPr>
        <w:spacing w:after="0" w:line="117" w:lineRule="exact"/>
        <w:rPr>
          <w:sz w:val="20"/>
          <w:szCs w:val="20"/>
          <w:color w:val="auto"/>
        </w:rPr>
      </w:pPr>
    </w:p>
    <w:p>
      <w:pPr>
        <w:ind w:left="400" w:hanging="392"/>
        <w:spacing w:after="0"/>
        <w:tabs>
          <w:tab w:leader="none" w:pos="4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116" w:lineRule="exact"/>
        <w:rPr>
          <w:rFonts w:ascii="Times New Roman" w:cs="Times New Roman" w:eastAsia="Times New Roman" w:hAnsi="Times New Roman"/>
          <w:sz w:val="18"/>
          <w:szCs w:val="18"/>
          <w:color w:val="auto"/>
        </w:rPr>
      </w:pPr>
    </w:p>
    <w:p>
      <w:pPr>
        <w:ind w:right="180" w:firstLine="8"/>
        <w:spacing w:after="0" w:line="281" w:lineRule="auto"/>
        <w:tabs>
          <w:tab w:leader="none" w:pos="3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will be in a principal amount of $2,000 or an integral multiple of $1,000.</w:t>
      </w:r>
    </w:p>
    <w:p>
      <w:pPr>
        <w:spacing w:after="0" w:line="1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provisions described above that require the Issuers to make a Change of Control Offer following the occurrence of a Change of Control Triggering Event will be applicable whether or not any other provisions of the indenture are applicable. Except as described above with respect to a Change of Control Triggering Event, the indenture does not contain provisions that permit the holders of the notes to require that the Issuers repurchase or redeem the notes in the event of a takeover, recapitalization or similar transaction.</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Issuers will not be required to make a Change of Control Offer upon the occurrence of a Change of Control Triggering Event if a third party makes the Change of Control Offer in the manner, at the times and otherwise in</w:t>
      </w:r>
    </w:p>
    <w:p>
      <w:pPr>
        <w:spacing w:after="0" w:line="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compliance with the requirements set forth in the indenture applicable to a Change of Control Offer made by the Issuers and purchases all notes properly tendered and not withdrawn under the Change of Control Offer. Notwithstanding anything to the contrary herein, a Change of Control Offer may be made in advance of an anticipated Change of Control Triggering Event, conditional upon such Change of Control Triggering Event.</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If holders of not less than 90% in aggregate principal amount of the outstanding applicable series of notes validly tender and do not withdraw such notes in a Change of Control Offer and the Issuers, or any third party making a Change of Control Offer in lieu of the Issuers as described above, purchase all of the notes validly tendered and not withdrawn by such holders, the Issuers or such third party will have the right, upon not less than 30 nor more than 60 days’ prior notice, given not more than 30 days following such purchase pursuant to the Change of Control Offer described above, to redeem all notes of the applicable series that remain outstanding following such purchase at a price in cash equal to 101%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not including the date of redemption.</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conveyance or other disposition of “all or substantially all” of the properties or assets of the Guarantor, the Issuers and their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the Guarantor, the Issuers and their Subsidiaries taken as a whole to another Person or group may be uncertain.</w:t>
      </w:r>
    </w:p>
    <w:p>
      <w:pPr>
        <w:spacing w:after="0" w:line="1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Credit Facility provides that certain change of control events with respect to the Issuers would constitute a default under the Credit Facility. Any future credit agreements or other agreements to which any of the Issuers becomes a party may contain similar provisions. In the event a Change of Control Triggering Event occurs at a time when the Issuers are prohibited from purchasing notes, the Issuers could seek the consent of their senior lenders to the purchase of notes or could attempt to refinance the borrowings that contain such prohibition. If the Issuers do not obtain such a consent or repay such borrowings, the Issuers will remain prohibited from purchasing notes. In such case, the Issuers’ failure to purchase tendered notes would constitute a default under the indenture which could, in turn, constitute a default under such other indebtedness.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Incurrence of Indebtedness</w:t>
      </w:r>
    </w:p>
    <w:p>
      <w:pPr>
        <w:spacing w:after="0" w:line="11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Limitation on Total Debt. </w:t>
      </w:r>
      <w:r>
        <w:rPr>
          <w:rFonts w:ascii="Times New Roman" w:cs="Times New Roman" w:eastAsia="Times New Roman" w:hAnsi="Times New Roman"/>
          <w:sz w:val="18"/>
          <w:szCs w:val="18"/>
          <w:color w:val="auto"/>
        </w:rPr>
        <w:t>The Issuers shall not, and shall not permit any of their Subsidiaries to, incur any Indebtedness (other than Permitted Debt)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immediately after giving effect to the incurrence of such additional Indebtedness, the Total Debt of the Issuers and their Subsidiaries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application of the net proceeds from such</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90" w:right="339" w:bottom="1440" w:gutter="0" w:footer="0" w:header="0"/>
        </w:sectPr>
      </w:pPr>
    </w:p>
    <w:bookmarkStart w:id="129" w:name="page130"/>
    <w:bookmarkEnd w:id="129"/>
    <w:p>
      <w:pPr>
        <w:ind w:right="120"/>
        <w:spacing w:after="0" w:line="260" w:lineRule="auto"/>
        <w:rPr>
          <w:sz w:val="20"/>
          <w:szCs w:val="20"/>
          <w:color w:val="auto"/>
        </w:rPr>
      </w:pPr>
      <w:r>
        <w:rPr>
          <w:rFonts w:ascii="Times New Roman" w:cs="Times New Roman" w:eastAsia="Times New Roman" w:hAnsi="Times New Roman"/>
          <w:sz w:val="18"/>
          <w:szCs w:val="18"/>
          <w:color w:val="auto"/>
        </w:rPr>
        <w:t>Indebtedness) would exceed 60% of the sum of (i) Total Asset Value as of the end of the Latest Completed Quarter and (ii) any increase in Total Asset Value since the end of the Latest Completed Quarter (such sum of (i) and (ii), “</w:t>
      </w:r>
      <w:r>
        <w:rPr>
          <w:rFonts w:ascii="Times New Roman" w:cs="Times New Roman" w:eastAsia="Times New Roman" w:hAnsi="Times New Roman"/>
          <w:sz w:val="18"/>
          <w:szCs w:val="18"/>
          <w:i w:val="1"/>
          <w:iCs w:val="1"/>
          <w:color w:val="auto"/>
        </w:rPr>
        <w:t>Adjusted Total Asset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from and after the consummation of a Significant Acquisition, such percentage shall be 65% for the fiscal quarter in which such Significant Acquisition is consummated and the three consecutive fiscal quarters immediately succeeding such fiscal quarter.</w:t>
      </w:r>
    </w:p>
    <w:p>
      <w:pPr>
        <w:spacing w:after="0" w:line="180"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Limitation on Secured Debt. </w:t>
      </w:r>
      <w:r>
        <w:rPr>
          <w:rFonts w:ascii="Times New Roman" w:cs="Times New Roman" w:eastAsia="Times New Roman" w:hAnsi="Times New Roman"/>
          <w:sz w:val="18"/>
          <w:szCs w:val="18"/>
          <w:color w:val="auto"/>
        </w:rPr>
        <w:t>The Issuers shall not, and shall not permit any of their Subsidiaries to, incur any Secured Debt if, immediately after giving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 to the incurrence of such additional Secured Debt, the Secured Debt of the Issuers and their Subsidiaries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application of the net proceeds from such Indebtedness) would exceed 40% of Adjusted Total Asset Value.</w:t>
      </w:r>
    </w:p>
    <w:p>
      <w:pPr>
        <w:spacing w:after="0" w:line="1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Coverage Ratio. </w:t>
      </w:r>
      <w:r>
        <w:rPr>
          <w:rFonts w:ascii="Times New Roman" w:cs="Times New Roman" w:eastAsia="Times New Roman" w:hAnsi="Times New Roman"/>
          <w:sz w:val="18"/>
          <w:szCs w:val="18"/>
          <w:color w:val="auto"/>
        </w:rPr>
        <w:t>The Issuers shall not, and shall not permit any of their Subsidiaries to, incur any Indebtedness (other than Permitted Debt)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after giving effect to the incurrence of such additional Indebtedness, the ratio of Consolidated EBITDA to Interest Expense for the Issuers and their Subsidiaries (the “</w:t>
      </w:r>
      <w:r>
        <w:rPr>
          <w:rFonts w:ascii="Times New Roman" w:cs="Times New Roman" w:eastAsia="Times New Roman" w:hAnsi="Times New Roman"/>
          <w:sz w:val="18"/>
          <w:szCs w:val="18"/>
          <w:i w:val="1"/>
          <w:iCs w:val="1"/>
          <w:color w:val="auto"/>
        </w:rPr>
        <w:t>Coverage Ratio</w:t>
      </w:r>
      <w:r>
        <w:rPr>
          <w:rFonts w:ascii="Times New Roman" w:cs="Times New Roman" w:eastAsia="Times New Roman" w:hAnsi="Times New Roman"/>
          <w:sz w:val="18"/>
          <w:szCs w:val="18"/>
          <w:color w:val="auto"/>
        </w:rPr>
        <w:t xml:space="preserve">”) for the four consecutive fiscal quarter period ending on and including the Latest Completed Quarter would be less than 1.50 to 1.00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application of the net proceeds from such Indebtedness).</w:t>
      </w:r>
    </w:p>
    <w:p>
      <w:pPr>
        <w:spacing w:after="0" w:line="17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Limitation on Subordinated Debt and Subsidiary Guarantees. </w:t>
      </w:r>
      <w:r>
        <w:rPr>
          <w:rFonts w:ascii="Times New Roman" w:cs="Times New Roman" w:eastAsia="Times New Roman" w:hAnsi="Times New Roman"/>
          <w:sz w:val="18"/>
          <w:szCs w:val="18"/>
          <w:color w:val="auto"/>
        </w:rPr>
        <w:t>The Issuers shall not incur, create, issue, assume, guarantee or otherwise become liable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Indebtedness that is subordinate or junior in right of payment to any other Indebtedness of the Issuers, unless such Indebtedness is expressly subordinated in right of payment to the notes. The foregoing does not apply to distinctions between categories of Indebtedness that exist by reason of any Liens securing some but not all of such Indebtedness or securing such Indebtedness with greater or lesser priority or with different collateral or as a result of provisions that apply proceeds or amounts received by the borrower, obligor or Issuer following a default or exercise of remedies in a certain order of priority.</w:t>
      </w:r>
    </w:p>
    <w:p>
      <w:pPr>
        <w:spacing w:after="0" w:line="188"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In addition, following the date of the indenture, no Subsidiary of the Operating Partnership (excluding Capital Corp.) will directly or indirectly guarantee, or become jointly and severally liable with respect to any Debt Securities of the Operating Partnership (excluding, in any event, (x) Acquired Debt and</w:t>
      </w:r>
    </w:p>
    <w:p>
      <w:pPr>
        <w:ind w:right="40" w:firstLine="8"/>
        <w:spacing w:after="0" w:line="253"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such Acquired Debt or any other Indebtedness of the Operating Partnership to the extent a guarantee is required as a result of the assumption by the Operating Partnership of such Acquired Debt described in clause (x) pursuant to the terms thereof as they existed at the time of and after giving effect to (and are not modified in contemplation of, other than to give effect to) the assumption of or acquisition of such Acquired Debt) issued after the date of the indenture, unless a guarantee is provided in respect of the notes by such Subsidiary.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 of Total Unencumbered Assets</w:t>
      </w:r>
    </w:p>
    <w:p>
      <w:pPr>
        <w:spacing w:after="0" w:line="11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Issuers and their Subsidiaries shall maintain Total Unencumbered Asset Value of not less than 150% of Unsecured Debt, in each case calculated as of the end of the Latest Completed Quarter.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Reports</w:t>
      </w:r>
    </w:p>
    <w:p>
      <w:pPr>
        <w:spacing w:after="0" w:line="11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Whether or not required by the Securities and Exchange Commission (the “SEC”), so long as any notes are outstanding, the Issuers will furnish to the trustee with written instructions for mailing (or in the case of global notes, delivery pursuant to applicable DTC procedures) to the holders of notes, within 30 days after the time periods specified in the SEC’s rules and regulations:</w:t>
      </w:r>
    </w:p>
    <w:p>
      <w:pPr>
        <w:spacing w:after="0" w:line="69" w:lineRule="exact"/>
        <w:rPr>
          <w:sz w:val="20"/>
          <w:szCs w:val="20"/>
          <w:color w:val="auto"/>
        </w:rPr>
      </w:pPr>
    </w:p>
    <w:p>
      <w:pPr>
        <w:ind w:right="120" w:firstLine="8"/>
        <w:spacing w:after="0" w:line="260" w:lineRule="auto"/>
        <w:tabs>
          <w:tab w:leader="none" w:pos="38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financial information that is filed or that would be required to be contained in a filing with the SEC on Forms 10-Q and 10-K if or as if the Issuers were required to file such forms, including a “Management’s Discussion and Analysis of Financial Condition and Results of Operations” and, with respect to the annual information only, a report on the annual financial statements by the Issuers’ certified independent accountants; and</w:t>
      </w:r>
    </w:p>
    <w:p>
      <w:pPr>
        <w:spacing w:after="0" w:line="7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SEC on Form 8-K if the Issuers were required to file such reports.</w:t>
      </w:r>
    </w:p>
    <w:p>
      <w:pPr>
        <w:spacing w:after="0" w:line="22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 xml:space="preserve">The availability of the foregoing materials on the SEC’s EDGAR service (or any successor thereto) shall be deemed to satisfy the Issuers’ obligations to furnish such materials to the trustee with written instructions for mailing (or in the case of global notes, delivery pursuant to applicable DTC procedures) to the holders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shall have no obligation whatsoever to determine whether or not such information, documents or reports have been filed pursuant to the “EDGAR” system (or its successor).</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998" w:right="359" w:bottom="1440" w:gutter="0" w:footer="0" w:header="0"/>
        </w:sectPr>
      </w:pPr>
    </w:p>
    <w:bookmarkStart w:id="130" w:name="page131"/>
    <w:bookmarkEnd w:id="130"/>
    <w:p>
      <w:pPr>
        <w:ind w:right="40"/>
        <w:spacing w:after="0" w:line="265"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under the indenture (as to which the trustee is entitled to rely exclusively on officer’s certificates).</w:t>
      </w:r>
    </w:p>
    <w:p>
      <w:pPr>
        <w:spacing w:after="0" w:line="177"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In addition, the Issuers have agreed that, for so long as any 2026 Notes remain outstanding, if the Issuers are not required to file with the SEC the reports required by the first paragraph of this covenant, it will furnish to the holders of the 2026 Notes and to securities analysts and prospective investors, upon their request, the information required to be delivered pursuant to Rule 144A(d)(4) under the Securities Act of 1933, as amended.</w:t>
      </w:r>
    </w:p>
    <w:p>
      <w:pPr>
        <w:spacing w:after="0" w:line="12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Notwithstanding the foregoing, for so long as the Guarantor guarantees the notes (or in the event that another parent entity of the Issuers becomes a guarantor of the notes), the Issuers may satisfy their obligations to furnish the reports and other information described above by furnishing such reports filed by, or such information of, the Guarantor (or such other parent guarantor, respectively) and the availability of the Guarantor’s (or such other parent guarantor’s, as applicable) information on the SEC’s EDGAR service (or any successor thereto) shall be deemed to satisfy such obligation.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 Master Lease</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The Issuers will not enter into any amendment to the Penn Master Lease if such amendment would materially impair the ability of the Issuers to satisfy their obligations to make payments on the notes other than the 2031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amendments of the Penn Master Lease (and corresponding rent reduction) pursuant to the terms of the Penn Master Lease in connection with an asset sale made in accordance with the Penn Master Lease shall not be deemed to materially impair the ability of the Issuers to satisfy their obligations to make payments on the notes or to materially impair the rights and remedies of the holders of the notes.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 Merger and Sale of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Issuer may not, directly or indirectly: (x) consolidate or merge with or into another Person (whether or not such Issuer is the surviving entity); or</w:t>
      </w:r>
    </w:p>
    <w:p>
      <w:pPr>
        <w:spacing w:after="0" w:line="27" w:lineRule="exact"/>
        <w:rPr>
          <w:sz w:val="20"/>
          <w:szCs w:val="20"/>
          <w:color w:val="auto"/>
        </w:rPr>
      </w:pPr>
    </w:p>
    <w:p>
      <w:pPr>
        <w:ind w:firstLine="8"/>
        <w:spacing w:after="0" w:line="260"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or otherwise dispose of all or substantially all of the properties or assets of such Issuer and its Subsidiaries taken as a whole to another Person unless:</w:t>
      </w:r>
    </w:p>
    <w:p>
      <w:pPr>
        <w:spacing w:after="0" w:line="72" w:lineRule="exact"/>
        <w:rPr>
          <w:sz w:val="20"/>
          <w:szCs w:val="20"/>
          <w:color w:val="auto"/>
        </w:rPr>
      </w:pPr>
    </w:p>
    <w:p>
      <w:pPr>
        <w:ind w:right="40" w:firstLine="8"/>
        <w:spacing w:after="0" w:line="260" w:lineRule="auto"/>
        <w:tabs>
          <w:tab w:leader="none" w:pos="3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such Issuer is the surviving Person; or (b) the Person formed by or surviving any such consolidation or merger (if other than such Issuer) or to which such sale, assignment, transfer, conveyance or other disposition has been made is a Person organized or existing under the laws of the United States, any state of the United States or the District of Columbia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Person is not a corporation, a co-obligor of the notes is a corporation organized or existing under such laws);</w:t>
      </w:r>
    </w:p>
    <w:p>
      <w:pPr>
        <w:spacing w:after="0" w:line="73" w:lineRule="exact"/>
        <w:rPr>
          <w:rFonts w:ascii="Times New Roman" w:cs="Times New Roman" w:eastAsia="Times New Roman" w:hAnsi="Times New Roman"/>
          <w:sz w:val="18"/>
          <w:szCs w:val="18"/>
          <w:color w:val="auto"/>
        </w:rPr>
      </w:pPr>
    </w:p>
    <w:p>
      <w:pPr>
        <w:ind w:right="260" w:firstLine="8"/>
        <w:spacing w:after="0" w:line="265" w:lineRule="auto"/>
        <w:tabs>
          <w:tab w:leader="none" w:pos="3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an Issuer) or the Person to which such sale, assignment, transfer, conveyance or other disposition has been made assumes all the obligations of such Issuer under the notes and the indenture and, in the case of the 2023 Notes, the Registration Rights Agreement, pursuant to agreements reasonably satisfactory to the trustee; and</w:t>
      </w:r>
    </w:p>
    <w:p>
      <w:pPr>
        <w:spacing w:after="0" w:line="6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 with respect to the notes.</w:t>
      </w:r>
    </w:p>
    <w:p>
      <w:pPr>
        <w:spacing w:after="0" w:line="225" w:lineRule="exact"/>
        <w:rPr>
          <w:sz w:val="20"/>
          <w:szCs w:val="20"/>
          <w:color w:val="auto"/>
        </w:rPr>
      </w:pPr>
    </w:p>
    <w:p>
      <w:pPr>
        <w:jc w:val="both"/>
        <w:ind w:right="760"/>
        <w:spacing w:after="0" w:line="265" w:lineRule="auto"/>
        <w:rPr>
          <w:sz w:val="20"/>
          <w:szCs w:val="20"/>
          <w:color w:val="auto"/>
        </w:rPr>
      </w:pPr>
      <w:r>
        <w:rPr>
          <w:rFonts w:ascii="Times New Roman" w:cs="Times New Roman" w:eastAsia="Times New Roman" w:hAnsi="Times New Roman"/>
          <w:sz w:val="18"/>
          <w:szCs w:val="18"/>
          <w:color w:val="auto"/>
        </w:rPr>
        <w:t>The Guarantor may not, directly or indirectly: (x) consolidate or merge with or into another Person (whether or not the Guarantor is the surviving corporation); or (y) sell, assign, transfer, convey or otherwise dispose of all or substantially all of the properties or assets of the Guarantor and its Subsidiaries taken as a whole to another Person unless:</w:t>
      </w:r>
    </w:p>
    <w:p>
      <w:pPr>
        <w:spacing w:after="0" w:line="69" w:lineRule="exact"/>
        <w:rPr>
          <w:sz w:val="20"/>
          <w:szCs w:val="20"/>
          <w:color w:val="auto"/>
        </w:rPr>
      </w:pPr>
    </w:p>
    <w:p>
      <w:pPr>
        <w:ind w:right="180" w:firstLine="8"/>
        <w:spacing w:after="0" w:line="265" w:lineRule="auto"/>
        <w:tabs>
          <w:tab w:leader="none" w:pos="38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Guarantor is the surviving corporation; or (b) the Person formed by or surviving any such consolidation or merger (if other than the Guarantor) or to which such sale, assignment, transfer, conveyance or other disposition has been made is a Person organized or existing under the laws of the United States, any state of the United States or the District of Columbia;</w:t>
      </w:r>
    </w:p>
    <w:p>
      <w:pPr>
        <w:spacing w:after="0" w:line="69" w:lineRule="exact"/>
        <w:rPr>
          <w:rFonts w:ascii="Times New Roman" w:cs="Times New Roman" w:eastAsia="Times New Roman" w:hAnsi="Times New Roman"/>
          <w:sz w:val="18"/>
          <w:szCs w:val="18"/>
          <w:color w:val="auto"/>
        </w:rPr>
      </w:pPr>
    </w:p>
    <w:p>
      <w:pPr>
        <w:ind w:right="200" w:firstLine="8"/>
        <w:spacing w:after="0" w:line="265" w:lineRule="auto"/>
        <w:tabs>
          <w:tab w:leader="none" w:pos="38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Guarantor) or the Person to which such sale, assignment, transfer, conveyance or other disposition has been made assumes all the obligations of the Guarantor under the notes and the indenture and, in the case of the 2023 Notes, the Registration Rights Agreement, pursuant to agreements reasonably satisfactory to the trustee; and</w:t>
      </w:r>
    </w:p>
    <w:p>
      <w:pPr>
        <w:spacing w:after="0" w:line="6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 with respect to the notes.</w:t>
      </w:r>
    </w:p>
    <w:p>
      <w:pPr>
        <w:spacing w:after="0" w:line="225"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Upon any sale, assignment, transfer, conveyance or other disposition of all or substantially all of an Issuer’s or the Guarantor’s, as applicable, and its Subsidiaries’ assets, taken as a whole, in compliance with the provisions of this “Consolidation, Merger and Sale of Assets” covenant, such Issuer or the Guarantor, as applicable, will be released from the obligations under the notes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106" w:right="359" w:bottom="1440" w:gutter="0" w:footer="0" w:header="0"/>
        </w:sectPr>
      </w:pPr>
    </w:p>
    <w:bookmarkStart w:id="131" w:name="page132"/>
    <w:bookmarkEnd w:id="131"/>
    <w:p>
      <w:pPr>
        <w:ind w:right="800"/>
        <w:spacing w:after="0" w:line="281" w:lineRule="auto"/>
        <w:rPr>
          <w:sz w:val="20"/>
          <w:szCs w:val="20"/>
          <w:color w:val="auto"/>
        </w:rPr>
      </w:pPr>
      <w:r>
        <w:rPr>
          <w:rFonts w:ascii="Times New Roman" w:cs="Times New Roman" w:eastAsia="Times New Roman" w:hAnsi="Times New Roman"/>
          <w:sz w:val="18"/>
          <w:szCs w:val="18"/>
          <w:color w:val="auto"/>
        </w:rPr>
        <w:t>or its guarantee, respectively, and the indenture and, in the case of the 2023 Notes, the Registration Rights Agreement, except with respect to any obligations that arise from, or are related to, such transaction.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“Consolidation, Merger and Sale of Assets” covenant will not apply to:</w:t>
      </w:r>
    </w:p>
    <w:p>
      <w:pPr>
        <w:spacing w:after="0" w:line="117" w:lineRule="exact"/>
        <w:rPr>
          <w:sz w:val="20"/>
          <w:szCs w:val="20"/>
          <w:color w:val="auto"/>
        </w:rPr>
      </w:pPr>
    </w:p>
    <w:p>
      <w:pPr>
        <w:ind w:right="500" w:firstLine="8"/>
        <w:spacing w:after="0" w:line="281" w:lineRule="auto"/>
        <w:tabs>
          <w:tab w:leader="none" w:pos="3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sale, assignment, transfer, conveyance or other disposition of assets between or among the Guarantor, the Issuers (or an Issuer) or any of the Issuers’ Subsidiaries;</w:t>
      </w:r>
    </w:p>
    <w:p>
      <w:pPr>
        <w:spacing w:after="0" w:line="54" w:lineRule="exact"/>
        <w:rPr>
          <w:rFonts w:ascii="Times New Roman" w:cs="Times New Roman" w:eastAsia="Times New Roman" w:hAnsi="Times New Roman"/>
          <w:sz w:val="18"/>
          <w:szCs w:val="18"/>
          <w:color w:val="auto"/>
        </w:rPr>
      </w:pPr>
    </w:p>
    <w:p>
      <w:pPr>
        <w:ind w:right="160" w:firstLine="8"/>
        <w:spacing w:after="0" w:line="260" w:lineRule="auto"/>
        <w:tabs>
          <w:tab w:leader="none" w:pos="3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between the Issuers (or an Issuer), the Guarantor or any Subsidiary respectively, and an Affiliate of an Issuer, the Guarantor or such Subsidiary incorporated or formed solely for the purpose of reincorporating or reorganizing an Issuer, the Guarantor or such Subsidiary in another state of the United States or changing the legal domicile or form of an Issuer, the Guarantor or such Subsidiary or for the sole purpose of forming or collapsing a holding company structure;</w:t>
      </w:r>
    </w:p>
    <w:p>
      <w:pPr>
        <w:spacing w:after="0" w:line="73" w:lineRule="exact"/>
        <w:rPr>
          <w:rFonts w:ascii="Times New Roman" w:cs="Times New Roman" w:eastAsia="Times New Roman" w:hAnsi="Times New Roman"/>
          <w:sz w:val="18"/>
          <w:szCs w:val="18"/>
          <w:color w:val="auto"/>
        </w:rPr>
      </w:pPr>
    </w:p>
    <w:p>
      <w:pPr>
        <w:ind w:right="680" w:firstLine="8"/>
        <w:spacing w:after="0" w:line="281" w:lineRule="auto"/>
        <w:tabs>
          <w:tab w:leader="none" w:pos="3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of all or substantially all of the real estate assets of the Guarantor or any Issuer, or any of their respective Subsidiaries, to Penn or its Subsidiaries or another operator pursuant to the Penn Master Lease, Pinnacle Master Lease or another real estate lease or leases; or</w:t>
      </w:r>
    </w:p>
    <w:p>
      <w:pPr>
        <w:spacing w:after="0" w:line="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2031 Notes, the Penn Transactions and any transactions related thereto.</w:t>
      </w:r>
    </w:p>
    <w:p>
      <w:pPr>
        <w:spacing w:after="0" w:line="225"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The description above includes a phrase relating to the sale or disposition of “all or substantially all” of the properties or assets of the Issuers or the Guarantor, and their respective Subsidiaries. Although there is a limited body of case law interpreting the phrase “substantially all,” there is no precise established definition of the phrase under applicable law.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Activities of Capital Corp.</w:t>
      </w:r>
    </w:p>
    <w:p>
      <w:pPr>
        <w:spacing w:after="0" w:line="11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 xml:space="preserve">Capital Corp. will not hold any material assets, become liable for any material obligations or engage in any significant business activities;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Capital Corp. may be a co-obligor or guarantor with respect to indebtedness if the Operating Partnership is an obligor on or guarantor of such indebtedness and the net proceeds of such indebtedness are funded to, or at the direction of, the Operating Partnership or a Subsidiary thereof other than Capital Corp.</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2013 Offering Memorandum</w:t>
      </w:r>
      <w:r>
        <w:rPr>
          <w:rFonts w:ascii="Times New Roman" w:cs="Times New Roman" w:eastAsia="Times New Roman" w:hAnsi="Times New Roman"/>
          <w:sz w:val="18"/>
          <w:szCs w:val="18"/>
          <w:color w:val="auto"/>
        </w:rPr>
        <w:t>” means the offering memorandum of the Issuers, dated October 23,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with respect to any specified Person:</w:t>
      </w:r>
    </w:p>
    <w:p>
      <w:pPr>
        <w:spacing w:after="0" w:line="227" w:lineRule="exact"/>
        <w:rPr>
          <w:sz w:val="20"/>
          <w:szCs w:val="20"/>
          <w:color w:val="auto"/>
        </w:rPr>
      </w:pPr>
    </w:p>
    <w:p>
      <w:pPr>
        <w:ind w:right="120" w:firstLine="8"/>
        <w:spacing w:after="0" w:line="265" w:lineRule="auto"/>
        <w:tabs>
          <w:tab w:leader="none" w:pos="38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other Person existing at the time such other Person is merged with or into or becomes a Subsidiary of such specified Person, whether or not such Indebtedness is incurred in connection with, or in contemplation of, such other Person merging with or into, or becoming a Subsidiary of, such specified Person; and</w:t>
      </w:r>
    </w:p>
    <w:p>
      <w:pPr>
        <w:spacing w:after="0" w:line="17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a Lien encumbering any asset acquired by such specified Person.</w:t>
      </w:r>
    </w:p>
    <w:p>
      <w:pPr>
        <w:spacing w:after="0" w:line="2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Treasury Rate</w:t>
      </w:r>
      <w:r>
        <w:rPr>
          <w:rFonts w:ascii="Times New Roman" w:cs="Times New Roman" w:eastAsia="Times New Roman" w:hAnsi="Times New Roman"/>
          <w:sz w:val="18"/>
          <w:szCs w:val="18"/>
          <w:color w:val="auto"/>
        </w:rPr>
        <w:t>” means, with respect to any redemption date, the rate per year equal to the arithmetic mean of the weekly average yield to maturity (representing the average of the daily rates for the immediately preceding week) available through the most recent Statistical Release under the heading “Week Ending” for “U.S. Government Securities—Treasury Constant Maturities” for the maturity (rounded to the nearest month) corresponding to the remaining term of the notes being redeemed as of such redemption date, calculated as if the maturity date of such notes was the Par Call Date (as applicable, the “Remaining Life”). If no maturity exactly corresponds to such Remaining Life, yields for the next shortest and next longest published maturities most closely corresponding to such Remaining Life shall be calculated pursuant to the immediately preceding sentence and the Adjusted Treasury Rate shall be interpolated or extrapolated from such yields on a straight-line basis, rounding in each of such relevant periods to the nearest month. For the purposes of calculating the Adjusted Treasury Rate, the most recent Statistical Release published at least two business days prior to the redemption date (or at least two business days prior to the relevant Deposit Date in connection with a satisfaction and discharge of the such notes in accordance with the terms of the indenture) shall be used.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Value</w:t>
      </w:r>
      <w:r>
        <w:rPr>
          <w:rFonts w:ascii="Times New Roman" w:cs="Times New Roman" w:eastAsia="Times New Roman" w:hAnsi="Times New Roman"/>
          <w:sz w:val="18"/>
          <w:szCs w:val="18"/>
          <w:color w:val="auto"/>
        </w:rPr>
        <w:t>” means, at any date of determination, the sum of:</w:t>
      </w:r>
    </w:p>
    <w:p>
      <w:pPr>
        <w:spacing w:after="0" w:line="119" w:lineRule="exact"/>
        <w:rPr>
          <w:sz w:val="20"/>
          <w:szCs w:val="20"/>
          <w:color w:val="auto"/>
        </w:rPr>
      </w:pPr>
    </w:p>
    <w:p>
      <w:pPr>
        <w:ind w:right="80" w:firstLine="8"/>
        <w:spacing w:after="0" w:line="260" w:lineRule="auto"/>
        <w:tabs>
          <w:tab w:leader="none" w:pos="3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Income Property (or group of Income Properties, including, without limitation, the Penn Master Lease Properties), the Capitalized Value of such Income Property (or group of Income Properties)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the 2023 Notes, with respect to the Original Master Lease Properties, the Ohio Development Facilities, the Hollywood Casino Baton Rouge and the Hollywood Casino Perryville) the Asset Value of each Income Property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06" w:right="339" w:bottom="1440" w:gutter="0" w:footer="0" w:header="0"/>
        </w:sectPr>
      </w:pPr>
    </w:p>
    <w:bookmarkStart w:id="132" w:name="page133"/>
    <w:bookmarkEnd w:id="132"/>
    <w:p>
      <w:pPr>
        <w:ind w:right="220"/>
        <w:spacing w:after="0" w:line="254" w:lineRule="auto"/>
        <w:rPr>
          <w:sz w:val="20"/>
          <w:szCs w:val="20"/>
          <w:color w:val="auto"/>
        </w:rPr>
      </w:pPr>
      <w:r>
        <w:rPr>
          <w:rFonts w:ascii="Times New Roman" w:cs="Times New Roman" w:eastAsia="Times New Roman" w:hAnsi="Times New Roman"/>
          <w:sz w:val="18"/>
          <w:szCs w:val="18"/>
          <w:color w:val="auto"/>
        </w:rPr>
        <w:t>(other than a former Development Property or Redevelopment Property) during the first four complete fiscal quarters following the date of acquisition thereof shall be the greater of (i) the acquisition price thereof and (ii) the Capitalized Value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Asset Value shall be the acquisition price thereof if results of one full fiscal quarter after the acquisition thereof are not available with respect to such Income Property (or group of Income Properties) (and after results of one full fiscal quarter after the acquisition thereof are available, the Capitalized Value thereof may be determined by annualizing such results) including for purposes of determining any increase in Total Asset Value since the end of the Latest Completed</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xml:space="preserve">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 adjustment shall be made to the Asset Value of any Income Property (in an amount reasonably determined by an Issuer) as new tenancy leases are entered into, or existing tenancy leases terminate or expire, in respect of such Income Property;</w:t>
      </w:r>
    </w:p>
    <w:p>
      <w:pPr>
        <w:spacing w:after="0" w:line="72" w:lineRule="exact"/>
        <w:rPr>
          <w:sz w:val="20"/>
          <w:szCs w:val="20"/>
          <w:color w:val="auto"/>
        </w:rPr>
      </w:pPr>
    </w:p>
    <w:p>
      <w:pPr>
        <w:ind w:firstLine="8"/>
        <w:spacing w:after="0" w:line="260" w:lineRule="auto"/>
        <w:tabs>
          <w:tab w:leader="none" w:pos="38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Development Property or Redevelopment Property (or former Development Property or Redevelopment Property) prior to the date when financial results are available for at least one complete fiscal quarter following completion or opening of the applicable development project, 100% of the book value (determined in accordance with GAAP but determined without giving effect to any depreciation) of any such Development Property or Redevelopment Property (or former Development Property or Redevelopment Property); and</w:t>
      </w:r>
    </w:p>
    <w:p>
      <w:pPr>
        <w:spacing w:after="0" w:line="7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book value (determined in accordance with GAAP) of any undeveloped land owned or leased as of such date of determination.</w:t>
      </w:r>
    </w:p>
    <w:p>
      <w:pPr>
        <w:spacing w:after="0" w:line="223"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The terms “</w:t>
      </w:r>
      <w:r>
        <w:rPr>
          <w:rFonts w:ascii="Times New Roman" w:cs="Times New Roman" w:eastAsia="Times New Roman" w:hAnsi="Times New Roman"/>
          <w:sz w:val="18"/>
          <w:szCs w:val="18"/>
          <w:i w:val="1"/>
          <w:iCs w:val="1"/>
          <w:color w:val="auto"/>
        </w:rPr>
        <w:t>Beneficially Owns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Beneficially Owned</w:t>
      </w:r>
      <w:r>
        <w:rPr>
          <w:rFonts w:ascii="Times New Roman" w:cs="Times New Roman" w:eastAsia="Times New Roman" w:hAnsi="Times New Roman"/>
          <w:sz w:val="18"/>
          <w:szCs w:val="18"/>
          <w:color w:val="auto"/>
        </w:rPr>
        <w:t>” have a corresponding meaning.</w:t>
      </w:r>
    </w:p>
    <w:p>
      <w:pPr>
        <w:spacing w:after="0" w:line="15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Capitalized Value</w:t>
      </w:r>
      <w:r>
        <w:rPr>
          <w:rFonts w:ascii="Times New Roman" w:cs="Times New Roman" w:eastAsia="Times New Roman" w:hAnsi="Times New Roman"/>
          <w:sz w:val="18"/>
          <w:szCs w:val="18"/>
          <w:color w:val="auto"/>
        </w:rPr>
        <w:t>” means, with respect to the Penn Master Lease Properties or any other group of related properties or any other property, the Property EBITDA of the Penn Master Lease Properties or such other group of related properties or such property, as the case may be, for the most recent four completed fiscal quarters divided by 8.25% (or 9.0% in the case of the 2023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9" w:lineRule="exact"/>
        <w:rPr>
          <w:sz w:val="20"/>
          <w:szCs w:val="20"/>
          <w:color w:val="auto"/>
        </w:rPr>
      </w:pPr>
    </w:p>
    <w:p>
      <w:pPr>
        <w:ind w:right="80" w:firstLine="8"/>
        <w:spacing w:after="0" w:line="258" w:lineRule="auto"/>
        <w:tabs>
          <w:tab w:leader="none" w:pos="38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transfer, conveyance or other disposition (other than by way of merger or consolidation), in one or a series of related transactions, of all or substantially all of the properties or assets of the Guarantor, the Operating Partnership and their Subsidiaries taken as a whole to any “person” (as that term is used in Section 13(d)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avoidance of doubt, the lease of all or substantially all of the real estate assets of the Guarantor or any Issuer or any of their respective subsidiaries, to Penn or its Subsidiaries or to another operator pursuant to the Penn Master Lease or another real estate lease or leases shall not constitute a Change of Control;</w:t>
      </w:r>
    </w:p>
    <w:p>
      <w:pPr>
        <w:spacing w:after="0" w:line="7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shareholders or partners of a plan relating to the liquidation or dissolution of the Guarantor or the Operating Partnership;</w:t>
      </w:r>
    </w:p>
    <w:p>
      <w:pPr>
        <w:spacing w:after="0" w:line="116" w:lineRule="exact"/>
        <w:rPr>
          <w:rFonts w:ascii="Times New Roman" w:cs="Times New Roman" w:eastAsia="Times New Roman" w:hAnsi="Times New Roman"/>
          <w:sz w:val="18"/>
          <w:szCs w:val="18"/>
          <w:color w:val="auto"/>
        </w:rPr>
      </w:pPr>
    </w:p>
    <w:p>
      <w:pPr>
        <w:ind w:right="160" w:firstLine="8"/>
        <w:spacing w:after="0" w:line="260" w:lineRule="auto"/>
        <w:tabs>
          <w:tab w:leader="none" w:pos="38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any merger or consolidation) the result of which is that any “person” (as defined above), other than any holding company which owns 100% of the Voting Stock of the Guarantor (so long as no Change of Control would otherwise have occurred in respect of the Voting Stock of such holding company), becomes the Beneficial Owner, directly or indirectly, of more than 50% of the Voting Stock of the Guarantor, measured by voting power rather than number of shares;</w:t>
      </w:r>
    </w:p>
    <w:p>
      <w:pPr>
        <w:spacing w:after="0" w:line="73" w:lineRule="exact"/>
        <w:rPr>
          <w:rFonts w:ascii="Times New Roman" w:cs="Times New Roman" w:eastAsia="Times New Roman" w:hAnsi="Times New Roman"/>
          <w:sz w:val="18"/>
          <w:szCs w:val="18"/>
          <w:color w:val="auto"/>
        </w:rPr>
      </w:pPr>
    </w:p>
    <w:p>
      <w:pPr>
        <w:ind w:right="120" w:firstLine="8"/>
        <w:spacing w:after="0" w:line="281" w:lineRule="auto"/>
        <w:tabs>
          <w:tab w:leader="none" w:pos="38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Guarantor ceases to own, directly or indirectly, more than 50% of the Voting Stock of the Operating Partnership or (ii) the sole general partner of the Operating Partnership ceases to be the Guarantor or one or more of the Guarantor’s wholly owned subsidiaries; or</w:t>
      </w:r>
    </w:p>
    <w:p>
      <w:pPr>
        <w:spacing w:after="0" w:line="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majority of the members of the Board of Directors of the Guarantor are not Continuing Directors.</w:t>
      </w:r>
    </w:p>
    <w:p>
      <w:pPr>
        <w:spacing w:after="0" w:line="225"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For purposes of this definition, (1) no Change of Control shall be deemed to have occurred solely as a result of a transfer of assets among the Guarantor, any Issuer and any of their respective Subsidiaries and (2) a Person shall not be deemed to have beneficial ownership of securities subject to a stock purchase agreement, merger agreement or similar agreement until the consummation of the transactions contemplated by such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(i) a Change of Control and (ii) a Rating Decline.</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EBITDA</w:t>
      </w:r>
      <w:r>
        <w:rPr>
          <w:rFonts w:ascii="Times New Roman" w:cs="Times New Roman" w:eastAsia="Times New Roman" w:hAnsi="Times New Roman"/>
          <w:sz w:val="18"/>
          <w:szCs w:val="18"/>
          <w:color w:val="auto"/>
        </w:rPr>
        <w:t>” means, for the applicable test period, the net income (or net loss) of the Issuers and their Subsidiaries for such period, determined on a consolidated basis in accordance with GAAP, except to the extent that GAAP is not applicable, including, without limitation, with respect to the determination of all extraordinary, non-cash and non-recurring items ((x) excluding, without duplication, gains (or losses) from dispositions of depreciable real estate investments,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998" w:right="359" w:bottom="1440" w:gutter="0" w:footer="0" w:header="0"/>
        </w:sectPr>
      </w:pPr>
    </w:p>
    <w:bookmarkStart w:id="133" w:name="page134"/>
    <w:bookmarkEnd w:id="133"/>
    <w:p>
      <w:pPr>
        <w:ind w:right="160"/>
        <w:spacing w:after="0" w:line="265" w:lineRule="auto"/>
        <w:rPr>
          <w:sz w:val="20"/>
          <w:szCs w:val="20"/>
          <w:color w:val="auto"/>
        </w:rPr>
      </w:pPr>
      <w:r>
        <w:rPr>
          <w:rFonts w:ascii="Times New Roman" w:cs="Times New Roman" w:eastAsia="Times New Roman" w:hAnsi="Times New Roman"/>
          <w:sz w:val="18"/>
          <w:szCs w:val="18"/>
          <w:color w:val="auto"/>
        </w:rPr>
        <w:t>property valuation losses and impairment charges and (y) before giving effect to cash dividends on preferred units of the Issuers or charges resulting from the redemption of preferred units of the Issuers attributable to the Issuers and their Subsidiaries for such period determined on a consolidated basis in conformity with GAAP);</w:t>
      </w:r>
    </w:p>
    <w:p>
      <w:pPr>
        <w:spacing w:after="0" w:line="67" w:lineRule="exact"/>
        <w:rPr>
          <w:sz w:val="20"/>
          <w:szCs w:val="20"/>
          <w:color w:val="auto"/>
        </w:rPr>
      </w:pPr>
    </w:p>
    <w:p>
      <w:pPr>
        <w:ind w:right="300" w:firstLine="8"/>
        <w:spacing w:after="0" w:line="283" w:lineRule="auto"/>
        <w:tabs>
          <w:tab w:leader="none" w:pos="3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 and solely to the extent already deducted (and not added back) in arriving at such net income (or net loss), the sum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amounts for such period:</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(whether paid or accrued and whether or not capitalized);</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w:t>
      </w:r>
    </w:p>
    <w:p>
      <w:pPr>
        <w:spacing w:after="0" w:line="116" w:lineRule="exact"/>
        <w:rPr>
          <w:rFonts w:ascii="Times New Roman" w:cs="Times New Roman" w:eastAsia="Times New Roman" w:hAnsi="Times New Roman"/>
          <w:sz w:val="18"/>
          <w:szCs w:val="18"/>
          <w:color w:val="auto"/>
        </w:rPr>
      </w:pPr>
    </w:p>
    <w:p>
      <w:pPr>
        <w:jc w:val="both"/>
        <w:ind w:left="660" w:right="320" w:hanging="5"/>
        <w:spacing w:after="0" w:line="260" w:lineRule="auto"/>
        <w:tabs>
          <w:tab w:leader="none" w:pos="103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non-recurring and unusual items, charges or expenses (including, without limitation, impairment charges, fees, costs and expenses relating to the Penn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w:t>
      </w:r>
    </w:p>
    <w:p>
      <w:pPr>
        <w:spacing w:after="0" w:line="73" w:lineRule="exact"/>
        <w:rPr>
          <w:rFonts w:ascii="Times New Roman" w:cs="Times New Roman" w:eastAsia="Times New Roman" w:hAnsi="Times New Roman"/>
          <w:sz w:val="18"/>
          <w:szCs w:val="18"/>
          <w:color w:val="auto"/>
        </w:rPr>
      </w:pPr>
    </w:p>
    <w:p>
      <w:pPr>
        <w:ind w:left="1020" w:hanging="365"/>
        <w:spacing w:after="0"/>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losses associated with hedging agreements;</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losses resulting from fluctuations in foreign exchange rates;</w:t>
      </w:r>
    </w:p>
    <w:p>
      <w:pPr>
        <w:spacing w:after="0" w:line="116" w:lineRule="exact"/>
        <w:rPr>
          <w:rFonts w:ascii="Times New Roman" w:cs="Times New Roman" w:eastAsia="Times New Roman" w:hAnsi="Times New Roman"/>
          <w:sz w:val="18"/>
          <w:szCs w:val="18"/>
          <w:color w:val="auto"/>
        </w:rPr>
      </w:pPr>
    </w:p>
    <w:p>
      <w:pPr>
        <w:jc w:val="both"/>
        <w:ind w:left="660" w:right="100" w:hanging="5"/>
        <w:spacing w:after="0" w:line="288" w:lineRule="auto"/>
        <w:tabs>
          <w:tab w:leader="none" w:pos="1049"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non-cash items, charges or expenses reducing net income (or increasing net loss) (other than items that will require cash payments and for which an accrual or reserve is, or is required by GAAP to be, made in which case, at the election of the Issuers such items may be added back when accrued and deducted from net income when paid in cash, or given effect (and not added back to net income) when accrued or reserved);</w:t>
      </w:r>
    </w:p>
    <w:p>
      <w:pPr>
        <w:spacing w:after="0" w:line="51" w:lineRule="exact"/>
        <w:rPr>
          <w:rFonts w:ascii="Times New Roman" w:cs="Times New Roman" w:eastAsia="Times New Roman" w:hAnsi="Times New Roman"/>
          <w:sz w:val="17"/>
          <w:szCs w:val="17"/>
          <w:color w:val="auto"/>
        </w:rPr>
      </w:pPr>
    </w:p>
    <w:p>
      <w:pPr>
        <w:ind w:left="1000" w:hanging="345"/>
        <w:spacing w:after="0"/>
        <w:tabs>
          <w:tab w:leader="none" w:pos="10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integration costs deducted (and not added back) in such period in computing the net income (or net loss);</w:t>
      </w:r>
    </w:p>
    <w:p>
      <w:pPr>
        <w:spacing w:after="0" w:line="116" w:lineRule="exact"/>
        <w:rPr>
          <w:rFonts w:ascii="Times New Roman" w:cs="Times New Roman" w:eastAsia="Times New Roman" w:hAnsi="Times New Roman"/>
          <w:sz w:val="18"/>
          <w:szCs w:val="18"/>
          <w:color w:val="auto"/>
        </w:rPr>
      </w:pPr>
    </w:p>
    <w:p>
      <w:pPr>
        <w:ind w:left="660" w:hanging="5"/>
        <w:spacing w:after="0" w:line="281" w:lineRule="auto"/>
        <w:tabs>
          <w:tab w:leader="none" w:pos="100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relocation costs, signing costs, retention or completion bonuses, transition costs, curtailments or modifications to pension and post-retirement employee benefit plans (including any settlement of pension liabilities);</w:t>
      </w:r>
    </w:p>
    <w:p>
      <w:pPr>
        <w:spacing w:after="0" w:line="54" w:lineRule="exact"/>
        <w:rPr>
          <w:rFonts w:ascii="Times New Roman" w:cs="Times New Roman" w:eastAsia="Times New Roman" w:hAnsi="Times New Roman"/>
          <w:sz w:val="18"/>
          <w:szCs w:val="18"/>
          <w:color w:val="auto"/>
        </w:rPr>
      </w:pPr>
    </w:p>
    <w:p>
      <w:pPr>
        <w:ind w:left="900" w:hanging="245"/>
        <w:spacing w:after="0"/>
        <w:tabs>
          <w:tab w:leader="none" w:pos="9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2031 Notes, equity-based compensation; and</w:t>
      </w:r>
    </w:p>
    <w:p>
      <w:pPr>
        <w:spacing w:after="0" w:line="116" w:lineRule="exact"/>
        <w:rPr>
          <w:rFonts w:ascii="Times New Roman" w:cs="Times New Roman" w:eastAsia="Times New Roman" w:hAnsi="Times New Roman"/>
          <w:sz w:val="18"/>
          <w:szCs w:val="18"/>
          <w:color w:val="auto"/>
        </w:rPr>
      </w:pPr>
    </w:p>
    <w:p>
      <w:pPr>
        <w:ind w:left="660" w:hanging="5"/>
        <w:spacing w:after="0" w:line="254" w:lineRule="auto"/>
        <w:tabs>
          <w:tab w:leader="none" w:pos="100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net income or, if otherwise excluded from Consolidated EBITDA due to the operation of clause (2)(a) below, the amount of insurance proceeds received during such period, or after such period and on or prior to the date the calculation is made with respect to such period, attributable to any property which has been closed or had operations curtailed for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of insurance proceeds shall only be included pursuant to this clause (l) to the extent of the amount of insurance proceeds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Consolidated EBITDA attributable to such property for such period (without giving effect to this clause (k)) does not exceed Consolidated EBITDA attributable to such property during the most recent four consecutive fiscal quarter period that such property was fully operational (or if such property has not been fully operational for the most recent such period prior to such closure or curtailment, the Consolidated EBITDA attributable to such property during the consecutive fiscal quarter period prior to such closure or curtailment (for which financial results are available) annualized over four fiscal quarters);</w:t>
      </w:r>
    </w:p>
    <w:p>
      <w:pPr>
        <w:spacing w:after="0" w:line="129" w:lineRule="exact"/>
        <w:rPr>
          <w:rFonts w:ascii="Times New Roman" w:cs="Times New Roman" w:eastAsia="Times New Roman" w:hAnsi="Times New Roman"/>
          <w:sz w:val="18"/>
          <w:szCs w:val="18"/>
          <w:color w:val="auto"/>
        </w:rPr>
      </w:pPr>
    </w:p>
    <w:p>
      <w:pPr>
        <w:ind w:right="300" w:firstLine="8"/>
        <w:spacing w:after="0" w:line="283" w:lineRule="auto"/>
        <w:tabs>
          <w:tab w:leader="none" w:pos="3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without duplication and solely to the extent included in arriving at such net income (or net loss), the sum of the following amounts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non-recurring and unusual gains (other than insurance proceeds);</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attributable to hedging agreements;</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resulting from fluctuations in foreign exchange rates; and</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non-cash gains increasing net income (or decreasing net loss) other than accruals in the ordinary course.</w:t>
      </w:r>
    </w:p>
    <w:p>
      <w:pPr>
        <w:spacing w:after="0" w:line="22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For purposes of this definition, net income (net loss) shall only include the Issuers’ Ownership Share of net income (net loss) of their non-wholly owned Subsidiaries and Unconsolidated Affiliates and, accordingly, there shall be no deduction from net income or Consolidated EBITDA for non-controlling or minority interests in such Persons.</w:t>
      </w:r>
    </w:p>
    <w:p>
      <w:pPr>
        <w:spacing w:after="0" w:line="175"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8"/>
          <w:szCs w:val="18"/>
          <w:color w:val="auto"/>
        </w:rPr>
        <w:t xml:space="preserve">Consolidated EBITDA will be adjusted, without duplication, to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(x) in the case of any assets having been placed-in-service or removed from service since the beginning of the period and on or prior to the date of determination, to</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890" w:right="359" w:bottom="1440" w:gutter="0" w:footer="0" w:header="0"/>
        </w:sectPr>
      </w:pPr>
    </w:p>
    <w:bookmarkStart w:id="134" w:name="page135"/>
    <w:bookmarkEnd w:id="134"/>
    <w:p>
      <w:pPr>
        <w:ind w:right="100"/>
        <w:spacing w:after="0" w:line="260" w:lineRule="auto"/>
        <w:rPr>
          <w:sz w:val="20"/>
          <w:szCs w:val="20"/>
          <w:color w:val="auto"/>
        </w:rPr>
      </w:pPr>
      <w:r>
        <w:rPr>
          <w:rFonts w:ascii="Times New Roman" w:cs="Times New Roman" w:eastAsia="Times New Roman" w:hAnsi="Times New Roman"/>
          <w:sz w:val="18"/>
          <w:szCs w:val="18"/>
          <w:color w:val="auto"/>
        </w:rPr>
        <w:t>include or exclude, as the case may be, any Consolidated EBITDA earned or eliminated as a result of the placement of such assets in service or removal of such assets from service as if the placement of such assets in service or removal of such assets from service occurred at the beginning of the period; and</w:t>
      </w:r>
    </w:p>
    <w:p>
      <w:pPr>
        <w:spacing w:after="0" w:line="1" w:lineRule="exact"/>
        <w:rPr>
          <w:sz w:val="20"/>
          <w:szCs w:val="20"/>
          <w:color w:val="auto"/>
        </w:rPr>
      </w:pPr>
    </w:p>
    <w:p>
      <w:pPr>
        <w:ind w:right="40" w:firstLine="8"/>
        <w:spacing w:after="0" w:line="271" w:lineRule="auto"/>
        <w:tabs>
          <w:tab w:leader="none" w:pos="25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acquisition or disposition of any asset or group of assets since the beginning of the period and on or prior to the date of determination, including, without limitation, by merger, or stock or asset purchase or sale, to include or exclude, as the case may be, any Consolidated EBITDA earned or eliminated as a result of the acquisition or disposition of those assets as if the acquisition or disposition occurred at the beginning of the period. For purposes of calculating Consolidated EBITDA, all amounts shall be as reasonably determined by an Issuer, and in accordance with GAAP except to the extent that GAAP is not applicable, including, without limitation, with respect to the determination of extraordinary, non-cash or non-recurring items.</w:t>
      </w:r>
    </w:p>
    <w:p>
      <w:pPr>
        <w:spacing w:after="0" w:line="170"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means, with respect to any Person, collectively, the consolidated financial statements and notes to those financial statements, of that Person and its Subsidiaries prepared in accordance with 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 Directors</w:t>
      </w:r>
      <w:r>
        <w:rPr>
          <w:rFonts w:ascii="Times New Roman" w:cs="Times New Roman" w:eastAsia="Times New Roman" w:hAnsi="Times New Roman"/>
          <w:sz w:val="18"/>
          <w:szCs w:val="18"/>
          <w:color w:val="auto"/>
        </w:rPr>
        <w:t>” means, as of any date of determination, any member of the Board of Directors of the Guarantor who:</w:t>
      </w:r>
    </w:p>
    <w:p>
      <w:pPr>
        <w:spacing w:after="0" w:line="119" w:lineRule="exact"/>
        <w:rPr>
          <w:sz w:val="20"/>
          <w:szCs w:val="20"/>
          <w:color w:val="auto"/>
        </w:rPr>
      </w:pPr>
    </w:p>
    <w:p>
      <w:pPr>
        <w:ind w:left="400" w:hanging="392"/>
        <w:spacing w:after="0"/>
        <w:tabs>
          <w:tab w:leader="none" w:pos="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date of the indenture; or</w:t>
      </w:r>
    </w:p>
    <w:p>
      <w:pPr>
        <w:spacing w:after="0" w:line="116" w:lineRule="exact"/>
        <w:rPr>
          <w:rFonts w:ascii="Times New Roman" w:cs="Times New Roman" w:eastAsia="Times New Roman" w:hAnsi="Times New Roman"/>
          <w:sz w:val="18"/>
          <w:szCs w:val="18"/>
          <w:color w:val="auto"/>
        </w:rPr>
      </w:pPr>
    </w:p>
    <w:p>
      <w:pPr>
        <w:ind w:right="260" w:firstLine="8"/>
        <w:spacing w:after="0" w:line="281" w:lineRule="auto"/>
        <w:tabs>
          <w:tab w:leader="none" w:pos="38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nominated for election or elected to such Board of Directors with the approval of a majority of the continuing directors under clause (1) or this clause (2) who were members of such Board at the time of such nomination or election.</w:t>
      </w:r>
    </w:p>
    <w:p>
      <w:pPr>
        <w:spacing w:after="0" w:line="16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Credit Facility</w:t>
      </w:r>
      <w:r>
        <w:rPr>
          <w:rFonts w:ascii="Times New Roman" w:cs="Times New Roman" w:eastAsia="Times New Roman" w:hAnsi="Times New Roman"/>
          <w:sz w:val="17"/>
          <w:szCs w:val="17"/>
          <w:color w:val="auto"/>
        </w:rPr>
        <w:t>” means the Credit Agreement, dated October 28, 2013, among the Operating Partnership, as the Borrower, JPMorgan Chase Bank, N.A., as Administrative Agent, L/C Issuer and Swingline Lender and the parties named therein as Co-Syndication Agents, Documentation Agents, Joint Physical Bookrunners and Joint Lead Arrangers, and the lenders from time to time party thereto, including any related notes, guarantees, instruments and agreements executed in connection therewith, and as amended, modified, renewed, refunded, restructured, replaced or refinanced from time to time including increases in principal amount (whether the same are provided by the original agents and lenders under such Credit Facility or other agents or other lenders).</w:t>
      </w:r>
    </w:p>
    <w:p>
      <w:pPr>
        <w:spacing w:after="0" w:line="16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means one or more debt facilities or commercial paper facilities (providing for revolving credit loans, term loans, other loans, receivables financing (including through the sale of receivables to such lenders or to special purpose entities formed to borrow from such lenders against such receivables) or letters of credit) or debt securities, including any related notes, guarantees, collateral documents, agreements relating to swap or other hedging obligations, and other instruments, agreements and documents executed in connection therewith, in each case as amended, restated, modified, renewed, refunded, replaced, restructured or otherwise refinanced in whole or in part from time to time by one or more agreements, facilities (whether or not in the form of a debt facility or commercial paper facility) or instruments.</w:t>
      </w:r>
    </w:p>
    <w:p>
      <w:pPr>
        <w:spacing w:after="0" w:line="186"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Securities</w:t>
      </w:r>
      <w:r>
        <w:rPr>
          <w:rFonts w:ascii="Times New Roman" w:cs="Times New Roman" w:eastAsia="Times New Roman" w:hAnsi="Times New Roman"/>
          <w:sz w:val="18"/>
          <w:szCs w:val="18"/>
          <w:color w:val="auto"/>
        </w:rPr>
        <w:t>” means any debt securities, as such term is commonly understood, issued in any public offering or private placement in an aggregate principal amount of $100.0 million or more.</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Development Property</w:t>
      </w:r>
      <w:r>
        <w:rPr>
          <w:rFonts w:ascii="Times New Roman" w:cs="Times New Roman" w:eastAsia="Times New Roman" w:hAnsi="Times New Roman"/>
          <w:sz w:val="18"/>
          <w:szCs w:val="18"/>
          <w:color w:val="auto"/>
        </w:rPr>
        <w:t>” means real property (a) acquired for, or currently under, development into an Income Property that, in accordance with GAAP, would be classified as an asset on the consolidated balance sheet of the Issuers and their Subsidiaries and (b) of the type described in clause (a) of this definition to be (but not yet) acquired by the Issuers or any of their Subsidiaries upon completion of construction pursuant to a contract in which the seller of such real property is required to build, develop or renovate prior to, and as a condition precedent to, such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doing business as Fitch Ratings, or any successor thereto.</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 provided that with respect to the 2031 Notes, if, as of a particular date as of which compliance with the covenants contained in the indenture is being determined, there have been changes in generally accepted accounting principles from those that applied to the consolidated financial statements of either Issuer or the Guarantor for the year ended December 31, 2019, the Issuers may, in their sole discretion, determine compliance with the covenants contained in the indenture using generally accepted accounting principles, consistently applied, as in effect as of the end of any fiscal quarter selected by the Issuers, in its sole discretion, that is on or after December 31, 2019 and prior to the date as of which compliance with the covenants in the indenture is being determined (“Fixed GAAP”), and, solely for purposes of calculating the covenants as of such date, “GAAP” shall mean Fixed GAAP; provided further that, with respect to the notes other than the 2023 Notes, and in the case or GAAP or Fixed GAAP with respect to the 2031 Notes, (1) any lease that is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06"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accounted for by any Person as an operating lease, (2) the Pinnacle Master Lease and (3) any similar lease to either lease referred to in clauses (1) and</w:t>
      </w:r>
    </w:p>
    <w:p>
      <w:pPr>
        <w:spacing w:after="0" w:line="27" w:lineRule="exact"/>
        <w:rPr>
          <w:sz w:val="20"/>
          <w:szCs w:val="20"/>
          <w:color w:val="auto"/>
        </w:rPr>
      </w:pPr>
    </w:p>
    <w:p>
      <w:pPr>
        <w:ind w:right="660" w:firstLine="8"/>
        <w:spacing w:after="0" w:line="255"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entered into after the issue date for the applicable series of existing senior unsecured notes by any Person may, in the sole discretion of the Operating Partnership, be accounted for as an operating lease for purposes of such notes and the indenture with respect to such notes (and shall not constitute a capitalized lease).</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Approval</w:t>
      </w:r>
      <w:r>
        <w:rPr>
          <w:rFonts w:ascii="Times New Roman" w:cs="Times New Roman" w:eastAsia="Times New Roman" w:hAnsi="Times New Roman"/>
          <w:sz w:val="18"/>
          <w:szCs w:val="18"/>
          <w:color w:val="auto"/>
        </w:rPr>
        <w:t>” means any and all approvals, licenses, authorizations, permits, consents, rulings, orders or directives (a) relating to any gaming business (including pari-mutuel betting) or enterprise, including to enable the Issuers or any of their Subsidiaries or affiliates to engage in or manage the casino, gambling, horse racing or gaming business or otherwise continue to conduct or manage such business substantially as is presently conducted or managed or contemplated to be conducted or managed or (b) required by any Gaming Law.</w:t>
      </w:r>
    </w:p>
    <w:p>
      <w:pPr>
        <w:spacing w:after="0" w:line="17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Authority</w:t>
      </w:r>
      <w:r>
        <w:rPr>
          <w:rFonts w:ascii="Times New Roman" w:cs="Times New Roman" w:eastAsia="Times New Roman" w:hAnsi="Times New Roman"/>
          <w:sz w:val="18"/>
          <w:szCs w:val="18"/>
          <w:color w:val="auto"/>
        </w:rPr>
        <w:t>” means any governmental agency, authority, board, bureau, commission, department, office or instrumentality with regulatory, licensing or permitting authority or jurisdiction over any gaming business or enterprise or any Gaming Facility, or with regulatory, licensing or permitting authority or jurisdiction over any gaming operation (or proposed gaming operation) owned, managed or operated by the Issuers or any of their Subsidiaries.</w:t>
      </w:r>
    </w:p>
    <w:p>
      <w:pPr>
        <w:spacing w:after="0" w:line="1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Facility</w:t>
      </w:r>
      <w:r>
        <w:rPr>
          <w:rFonts w:ascii="Times New Roman" w:cs="Times New Roman" w:eastAsia="Times New Roman" w:hAnsi="Times New Roman"/>
          <w:sz w:val="18"/>
          <w:szCs w:val="18"/>
          <w:color w:val="auto"/>
        </w:rPr>
        <w:t>” means any gaming or pari-mutuel wagering establishment, including any casino or “racino,” and other property or assets ancillary thereto or used in connection therewith, including any casinos, hotels, resorts, racetracks, off-track wagering sites, theaters, parking facilities, recreational vehicle parks, timeshare operations, retail shops, restaurants, other buildings, restaurants, theatres, related or ancillary businesses, land, golf courses and other recreation and entertainment facilities, marinas, vessels, barges, ships and equipment.</w:t>
      </w:r>
    </w:p>
    <w:p>
      <w:pPr>
        <w:spacing w:after="0" w:line="1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Laws</w:t>
      </w:r>
      <w:r>
        <w:rPr>
          <w:rFonts w:ascii="Times New Roman" w:cs="Times New Roman" w:eastAsia="Times New Roman" w:hAnsi="Times New Roman"/>
          <w:sz w:val="18"/>
          <w:szCs w:val="18"/>
          <w:color w:val="auto"/>
        </w:rPr>
        <w:t>” means all applicable provisions of all: (a) constitutions, treaties, statutes or laws governing Gaming Facilities (including card club casinos and pari-mutuel racetracks) and rules, regulations, codes and ordinances of, and all administrative or judicial orders or decrees or other laws pursuant to which, any Gaming Authority possesses regulatory, licensing or permit authority over gambling, gaming, racing or Gaming Facility activities conducted or managed by the Issuers or any of their Subsidiaries or affiliates within its jurisdiction; (b) Gaming Approvals; and (c) orders, decisions, determinations, judgments, awards and decrees of any Gaming Authority.</w:t>
      </w:r>
    </w:p>
    <w:p>
      <w:pPr>
        <w:spacing w:after="0" w:line="1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Income Property</w:t>
      </w:r>
      <w:r>
        <w:rPr>
          <w:rFonts w:ascii="Times New Roman" w:cs="Times New Roman" w:eastAsia="Times New Roman" w:hAnsi="Times New Roman"/>
          <w:sz w:val="18"/>
          <w:szCs w:val="18"/>
          <w:color w:val="auto"/>
        </w:rPr>
        <w:t>” means any real or personal property or assets or vessels (including any personal property ancillary thereto or used in connection therewith or in support thereof) owned, operated or leased or otherwise controlled by the Issuers or their Subsidiaries and earning, or intended to earn, current income whether from rent, lease payments, operations or otherwise. “Income Property” shall not include any Development Property, Redevelopment Property or undeveloped land during the period such property or assets or vessels are Development Properties, Redevelopment Properties or undeveloped land as reasonably determined by an Issuer.</w:t>
      </w:r>
    </w:p>
    <w:p>
      <w:pPr>
        <w:spacing w:after="0" w:line="1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means, as of any date of determination, all indebtedness for borrowed money of the Issuers and their Subsidiaries that is included as a liability on the Consolidated Financial Statements of the Issuers in accordance with GAAP, excluding: (i) any indebtedness to the extent Discharged or, in the case of the notes other than the 2023 Notes, to the extent secured by cash, cash equivalents or marketable securities (it being understood that cash collateral shall be deemed to include cash deposited with a trustee or other agent with respect to third party indebtedness), (ii) Intercompany Debt, (iii) all liabilities associated with customary exceptions to non-recourse indebtedness, such as for fraud, misapplication of funds, environmental indemnities, voluntary bankruptcy, collusive involuntary bankruptcy and other similar exceptions and (iv) any redeemable equity interest in the Issuers;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notes other than the 2023 Notes, Indebtedness of a Subsidiary of any of the Issuers that is not a wholly owned Subsidiary of the Issuers shall be reduced to reflect the Issuers’ proportionate interest therein.</w:t>
      </w:r>
    </w:p>
    <w:p>
      <w:pPr>
        <w:spacing w:after="0" w:line="18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Intercompany Debt</w:t>
      </w:r>
      <w:r>
        <w:rPr>
          <w:rFonts w:ascii="Times New Roman" w:cs="Times New Roman" w:eastAsia="Times New Roman" w:hAnsi="Times New Roman"/>
          <w:sz w:val="18"/>
          <w:szCs w:val="18"/>
          <w:color w:val="auto"/>
        </w:rPr>
        <w:t xml:space="preserve">” means, as of any date, Indebtedness to which the only parties are the Guarantor, the Issuers and any of their respective Subsidiaries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any such Indebtedness of which any of the Issuers is the borrower, such Indebtedness is subordinate in right of payment to the notes.</w:t>
      </w:r>
    </w:p>
    <w:p>
      <w:pPr>
        <w:spacing w:after="0" w:line="1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means, for any period of time, the aggregate amount of interest payable in cash on Indebtedness of the Issuers and their Subsidiaries, net of interest income and payments received under swap and other hedging agreements or arrangements relating to interest rates, and excluding (i) any commitment, upfront, arrangement or structuring fees or premiums (including redemption and prepayment premiums) or original issue discount,</w:t>
      </w:r>
    </w:p>
    <w:p>
      <w:pPr>
        <w:ind w:right="160" w:firstLine="8"/>
        <w:spacing w:after="0" w:line="255" w:lineRule="auto"/>
        <w:tabs>
          <w:tab w:leader="none" w:pos="2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reserves funded from the proceeds of any Indebtedness, (iii) any cash costs associated with breakage in respect of hedging agreements for interest rates, (iv) all cash interest expense consisting of liquidated damages for failure to timely comply with registration rights obligations and financing fees, and (v) amortization of deferred financing costs;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components of Interest Expense relating to a Subsidiary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105"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of any of the Issuers that is not a wholly owned Subsidiary of the Issuers shall be reduced to reflect the Issuers’ proportionate interest therein.</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Latest Completed Quarter</w:t>
      </w:r>
      <w:r>
        <w:rPr>
          <w:rFonts w:ascii="Times New Roman" w:cs="Times New Roman" w:eastAsia="Times New Roman" w:hAnsi="Times New Roman"/>
          <w:sz w:val="18"/>
          <w:szCs w:val="18"/>
          <w:color w:val="auto"/>
        </w:rPr>
        <w:t>” means, as of any date, the most recently ended fiscal quarter of the Issuers for which Consolidated Financial Statements of the Issuers (or the Guarantor or another parent guarantor, as applicable) have been completed, it being understood that at any time when the Issuers (or the Guarantor or another parent guarantor, as applicable) are subject to the informational requirements of the Exchange Act, and in accordance therewith file annual and quarterly reports with the SEC, the term “Latest Completed Quarter” shall be deemed to refer to the fiscal quarter covered by the Issuers’ (or the Guarantor’s or another parent guarantor’s, as applicable) most recently filed Quarterly Report on Form 10-Q, or, in the case of the last fiscal quarter of the year, the Issuers’ (or the Guarantor’s or another parent guarantor’s, as applicable) Annual Report on Form 10-K.</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xml:space="preserve">” means, with respect to any asset (without duplication), any lien, security interest or other type of preferential arrangement for security, including, without limitation, the lien or retained security title of a conditional vendor;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hereof, “Lien” shall not include any Lien related to Indebtedness that has been Discharged or otherwise satisfied by the Issuers or any of their Subsidiaries in accordance with the provisions thereof, including through the deposit of cash, cash equivalents or marketable securities (it being understood that cash collateral shall be deemed to include cash deposited with a trustee with respect to third party indebtedness).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Ohio Development Facilities</w:t>
      </w:r>
      <w:r>
        <w:rPr>
          <w:rFonts w:ascii="Times New Roman" w:cs="Times New Roman" w:eastAsia="Times New Roman" w:hAnsi="Times New Roman"/>
          <w:sz w:val="17"/>
          <w:szCs w:val="17"/>
          <w:color w:val="auto"/>
        </w:rPr>
        <w:t>” means the properties under development as of the issue date of the 2023 Notes in Dayton, Ohio and Mahoning Valley, Ohio.</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Master Lease Properties</w:t>
      </w:r>
      <w:r>
        <w:rPr>
          <w:rFonts w:ascii="Times New Roman" w:cs="Times New Roman" w:eastAsia="Times New Roman" w:hAnsi="Times New Roman"/>
          <w:sz w:val="18"/>
          <w:szCs w:val="18"/>
          <w:color w:val="auto"/>
        </w:rPr>
        <w:t>” means the Penn Master Lease Properties as of the date of the Penn Master Lease.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Ownership Share</w:t>
      </w:r>
      <w:r>
        <w:rPr>
          <w:rFonts w:ascii="Times New Roman" w:cs="Times New Roman" w:eastAsia="Times New Roman" w:hAnsi="Times New Roman"/>
          <w:sz w:val="18"/>
          <w:szCs w:val="18"/>
          <w:color w:val="auto"/>
        </w:rPr>
        <w:t>” means, with respect to any Subsidiary (other than a wholly owned Subsidiary of any of the Issuers) or any Unconsolidated Affiliate of the Issuers, the Issuers’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Penn</w:t>
      </w:r>
      <w:r>
        <w:rPr>
          <w:rFonts w:ascii="Times New Roman" w:cs="Times New Roman" w:eastAsia="Times New Roman" w:hAnsi="Times New Roman"/>
          <w:sz w:val="18"/>
          <w:szCs w:val="18"/>
          <w:color w:val="auto"/>
        </w:rPr>
        <w:t>” means Penn National Gaming, Inc., a Pennsylvania corporation.</w:t>
      </w:r>
    </w:p>
    <w:p>
      <w:pPr>
        <w:spacing w:after="0" w:line="225" w:lineRule="exact"/>
        <w:rPr>
          <w:sz w:val="20"/>
          <w:szCs w:val="20"/>
          <w:color w:val="auto"/>
        </w:rPr>
      </w:pPr>
    </w:p>
    <w:p>
      <w:pPr>
        <w:ind w:right="420"/>
        <w:spacing w:after="0" w:line="31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Penn Master Lease</w:t>
      </w:r>
      <w:r>
        <w:rPr>
          <w:rFonts w:ascii="Times New Roman" w:cs="Times New Roman" w:eastAsia="Times New Roman" w:hAnsi="Times New Roman"/>
          <w:sz w:val="17"/>
          <w:szCs w:val="17"/>
          <w:color w:val="auto"/>
        </w:rPr>
        <w:t>” means that certain Master Lease, dated as of November 1, 2013, between the Operating Partnership (and any Subsidiaries of the Operating Partnership acting as landlord or co-landlord) and the Penn Tenant, as it may be amended, supplemented or modified from time to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Penn Master Lease Guaranty</w:t>
      </w:r>
      <w:r>
        <w:rPr>
          <w:rFonts w:ascii="Times New Roman" w:cs="Times New Roman" w:eastAsia="Times New Roman" w:hAnsi="Times New Roman"/>
          <w:sz w:val="18"/>
          <w:szCs w:val="18"/>
          <w:color w:val="auto"/>
        </w:rPr>
        <w:t>” means the Guaranty of the Penn Master Lease by Penn in favor of the Operating Partnership or a Subsidiary thereof.</w:t>
      </w:r>
    </w:p>
    <w:p>
      <w:pPr>
        <w:spacing w:after="0" w:line="225"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Penn Master Lease Properties</w:t>
      </w:r>
      <w:r>
        <w:rPr>
          <w:rFonts w:ascii="Times New Roman" w:cs="Times New Roman" w:eastAsia="Times New Roman" w:hAnsi="Times New Roman"/>
          <w:sz w:val="18"/>
          <w:szCs w:val="18"/>
          <w:color w:val="auto"/>
        </w:rPr>
        <w:t>” means, as of any date of determination, the real properties that are leased to Penn Tenant pursuant to the Penn Master Lease.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Penn Notes</w:t>
      </w:r>
      <w:r>
        <w:rPr>
          <w:rFonts w:ascii="Times New Roman" w:cs="Times New Roman" w:eastAsia="Times New Roman" w:hAnsi="Times New Roman"/>
          <w:sz w:val="18"/>
          <w:szCs w:val="18"/>
          <w:color w:val="auto"/>
        </w:rPr>
        <w:t>” means the 2023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Penn Notes Issue Date</w:t>
      </w:r>
      <w:r>
        <w:rPr>
          <w:rFonts w:ascii="Times New Roman" w:cs="Times New Roman" w:eastAsia="Times New Roman" w:hAnsi="Times New Roman"/>
          <w:sz w:val="18"/>
          <w:szCs w:val="18"/>
          <w:color w:val="auto"/>
        </w:rPr>
        <w:t>” means October 30, 2013, with respect to the 2023 Notes.</w:t>
      </w:r>
    </w:p>
    <w:p>
      <w:pPr>
        <w:spacing w:after="0" w:line="22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Penn Spin-Off</w:t>
      </w:r>
      <w:r>
        <w:rPr>
          <w:rFonts w:ascii="Times New Roman" w:cs="Times New Roman" w:eastAsia="Times New Roman" w:hAnsi="Times New Roman"/>
          <w:sz w:val="18"/>
          <w:szCs w:val="18"/>
          <w:color w:val="auto"/>
        </w:rPr>
        <w:t>” means the spin-off of the Guarantor from Penn to the shareholders of Penn in November 2013, which resulted in the Operating Partnership having title to substantially all of the real estate assets held by Penn prior to the spin-off, and including the entering into by the Penn Tenant and the Operating Partnership (or one or more Subsidiaries of the Operating Partnership acting as landlord or co-landlord) of the Penn Master Lease.</w:t>
      </w:r>
    </w:p>
    <w:p>
      <w:pPr>
        <w:spacing w:after="0" w:line="17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Penn Tenant</w:t>
      </w:r>
      <w:r>
        <w:rPr>
          <w:rFonts w:ascii="Times New Roman" w:cs="Times New Roman" w:eastAsia="Times New Roman" w:hAnsi="Times New Roman"/>
          <w:sz w:val="18"/>
          <w:szCs w:val="18"/>
          <w:color w:val="auto"/>
        </w:rPr>
        <w:t>” means Penn Tenant, LLC, a Pennsylvania limited liability company, in its capacity as tenant under the Penn Master Lease, and its successors in such capacity.</w:t>
      </w:r>
    </w:p>
    <w:p>
      <w:pPr>
        <w:spacing w:after="0" w:line="15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Penn Transactions</w:t>
      </w:r>
      <w:r>
        <w:rPr>
          <w:rFonts w:ascii="Times New Roman" w:cs="Times New Roman" w:eastAsia="Times New Roman" w:hAnsi="Times New Roman"/>
          <w:sz w:val="17"/>
          <w:szCs w:val="17"/>
          <w:color w:val="auto"/>
        </w:rPr>
        <w:t>” means, collectively, (a) the Penn Spin-Off and the series of corporate restructurings and other transactions entered into in connection with the foregoing, the acquisition by the Guarantor of the GLPI Assets (as defined in the 2013 Offering Memorandum) and the entering into of the Penn Master Lease, (b) the issuance of the Penn Notes (and the Issuers’ 4.375% Senior Notes due 2018, which have been redeemed in full as of the date hereof) and the entering into of the Credit Agreement on October 28, 2013, (c) the payment of the earnings and profits purge described in the 2013 Offering</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106" w:right="359" w:bottom="1440" w:gutter="0" w:footer="0" w:header="0"/>
        </w:sectPr>
      </w:pPr>
    </w:p>
    <w:bookmarkStart w:id="137" w:name="page138"/>
    <w:bookmarkEnd w:id="137"/>
    <w:p>
      <w:pPr>
        <w:ind w:right="640"/>
        <w:spacing w:after="0" w:line="281" w:lineRule="auto"/>
        <w:rPr>
          <w:sz w:val="20"/>
          <w:szCs w:val="20"/>
          <w:color w:val="auto"/>
        </w:rPr>
      </w:pPr>
      <w:r>
        <w:rPr>
          <w:rFonts w:ascii="Times New Roman" w:cs="Times New Roman" w:eastAsia="Times New Roman" w:hAnsi="Times New Roman"/>
          <w:sz w:val="18"/>
          <w:szCs w:val="18"/>
          <w:color w:val="auto"/>
        </w:rPr>
        <w:t>Memorandum, (d) any other transactions defined as “Transactions” in the 2013 Offering Memorandum and (e) the payment of fees and expenses in connection with the foregoing.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Debt</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00" w:hanging="392"/>
        <w:spacing w:after="0"/>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under the Credit Facilities on or prior to the date of the indenture; and</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represented by the existing senior unsecured notes.</w:t>
      </w:r>
    </w:p>
    <w:p>
      <w:pPr>
        <w:spacing w:after="0" w:line="169"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Replacement Lease</w:t>
      </w:r>
      <w:r>
        <w:rPr>
          <w:rFonts w:ascii="Times New Roman" w:cs="Times New Roman" w:eastAsia="Times New Roman" w:hAnsi="Times New Roman"/>
          <w:sz w:val="18"/>
          <w:szCs w:val="18"/>
          <w:color w:val="auto"/>
        </w:rPr>
        <w:t>” means (a) any new lease entered into pursuant to Section 17.1(f) of the Penn Master Lease, (b) any new lease entered into with a Qualified Successor Tenant or (c) any assignment of the Penn Master Lease to a Qualified Successor Tenant, in each case, whether in respect of all or a portion of the gaming facilities subject to the Penn Master Lease.</w:t>
      </w:r>
    </w:p>
    <w:p>
      <w:pPr>
        <w:spacing w:after="0" w:line="172"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Pinnacle</w:t>
      </w:r>
      <w:r>
        <w:rPr>
          <w:rFonts w:ascii="Times New Roman" w:cs="Times New Roman" w:eastAsia="Times New Roman" w:hAnsi="Times New Roman"/>
          <w:sz w:val="18"/>
          <w:szCs w:val="18"/>
          <w:color w:val="auto"/>
        </w:rPr>
        <w:t>” means Pinnacle Entertainment, Inc., a Delaware corporation.</w:t>
      </w:r>
    </w:p>
    <w:p>
      <w:pPr>
        <w:spacing w:after="0" w:line="22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Pinnacle Master Lease</w:t>
      </w:r>
      <w:r>
        <w:rPr>
          <w:rFonts w:ascii="Times New Roman" w:cs="Times New Roman" w:eastAsia="Times New Roman" w:hAnsi="Times New Roman"/>
          <w:sz w:val="18"/>
          <w:szCs w:val="18"/>
          <w:color w:val="auto"/>
        </w:rPr>
        <w:t>” means that certain master lease, dated as of April 28, 2016, between, Pinnacle MLS, LLC, as tenant, and Gold Merger Sub, LLC (as successor to Pinnacle), as landlord, as such Master Lease may be amended, supplemented or modified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forma basis</w:t>
      </w:r>
      <w:r>
        <w:rPr>
          <w:rFonts w:ascii="Times New Roman" w:cs="Times New Roman" w:eastAsia="Times New Roman" w:hAnsi="Times New Roman"/>
          <w:sz w:val="18"/>
          <w:szCs w:val="18"/>
          <w:color w:val="auto"/>
        </w:rPr>
        <w:t>” means:</w:t>
      </w:r>
    </w:p>
    <w:p>
      <w:pPr>
        <w:spacing w:after="0" w:line="200" w:lineRule="exact"/>
        <w:rPr>
          <w:sz w:val="20"/>
          <w:szCs w:val="20"/>
          <w:color w:val="auto"/>
        </w:rPr>
      </w:pPr>
    </w:p>
    <w:p>
      <w:pPr>
        <w:spacing w:after="0" w:line="269" w:lineRule="exact"/>
        <w:rPr>
          <w:sz w:val="20"/>
          <w:szCs w:val="20"/>
          <w:color w:val="auto"/>
        </w:rPr>
      </w:pPr>
    </w:p>
    <w:p>
      <w:pPr>
        <w:ind w:firstLine="8"/>
        <w:spacing w:after="0" w:line="254" w:lineRule="auto"/>
        <w:tabs>
          <w:tab w:leader="none" w:pos="38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amount of Total Debt or Secured Debt or Unsecured Debt under “—Certain Covenants-Limitations on Incurrence of Indebtedness-Limitation on Total Debt” and “—Limitation on Secured Debt,” there shall be excluded Indebtedness to the extent secured by cash, cash equivalents or marketable securities (it being understood that cash collateral shall be deemed to include cash deposited with a trustee or other agent with respect to third party indebtedness) or which has been repaid, discharged, defeased (whether by covenant or legal defeasance), retired, repurchased or redeemed or otherwise satisfied on or prior to the date such calculation is being made or for which the Guarantor, the Issuers or any of their Subsidiaries has irrevocably made a deposit to repay, defease (whether by covenant or legal defeasance), discharge, repurchase, retire or redeem or otherwise satisfy or called for redemption, defeasance (whether by covenant or legal defeasance), discharge, repurchase or retirement, on or prior to the date such calculation is being made (collectively, “</w:t>
      </w:r>
      <w:r>
        <w:rPr>
          <w:rFonts w:ascii="Times New Roman" w:cs="Times New Roman" w:eastAsia="Times New Roman" w:hAnsi="Times New Roman"/>
          <w:sz w:val="18"/>
          <w:szCs w:val="18"/>
          <w:i w:val="1"/>
          <w:iCs w:val="1"/>
          <w:color w:val="auto"/>
        </w:rPr>
        <w:t>Discharged</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Coverage Ratio:</w:t>
      </w:r>
    </w:p>
    <w:p>
      <w:pPr>
        <w:spacing w:after="0" w:line="116" w:lineRule="exact"/>
        <w:rPr>
          <w:rFonts w:ascii="Times New Roman" w:cs="Times New Roman" w:eastAsia="Times New Roman" w:hAnsi="Times New Roman"/>
          <w:sz w:val="18"/>
          <w:szCs w:val="18"/>
          <w:color w:val="auto"/>
        </w:rPr>
      </w:pPr>
    </w:p>
    <w:p>
      <w:pPr>
        <w:ind w:left="660" w:right="140" w:hanging="5"/>
        <w:spacing w:after="0" w:line="272" w:lineRule="auto"/>
        <w:tabs>
          <w:tab w:leader="none" w:pos="103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the Issuers or any of their Subsidiaries incurs, assumes, guarantees or Discharges any Indebtedness (other than ordinary working capital borrowings) subsequent to the commencement of the period for which the Coverage Ratio is being calculated and on or prior to the date such calculation is being made, then the Coverage Ratio will be calculated giving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thereto, and the use of the proceeds therefrom (including any such transaction giving rise to the need to calculate the Coverage Ratio), in each case, as if the same had occurred at the beginning of the applicable four-quarter period and Interest Expense relating to any such Indebtedness that has been Discharged or, in the case of the notes other than the 2023 Notes, to the extent secured by cash, cash equivalents or marketable securities (it being understood that cash collateral shall be deemed to include cash deposited with a trustee or other agent with respect to third party indebtedness) shall be excluded;</w:t>
      </w:r>
    </w:p>
    <w:p>
      <w:pPr>
        <w:spacing w:after="0" w:line="67" w:lineRule="exact"/>
        <w:rPr>
          <w:rFonts w:ascii="Times New Roman" w:cs="Times New Roman" w:eastAsia="Times New Roman" w:hAnsi="Times New Roman"/>
          <w:sz w:val="17"/>
          <w:szCs w:val="17"/>
          <w:color w:val="auto"/>
        </w:rPr>
      </w:pPr>
    </w:p>
    <w:p>
      <w:pPr>
        <w:ind w:left="660" w:right="60" w:hanging="5"/>
        <w:spacing w:after="0" w:line="258" w:lineRule="auto"/>
        <w:tabs>
          <w:tab w:leader="none" w:pos="104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acquisitions or investments that have been made by the Issuers or any of their Subsidiaries, including through mergers or consolidations and including any related financing transactions, during the four-quarter period or subsequent to such period and on or prior to the date such calculation is being made, and the change in Consolidated EBITDA resulting therefrom, will be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as if they had occurred on the first day of the four-quarter period, and Consolidated EBITDA for such period shall include the Consolidated EBITDA of the acquired entities or applicable to such investments, and related transactions, and shall otherwise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w:t>
      </w:r>
    </w:p>
    <w:p>
      <w:pPr>
        <w:spacing w:after="0" w:line="74" w:lineRule="exact"/>
        <w:rPr>
          <w:rFonts w:ascii="Times New Roman" w:cs="Times New Roman" w:eastAsia="Times New Roman" w:hAnsi="Times New Roman"/>
          <w:sz w:val="18"/>
          <w:szCs w:val="18"/>
          <w:color w:val="auto"/>
        </w:rPr>
      </w:pPr>
    </w:p>
    <w:p>
      <w:pPr>
        <w:ind w:left="660" w:right="40" w:hanging="5"/>
        <w:spacing w:after="0" w:line="265" w:lineRule="auto"/>
        <w:tabs>
          <w:tab w:leader="none" w:pos="103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Person that is a Subsidiary on the date such calculation is being made will be deemed to have been a Subsidiary at all times during the applicable four-quarter period, and (ii) any Person that is not a Subsidiary on the date such calculation is being made will be deemed not to have been a Subsidiary at any time during the applicable four-quarter reference period;</w:t>
      </w:r>
    </w:p>
    <w:p>
      <w:pPr>
        <w:spacing w:after="0" w:line="123" w:lineRule="exact"/>
        <w:rPr>
          <w:rFonts w:ascii="Times New Roman" w:cs="Times New Roman" w:eastAsia="Times New Roman" w:hAnsi="Times New Roman"/>
          <w:sz w:val="18"/>
          <w:szCs w:val="18"/>
          <w:color w:val="auto"/>
        </w:rPr>
      </w:pPr>
    </w:p>
    <w:p>
      <w:pPr>
        <w:ind w:left="660" w:right="320" w:hanging="5"/>
        <w:spacing w:after="0" w:line="281" w:lineRule="auto"/>
        <w:tabs>
          <w:tab w:leader="none" w:pos="104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EBITDA attributable to discontinued operations, as determined in accordance with GAAP, and operations or businesses disposed of prior to the date such calculation is being made, will be excluded;</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06" w:right="339" w:bottom="1440" w:gutter="0" w:footer="0" w:header="0"/>
        </w:sectPr>
      </w:pPr>
    </w:p>
    <w:bookmarkStart w:id="138" w:name="page139"/>
    <w:bookmarkEnd w:id="138"/>
    <w:p>
      <w:pPr>
        <w:jc w:val="both"/>
        <w:ind w:left="660" w:right="60" w:hanging="5"/>
        <w:spacing w:after="0" w:line="265" w:lineRule="auto"/>
        <w:tabs>
          <w:tab w:leader="none" w:pos="103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attributable to discontinued operations, as determined in accordance with GAAP, and operations or businesses disposed of prior to the date such calculation is being made, will be excluded, but only to the extent that the obligations giving rise to such Interest Expense will not be obligations of the Issuers or any of their Subsidiaries following the date such calculation is being made;</w:t>
      </w:r>
    </w:p>
    <w:p>
      <w:pPr>
        <w:spacing w:after="0" w:line="69" w:lineRule="exact"/>
        <w:rPr>
          <w:rFonts w:ascii="Times New Roman" w:cs="Times New Roman" w:eastAsia="Times New Roman" w:hAnsi="Times New Roman"/>
          <w:sz w:val="18"/>
          <w:szCs w:val="18"/>
          <w:color w:val="auto"/>
        </w:rPr>
      </w:pPr>
    </w:p>
    <w:p>
      <w:pPr>
        <w:ind w:left="660" w:right="160" w:hanging="5"/>
        <w:spacing w:after="0" w:line="265" w:lineRule="auto"/>
        <w:tabs>
          <w:tab w:leader="none" w:pos="10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as the Issuers may designate; and</w:t>
      </w:r>
    </w:p>
    <w:p>
      <w:pPr>
        <w:spacing w:after="0" w:line="69" w:lineRule="exact"/>
        <w:rPr>
          <w:rFonts w:ascii="Times New Roman" w:cs="Times New Roman" w:eastAsia="Times New Roman" w:hAnsi="Times New Roman"/>
          <w:sz w:val="18"/>
          <w:szCs w:val="18"/>
          <w:color w:val="auto"/>
        </w:rPr>
      </w:pPr>
    </w:p>
    <w:p>
      <w:pPr>
        <w:ind w:left="660" w:right="80" w:hanging="5"/>
        <w:spacing w:after="0" w:line="281" w:lineRule="auto"/>
        <w:tabs>
          <w:tab w:leader="none" w:pos="10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2031 Notes, for any period that includes any period of time occurring prior to the Penn Notes Issue Date, the Penn Transactions shall be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as if the Penn Transactions had occurred at the beginning of such period.</w:t>
      </w:r>
    </w:p>
    <w:p>
      <w:pPr>
        <w:spacing w:after="0" w:line="1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 EBITDA</w:t>
      </w:r>
      <w:r>
        <w:rPr>
          <w:rFonts w:ascii="Times New Roman" w:cs="Times New Roman" w:eastAsia="Times New Roman" w:hAnsi="Times New Roman"/>
          <w:sz w:val="18"/>
          <w:szCs w:val="18"/>
          <w:color w:val="auto"/>
        </w:rPr>
        <w:t>” means, for any period of time with respect to the Penn Master Lease Properties or any other group of related properties or any property (excluding any properties that are not Income Properties), the sum, with respect to the Penn Master Lease Properties or other group of related properties or property, of the net income (or net loss) derived from such property for such period (excluding, without duplication, gains (or losses) from dispositions of depreciable real estate investments, property valuation losses and impairment charges);</w:t>
      </w:r>
    </w:p>
    <w:p>
      <w:pPr>
        <w:spacing w:after="0" w:line="70" w:lineRule="exact"/>
        <w:rPr>
          <w:sz w:val="20"/>
          <w:szCs w:val="20"/>
          <w:color w:val="auto"/>
        </w:rPr>
      </w:pPr>
    </w:p>
    <w:p>
      <w:pPr>
        <w:ind w:right="300" w:firstLine="8"/>
        <w:spacing w:after="0" w:line="283" w:lineRule="auto"/>
        <w:tabs>
          <w:tab w:leader="none" w:pos="38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 and solely to the extent already deducted (and not added back) in arriving at such net income (or net loss), the sum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amounts for such period:</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(whether paid or accrued and whether or not capitalized);</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w:t>
      </w:r>
    </w:p>
    <w:p>
      <w:pPr>
        <w:spacing w:after="0" w:line="116" w:lineRule="exact"/>
        <w:rPr>
          <w:rFonts w:ascii="Times New Roman" w:cs="Times New Roman" w:eastAsia="Times New Roman" w:hAnsi="Times New Roman"/>
          <w:sz w:val="18"/>
          <w:szCs w:val="18"/>
          <w:color w:val="auto"/>
        </w:rPr>
      </w:pPr>
    </w:p>
    <w:p>
      <w:pPr>
        <w:ind w:left="660" w:right="160" w:hanging="5"/>
        <w:spacing w:after="0" w:line="260" w:lineRule="auto"/>
        <w:tabs>
          <w:tab w:leader="none" w:pos="103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non-recurring and unusual items, charges or expenses (including, without limitation, property valuation losses, impairment charges, fees, costs and expenses relating to the Penn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w:t>
      </w:r>
    </w:p>
    <w:p>
      <w:pPr>
        <w:spacing w:after="0" w:line="73" w:lineRule="exact"/>
        <w:rPr>
          <w:rFonts w:ascii="Times New Roman" w:cs="Times New Roman" w:eastAsia="Times New Roman" w:hAnsi="Times New Roman"/>
          <w:sz w:val="18"/>
          <w:szCs w:val="18"/>
          <w:color w:val="auto"/>
        </w:rPr>
      </w:pPr>
    </w:p>
    <w:p>
      <w:pPr>
        <w:ind w:left="1020" w:hanging="365"/>
        <w:spacing w:after="0"/>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losses associated with hedging agreements;</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losses resulting from fluctuations in foreign exchange rates;</w:t>
      </w:r>
    </w:p>
    <w:p>
      <w:pPr>
        <w:spacing w:after="0" w:line="116" w:lineRule="exact"/>
        <w:rPr>
          <w:rFonts w:ascii="Times New Roman" w:cs="Times New Roman" w:eastAsia="Times New Roman" w:hAnsi="Times New Roman"/>
          <w:sz w:val="18"/>
          <w:szCs w:val="18"/>
          <w:color w:val="auto"/>
        </w:rPr>
      </w:pPr>
    </w:p>
    <w:p>
      <w:pPr>
        <w:jc w:val="both"/>
        <w:ind w:left="660" w:right="100" w:hanging="5"/>
        <w:spacing w:after="0" w:line="288" w:lineRule="auto"/>
        <w:tabs>
          <w:tab w:leader="none" w:pos="1049"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non-cash items, charges or expenses reducing net income (or increasing net loss) (other than items that will require cash payments and for which an accrual or reserve is, or is required by GAAP to be, made in which case, at the election of the Issuers such items may be added back when accrued and deducted from net income when paid in cash, or given effect (and not added back to net income) when accrued or reserved);</w:t>
      </w:r>
    </w:p>
    <w:p>
      <w:pPr>
        <w:spacing w:after="0" w:line="51" w:lineRule="exact"/>
        <w:rPr>
          <w:rFonts w:ascii="Times New Roman" w:cs="Times New Roman" w:eastAsia="Times New Roman" w:hAnsi="Times New Roman"/>
          <w:sz w:val="17"/>
          <w:szCs w:val="17"/>
          <w:color w:val="auto"/>
        </w:rPr>
      </w:pPr>
    </w:p>
    <w:p>
      <w:pPr>
        <w:ind w:left="1000" w:hanging="345"/>
        <w:spacing w:after="0"/>
        <w:tabs>
          <w:tab w:leader="none" w:pos="10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integration costs deducted (and not added back) in such period in computing the net income (or net loss);</w:t>
      </w:r>
    </w:p>
    <w:p>
      <w:pPr>
        <w:spacing w:after="0" w:line="116" w:lineRule="exact"/>
        <w:rPr>
          <w:rFonts w:ascii="Times New Roman" w:cs="Times New Roman" w:eastAsia="Times New Roman" w:hAnsi="Times New Roman"/>
          <w:sz w:val="18"/>
          <w:szCs w:val="18"/>
          <w:color w:val="auto"/>
        </w:rPr>
      </w:pPr>
    </w:p>
    <w:p>
      <w:pPr>
        <w:ind w:left="660" w:hanging="5"/>
        <w:spacing w:after="0" w:line="281" w:lineRule="auto"/>
        <w:tabs>
          <w:tab w:leader="none" w:pos="100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relocation costs, signing costs, retention or completion bonuses, transition costs, curtailments or modifications to pension and post-retirement employee benefit plans (including any settlement of pension liabilities); and</w:t>
      </w:r>
    </w:p>
    <w:p>
      <w:pPr>
        <w:spacing w:after="0" w:line="108" w:lineRule="exact"/>
        <w:rPr>
          <w:rFonts w:ascii="Times New Roman" w:cs="Times New Roman" w:eastAsia="Times New Roman" w:hAnsi="Times New Roman"/>
          <w:sz w:val="18"/>
          <w:szCs w:val="18"/>
          <w:color w:val="auto"/>
        </w:rPr>
      </w:pPr>
    </w:p>
    <w:p>
      <w:pPr>
        <w:ind w:left="660" w:right="160" w:hanging="5"/>
        <w:spacing w:after="0" w:line="265" w:lineRule="auto"/>
        <w:tabs>
          <w:tab w:leader="none" w:pos="104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included in net income or, if otherwise excluded from Property EBITDA due to the operation of clause (2)(a) below, the amount of insurance proceeds received during such period, or after such period and on or prior to the date the calculation is made with respect to such period, attributable to such property;</w:t>
      </w:r>
    </w:p>
    <w:p>
      <w:pPr>
        <w:spacing w:after="0" w:line="67" w:lineRule="exact"/>
        <w:rPr>
          <w:rFonts w:ascii="Times New Roman" w:cs="Times New Roman" w:eastAsia="Times New Roman" w:hAnsi="Times New Roman"/>
          <w:sz w:val="18"/>
          <w:szCs w:val="18"/>
          <w:color w:val="auto"/>
        </w:rPr>
      </w:pPr>
    </w:p>
    <w:p>
      <w:pPr>
        <w:ind w:right="300" w:firstLine="8"/>
        <w:spacing w:after="0" w:line="283" w:lineRule="auto"/>
        <w:tabs>
          <w:tab w:leader="none" w:pos="38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without duplication and solely to the extent included in arriving at such net income (or net loss), the sum of the following amounts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non-recurring and unusual gains (other than insurance proceeds);</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attributable to hedging agreements;</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resulting from fluctuations in foreign exchange rates; and</w:t>
      </w:r>
    </w:p>
    <w:p>
      <w:pPr>
        <w:spacing w:after="0" w:line="116"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non-cash gains increasing net income (or decreasing net loss) other than accruals in the ordinary course;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998" w:right="359" w:bottom="1440" w:gutter="0" w:footer="0" w:header="0"/>
        </w:sectPr>
      </w:pPr>
    </w:p>
    <w:bookmarkStart w:id="139" w:name="page140"/>
    <w:bookmarkEnd w:id="139"/>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to the extent any amounts referred to in this definition or deducted in calculating net income (or net loss) (including any costs or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calculating net income (or net loss)) are required to be paid by the Penn Tenant under the Penn Master Lease or any other Person that is a lessee or operator of any such property, such amounts will not be subtracted, and will be added back to Property EBITDA for the applicable property or group of properties.</w:t>
      </w:r>
    </w:p>
    <w:p>
      <w:pPr>
        <w:spacing w:after="0" w:line="1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Property EBITDA will be adjusted, without duplication, to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(x) in the case of any assets having been placed-in-service or removed from service since the beginning of the period and on or prior to the date of determination, to include or exclude, as the case may be, any Property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Property EBITDA earned or eliminated as a result of the acquisition or disposition of those assets as if the acquisition or disposition occurred at the beginning of the period. For purposes of calculating Property EBITDA, all amounts shall be as determined reasonably by an Issuer, and in accordance with GAAP except to the extent that GAAP is not applicable.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Successor Tenant</w:t>
      </w:r>
      <w:r>
        <w:rPr>
          <w:rFonts w:ascii="Times New Roman" w:cs="Times New Roman" w:eastAsia="Times New Roman" w:hAnsi="Times New Roman"/>
          <w:sz w:val="18"/>
          <w:szCs w:val="18"/>
          <w:color w:val="auto"/>
        </w:rPr>
        <w:t>” means a Person that: (a) in the reasonable judgment of an Issuer, has sufficient experience (directly or through one or more of its Subsidiaries) operating or managing casinos or is owned, controlled or managed by a Person with such experience, to operate properties subject to a Permitted Replacement Lease and (b) is licensed or certified by each gaming authority with jurisdiction over any gaming facility subject to the applicable Permitted Replacement Lease as of the initial date of the effectiveness of the applicable Permitted Replacement Lease.</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 (a) Fitch, Moody’s or S&amp;P in the case of the 2030 Notes and 2024 Notes and Moody’s or S&amp;P’s in the case of all of the other notes or (b) if any of Fitch, Moody’s or S&amp;P in the case of the 2030 Notes and 2024 Notes and Moody’s or S&amp;P’s in the case of all of the other notes shall not make a rating on the notes publicly available, a nationally recognized statistical rating agency or agencies, as the case may be, selected by the Issuers (as certified by a resolution of the Issuers’ Board of Directors) which shall be substituted for Fitch, Moody’s or S&amp;P, as the case may be.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Category</w:t>
      </w:r>
      <w:r>
        <w:rPr>
          <w:rFonts w:ascii="Times New Roman" w:cs="Times New Roman" w:eastAsia="Times New Roman" w:hAnsi="Times New Roman"/>
          <w:sz w:val="18"/>
          <w:szCs w:val="18"/>
          <w:color w:val="auto"/>
        </w:rPr>
        <w:t>” means (a) with respect to Fitch or S&amp;P, any of the following categories: BB, B, CCC, CC, C and D (or equivalent successor categories);</w:t>
      </w:r>
    </w:p>
    <w:p>
      <w:pPr>
        <w:spacing w:after="0" w:line="29" w:lineRule="exact"/>
        <w:rPr>
          <w:sz w:val="20"/>
          <w:szCs w:val="20"/>
          <w:color w:val="auto"/>
        </w:rPr>
      </w:pPr>
    </w:p>
    <w:p>
      <w:pPr>
        <w:ind w:right="260" w:firstLine="8"/>
        <w:spacing w:after="0" w:line="252" w:lineRule="auto"/>
        <w:tabs>
          <w:tab w:leader="none" w:pos="2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Moody’s, any of the following categories: Ba, B, Caa, Ca, C and D (or equivalent successor categories); and (c) the equivalent of any such category of Fitch, S&amp;P or Moody’s used by another Rating Agency selected by the Issuers. In determining whether the rating of the notes has decreased by one or more gradations, gradations within Rating Categories ((i) + and - for S&amp;P and Fitch; (ii) 1, 2 and 3 for Moody’s; and (iii) the equivalent gradations for another Rating Agency selected by the Issuers) shall be taken into account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with respect to S&amp;P, a decline in a rating from BB+ to BB, or from BB- to B+, will constitute a decrease of one gradation).</w:t>
      </w:r>
    </w:p>
    <w:p>
      <w:pPr>
        <w:spacing w:after="0" w:line="133"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Date</w:t>
      </w:r>
      <w:r>
        <w:rPr>
          <w:rFonts w:ascii="Times New Roman" w:cs="Times New Roman" w:eastAsia="Times New Roman" w:hAnsi="Times New Roman"/>
          <w:sz w:val="18"/>
          <w:szCs w:val="18"/>
          <w:color w:val="auto"/>
        </w:rPr>
        <w:t>” means the date which is 90 days prior to the earlier of (a) a Change of Control or (b) public notice of the occurrence of a Change of Control or of the intention by the Issuers to effect a Change of Control.</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Decline</w:t>
      </w:r>
      <w:r>
        <w:rPr>
          <w:rFonts w:ascii="Times New Roman" w:cs="Times New Roman" w:eastAsia="Times New Roman" w:hAnsi="Times New Roman"/>
          <w:sz w:val="18"/>
          <w:szCs w:val="18"/>
          <w:color w:val="auto"/>
        </w:rPr>
        <w:t>” with respect to a particular series of notes shall be deemed to occur if, within 90 days after public notice of the occurrence of a Change of Control (which period shall be extended in respect of a Rating Agency so long as the rating of the notes is under publicly announced consideration for possible downgrade by any such Rating Agency with respect to a Rating Category), the rating of such series of notes by at least two of the three Rating Agencies in the case of the 2030 Notes and 2024 Notes and each of the Rating Agencies in the case of all other notes shall be decreased by one or more gradations to or within a Rating Category (including gradations within Rating Categories as well as between Rating Categories) as compared to the rating of the notes on the Rating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Redevelopment Property</w:t>
      </w:r>
      <w:r>
        <w:rPr>
          <w:rFonts w:ascii="Times New Roman" w:cs="Times New Roman" w:eastAsia="Times New Roman" w:hAnsi="Times New Roman"/>
          <w:sz w:val="18"/>
          <w:szCs w:val="18"/>
          <w:color w:val="auto"/>
        </w:rPr>
        <w:t>” means any real property owned by an Issuer or its Subsidiaries that operates or is intended to operate as an Income Property (a)</w:t>
      </w:r>
    </w:p>
    <w:p>
      <w:pPr>
        <w:spacing w:after="0" w:line="29" w:lineRule="exact"/>
        <w:rPr>
          <w:sz w:val="20"/>
          <w:szCs w:val="20"/>
          <w:color w:val="auto"/>
        </w:rPr>
      </w:pPr>
    </w:p>
    <w:p>
      <w:pPr>
        <w:ind w:firstLine="8"/>
        <w:spacing w:after="0" w:line="251" w:lineRule="auto"/>
        <w:tabs>
          <w:tab w:leader="none" w:pos="2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been acquired by an Issuer or any of its Subsidiaries with a view toward renovating or rehabilitating such real property at an aggregate anticipated cost of at least 10% of the acquisition cost thereof and such renovation or rehabilitation is expected to disrupt the occupancy of at least 30% of the square footage of such property or (x) that an Issuer or any of its Subsidiaries intends to renovate or rehabilitate at an aggregate anticipated cost in excess of (y) 10% of the Capitalized Value of such real property immediately prior to such renovation or rehabilitation and such renovation or rehabilitation is expected to temporarily reduce the Property EBITDA attributable to such property by at least 30% as compared to the immediately preceding comparable prior period and or (ii) with respect to which an Issuer or a Subsidiary thereof has entered into a binding construction contract or construction has commenced, (b) that does not qualify as a “Development Property” and (c) that an Issuer so desires to classify as a “Redevelopment Property” for purposes of the notes.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04" w:right="339" w:bottom="1440" w:gutter="0" w:footer="0" w:header="0"/>
        </w:sectPr>
      </w:pPr>
    </w:p>
    <w:bookmarkStart w:id="140" w:name="page141"/>
    <w:bookmarkEnd w:id="140"/>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means (i) the Registration Rights Agreement related to the 2023 notes, dated as of October 30, 2013, which was between the Issuers and Merrill Lynch, Pierce, Fenner &amp; Smith Incorporated, and J.P. Morgan Securities LLC, as representative of the initial purchasers, as amended or supplemented, and (ii) any other registration rights agreement entered into in connection with the issuance after the applicable date of issuance of the 2023 Notes of additional 2023 Notes or additional debt securities under the indenture in a private offering by the Issuers.</w:t>
      </w:r>
    </w:p>
    <w:p>
      <w:pPr>
        <w:spacing w:after="0" w:line="178"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Debt</w:t>
      </w:r>
      <w:r>
        <w:rPr>
          <w:rFonts w:ascii="Times New Roman" w:cs="Times New Roman" w:eastAsia="Times New Roman" w:hAnsi="Times New Roman"/>
          <w:sz w:val="18"/>
          <w:szCs w:val="18"/>
          <w:color w:val="auto"/>
        </w:rPr>
        <w:t>” means, as of any date of determination, the portion of Total Debt as of such date that is secured by a Lien on property or assets of the Issuers or any of their Subsidiaries.</w:t>
      </w:r>
    </w:p>
    <w:p>
      <w:pPr>
        <w:spacing w:after="0" w:line="159"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Acquisition</w:t>
      </w:r>
      <w:r>
        <w:rPr>
          <w:rFonts w:ascii="Times New Roman" w:cs="Times New Roman" w:eastAsia="Times New Roman" w:hAnsi="Times New Roman"/>
          <w:sz w:val="18"/>
          <w:szCs w:val="18"/>
          <w:color w:val="auto"/>
        </w:rPr>
        <w:t>” means an acquisition in which the aggregate consideration (whether in the form of cash, securities, goodwill, or otherwise) with respect to such acquisition is not less than five percent (5%) of Total Asset Value immediately prior to such acquisition.</w:t>
      </w:r>
    </w:p>
    <w:p>
      <w:pPr>
        <w:spacing w:after="0" w:line="15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of an Issuer having (together with its Subsidiaries) assets that constitute five percent (5%) or more of Total Asset Value as of the end any of the most recently completed fiscal year of the Issuers for which Consolidated Financial Statements have been prepared prior to the date of determination.</w:t>
      </w:r>
    </w:p>
    <w:p>
      <w:pPr>
        <w:spacing w:after="0" w:line="1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Statistical Release</w:t>
      </w:r>
      <w:r>
        <w:rPr>
          <w:rFonts w:ascii="Times New Roman" w:cs="Times New Roman" w:eastAsia="Times New Roman" w:hAnsi="Times New Roman"/>
          <w:sz w:val="18"/>
          <w:szCs w:val="18"/>
          <w:color w:val="auto"/>
        </w:rPr>
        <w:t>” means the statistical release designated “H.15” or any successor publication which is published weekly by the Federal Reserve System (or companion online data resource published by the Federal Reserve System) and which establishes yields on actively traded United States government securities adjusted to constant maturities, or, if such statistical release is not published at the time of any determination under the indenture, then such other reasonably comparable index designated by us.</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shall refer to a Subsidiary or Subsidiaries of an Issuer, and in the case of each of clauses (i) and (ii) which is required to be consolidated with such Person in accordance with GAAP.</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 Value</w:t>
      </w:r>
      <w:r>
        <w:rPr>
          <w:rFonts w:ascii="Times New Roman" w:cs="Times New Roman" w:eastAsia="Times New Roman" w:hAnsi="Times New Roman"/>
          <w:sz w:val="18"/>
          <w:szCs w:val="18"/>
          <w:color w:val="auto"/>
        </w:rPr>
        <w:t>” means, as of any date, the sum of the following without duplication: (a) the sum of the Asset Values for all assets constituting Income Properties, Development Properties, Redevelopment Properties or undeveloped land owned by the Issuers or any of their Subsidiaries at such</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 amount (but not less than zero) equal to all unrestricted cash and cash equivalents on hand of the Issuers and their Subsidiaries (including the proceeds of the Indebtedness to be incurred),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earnest money deposits associated with potential acquisitions as of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the book value (determined in accordance with GAAP) (but determined without giving effect to any depreciation or amortization) of all other investments held by the Issuers and their Subsidiaries at such date (exclusive of accounts receivable and non-real estate intangible assets in the case of the 2031 Notes, accounts receivable and goodwill and other intangible assets in the case of the 2030 Notes and 2024 Notes and goodwill and other intangible assets in the case of all other notes). Total Asset Value shall be adjusted in the case of assets owned by Subsidiaries of the Issuers which are not wholly owned Subsidiaries of the Issuers to reflect the Issuers’ Ownership Share therein.</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Debt</w:t>
      </w:r>
      <w:r>
        <w:rPr>
          <w:rFonts w:ascii="Times New Roman" w:cs="Times New Roman" w:eastAsia="Times New Roman" w:hAnsi="Times New Roman"/>
          <w:sz w:val="18"/>
          <w:szCs w:val="18"/>
          <w:color w:val="auto"/>
        </w:rPr>
        <w:t xml:space="preserve">” means, as of any date of determination, the aggregate principal amount of outstanding Indebtedness of the Issuers and their Subsidiaries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Total Debt shall not include Indebtedness in respect of letters of credit, except to the extent of unreimbursed amounts thereunder, and (b) the amount of Total Debt, in the case of Indebtedness of a Subsidiary of the Issuers that is not a wholly owned Subsidiary of the Issuers, shall be reduced to reflect the Issuers’ proportionate interest therein.</w:t>
      </w:r>
    </w:p>
    <w:p>
      <w:pPr>
        <w:spacing w:after="0" w:line="1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Unencumbered Asset Value</w:t>
      </w:r>
      <w:r>
        <w:rPr>
          <w:rFonts w:ascii="Times New Roman" w:cs="Times New Roman" w:eastAsia="Times New Roman" w:hAnsi="Times New Roman"/>
          <w:sz w:val="18"/>
          <w:szCs w:val="18"/>
          <w:color w:val="auto"/>
        </w:rPr>
        <w:t>” means, as of any date of determination, the Total Asset Value for all assets owned by the Issuers or one of their Subsidiaries at such date that are not subject to any Lien which secures Indebtedness of the Issuers and their Subsidiaries; provided, however, that in the case of the 2031 Notes, 2030 Notes and 2024 Notes all investments by the Issuers and their Subsidiaries in unconsolidated joint ventures, unconsolidated limited partnerships, unconsolidated limited liability companies and other unconsolidated entities shall be excluded from Total Unencumbered Asset Value to the extent such investments would have otherwise been included.</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104" w:right="359" w:bottom="1440" w:gutter="0" w:footer="0" w:header="0"/>
        </w:sectPr>
      </w:pPr>
    </w:p>
    <w:bookmarkStart w:id="141" w:name="page142"/>
    <w:bookmarkEnd w:id="141"/>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Unconsolidated Affiliate</w:t>
      </w:r>
      <w:r>
        <w:rPr>
          <w:rFonts w:ascii="Times New Roman" w:cs="Times New Roman" w:eastAsia="Times New Roman" w:hAnsi="Times New Roman"/>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Unsecured Debt</w:t>
      </w:r>
      <w:r>
        <w:rPr>
          <w:rFonts w:ascii="Times New Roman" w:cs="Times New Roman" w:eastAsia="Times New Roman" w:hAnsi="Times New Roman"/>
          <w:sz w:val="18"/>
          <w:szCs w:val="18"/>
          <w:color w:val="auto"/>
        </w:rPr>
        <w:t>” means, as of any date of determination, that portion of Total Debt as of that date that is not Secured Debt.</w:t>
      </w:r>
    </w:p>
    <w:p>
      <w:pPr>
        <w:spacing w:after="0" w:line="225"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to vote in the election of the Board of Directors of such Person.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9"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8"/>
          <w:szCs w:val="18"/>
          <w:color w:val="auto"/>
        </w:rPr>
        <w:t>The following are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under the indenture with respect to debt securities of a particular series issued under the indenture, including the notes:</w:t>
      </w:r>
    </w:p>
    <w:p>
      <w:pPr>
        <w:spacing w:after="0" w:line="53" w:lineRule="exact"/>
        <w:rPr>
          <w:sz w:val="20"/>
          <w:szCs w:val="20"/>
          <w:color w:val="auto"/>
        </w:rPr>
      </w:pPr>
    </w:p>
    <w:p>
      <w:pPr>
        <w:ind w:left="400" w:hanging="392"/>
        <w:spacing w:after="0"/>
        <w:tabs>
          <w:tab w:leader="none" w:pos="4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debt securities of a particular series issued under the indenture, including the notes;</w:t>
      </w:r>
    </w:p>
    <w:p>
      <w:pPr>
        <w:spacing w:after="0" w:line="116" w:lineRule="exact"/>
        <w:rPr>
          <w:rFonts w:ascii="Times New Roman" w:cs="Times New Roman" w:eastAsia="Times New Roman" w:hAnsi="Times New Roman"/>
          <w:sz w:val="18"/>
          <w:szCs w:val="18"/>
          <w:color w:val="auto"/>
        </w:rPr>
      </w:pPr>
    </w:p>
    <w:p>
      <w:pPr>
        <w:ind w:right="200" w:firstLine="8"/>
        <w:spacing w:after="0" w:line="281" w:lineRule="auto"/>
        <w:tabs>
          <w:tab w:leader="none" w:pos="38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the principal of or premium, if any, on the debt securities of a particular series issued under the indenture, including the notes;</w:t>
      </w:r>
    </w:p>
    <w:p>
      <w:pPr>
        <w:spacing w:after="0" w:line="54" w:lineRule="exact"/>
        <w:rPr>
          <w:rFonts w:ascii="Times New Roman" w:cs="Times New Roman" w:eastAsia="Times New Roman" w:hAnsi="Times New Roman"/>
          <w:sz w:val="18"/>
          <w:szCs w:val="18"/>
          <w:color w:val="auto"/>
        </w:rPr>
      </w:pPr>
    </w:p>
    <w:p>
      <w:pPr>
        <w:ind w:right="180" w:firstLine="8"/>
        <w:spacing w:after="0" w:line="265" w:lineRule="auto"/>
        <w:tabs>
          <w:tab w:leader="none" w:pos="38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Issuers or any of their Subsidiaries for 60 days after receipt of notice from the trustee or holders of at least 25% in principal amount of the notes then outstanding to comply with any of the covenants or agreements in the indenture (other than a covenant or agreement included in the indenture for the benefit of one or more series of debt securities other than the notes) or the notes;</w:t>
      </w:r>
    </w:p>
    <w:p>
      <w:pPr>
        <w:spacing w:after="0" w:line="6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events under bankruptcy, insolvency or other similar laws with respect to the Issuers or any of their Significant Subsidiaries;</w:t>
      </w:r>
    </w:p>
    <w:p>
      <w:pPr>
        <w:spacing w:after="0" w:line="116" w:lineRule="exact"/>
        <w:rPr>
          <w:rFonts w:ascii="Times New Roman" w:cs="Times New Roman" w:eastAsia="Times New Roman" w:hAnsi="Times New Roman"/>
          <w:sz w:val="18"/>
          <w:szCs w:val="18"/>
          <w:color w:val="auto"/>
        </w:rPr>
      </w:pPr>
    </w:p>
    <w:p>
      <w:pPr>
        <w:ind w:firstLine="8"/>
        <w:spacing w:after="0" w:line="254" w:lineRule="auto"/>
        <w:tabs>
          <w:tab w:leader="none" w:pos="38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any mortgage, indenture or instrument under which there may be issued or by which there may be secured or evidenced any of our recourse Indebtedness (or the payment of which we guarantee), whether such Indebtedness or guarantee now exists or is created after the date of the indenture, if that default: (i) is caused by a failure to pay principal of such Indebtedness at final maturity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 (ii) results in the acceleration of such Indebtedness prior to its express maturity (which, in the case of the 2031 Notes, such Indebtedness has not been Discharged or, in the case of any of the notes, acceleration has not been rescinded, annulled or cured within 20 business days after receipt by us of notice from the trustee or holders of at least 25% in principal amount of the notes then outstanding specifying such default), and, in each case, the due and payable principal amount of any such Indebtedness, together with the due and payable principal amount of any other such Indebtedness under which there has been a payment default or the maturity of which has been so accelerated, aggregates $100.0 million or more; and</w:t>
      </w:r>
    </w:p>
    <w:p>
      <w:pPr>
        <w:spacing w:after="0" w:line="81" w:lineRule="exact"/>
        <w:rPr>
          <w:rFonts w:ascii="Times New Roman" w:cs="Times New Roman" w:eastAsia="Times New Roman" w:hAnsi="Times New Roman"/>
          <w:sz w:val="18"/>
          <w:szCs w:val="18"/>
          <w:color w:val="auto"/>
        </w:rPr>
      </w:pPr>
    </w:p>
    <w:p>
      <w:pPr>
        <w:ind w:right="60" w:firstLine="8"/>
        <w:spacing w:after="0" w:line="258" w:lineRule="auto"/>
        <w:tabs>
          <w:tab w:leader="none" w:pos="38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2031 Notes, other than in connection with any transaction not prohibited by “-Certain Covenants-Penn Master Lease,” the Penn Master Lease shall have terminated or the Penn Master Lease Guaranty shall have terminated (other than in accordance with the terms of the Penn Master 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termination shall not constitute an event of default if within 90 days after such termination the Operating Partnership has entered into one or more Permitted Replacement Leases (or in the case of the Penn Master Lease Guaranty, a replacement guaranty is entered into in accordance with the Penn Master Lease).</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case of an event of default arising under clause (4) of the immediately preceding paragraph with respect to the Issuers, all notes then outstanding will become due and payable immediately without further action or notice. If any other event of default occurs and is continuing, the trustee or the holders of at least 25% in principal amount of then outstanding notes (or then outstanding debt securities of a particular series in case of an event of default specific to such series) may declare all the debt securities outstanding under the indenture (or all of the notes of such series, as applicable) to be due and payable immediately.</w:t>
      </w:r>
    </w:p>
    <w:p>
      <w:pPr>
        <w:spacing w:after="0" w:line="1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Holders of the notes may not enforce the indenture or the notes except as provided in the indenture. Subject to certain limitations, holders of a majority in principal amount of then outstanding notes may direct the trustee, in writing,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8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notes then outstanding by written notice to the trustee may on behalf of the holders of all of the notes waive any existing default or event of default with respect to the notes and its consequences under the indenture (or in the case of an event of default specific to a series of debt securities outstanding under</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104" w:right="359" w:bottom="1440" w:gutter="0" w:footer="0" w:header="0"/>
        </w:sectPr>
      </w:pPr>
    </w:p>
    <w:bookmarkStart w:id="142" w:name="page143"/>
    <w:bookmarkEnd w:id="142"/>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indenture, including the notes, holders of a majority in aggregate principal amount of the debt securities of such series then outstanding by written notice to the trustee may on behalf of the holders of all of such series waive any existing default or event of default with respect to the debt securities of such series and its consequences under the indenture), in each case, except a continuing default or event of default in the payment of interest on, or the principal of, such debt securities, including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holders of a majority in aggregate principal amount of such debt securities (or of the debt securities of such series, respectively) then outstanding may rescind an acceleration of the debt securities (or the debt securities of such series) and waive the payment default that resulted from such acceleration.</w:t>
      </w:r>
    </w:p>
    <w:p>
      <w:pPr>
        <w:spacing w:after="0" w:line="186"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Notwithstanding clause (3) of the first paragraph above or any other provision of the indenture, except as provided in the final sentence of this paragraph, the sole remedy for any failure to comply by the Issuers with the covenant described under the caption “—Certain Covenants-Reports” shall be the payment of liquidated damages as described in the following sentence, such failure to comply shall not constitute an event of default, and holders of the notes shall not have any right under the indenture or the notes to accelerate the maturity of the notes as a result of any such failure to comply. If a failure to comply by the Issuers with the covenant described under the caption “—Certain Covenants-Reports” continues for 60 days after the Issuers receives notice of such failure to comply in accordance with clause (3) of the first paragraph above (such notice, the “</w:t>
      </w:r>
      <w:r>
        <w:rPr>
          <w:rFonts w:ascii="Times New Roman" w:cs="Times New Roman" w:eastAsia="Times New Roman" w:hAnsi="Times New Roman"/>
          <w:sz w:val="17"/>
          <w:szCs w:val="17"/>
          <w:i w:val="1"/>
          <w:iCs w:val="1"/>
          <w:color w:val="auto"/>
        </w:rPr>
        <w:t>Reports Default Notice</w:t>
      </w:r>
      <w:r>
        <w:rPr>
          <w:rFonts w:ascii="Times New Roman" w:cs="Times New Roman" w:eastAsia="Times New Roman" w:hAnsi="Times New Roman"/>
          <w:sz w:val="17"/>
          <w:szCs w:val="17"/>
          <w:color w:val="auto"/>
        </w:rPr>
        <w:t>”), and is continuing on the 60th day following the Issuers’ receipt of the Reports Default Notice, the Issuers will pay liquidated damages to all holders of notes at a rate per annum equal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0.25% of the principal amount of the notes from the 60th day following the Issuers’ receipt of the Reports Default Notice to but not including the earlier of</w:t>
      </w:r>
    </w:p>
    <w:p>
      <w:pPr>
        <w:spacing w:after="0" w:line="9" w:lineRule="exact"/>
        <w:rPr>
          <w:sz w:val="20"/>
          <w:szCs w:val="20"/>
          <w:color w:val="auto"/>
        </w:rPr>
      </w:pPr>
    </w:p>
    <w:p>
      <w:pPr>
        <w:ind w:right="40" w:firstLine="8"/>
        <w:spacing w:after="0" w:line="250"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121st day following the Issuers’ receipt of the Reports Default Notice and (y) the date on which the failure to comply by the Issuers with the covenant described under the caption “—Certain Covenants-Reports” shall have been cured or waived. On the earlier of the date specified in the immediately preceding clauses (x) and (y), such liquidated damages will cease to accrue. If the failure to comply by the Issuers with the covenant described under the caption “—Certain Covenants-Reports” shall not have been cured or waived on or before the 121st day following the Issuers’ receipt of the Reports Default Notice, then the failure to comply by the Issuers with the covenant described under the caption “—Certain Covenants-Reports” shall on such 121st day constitute an event of default. A failure to comply with the covenant described under the caption “—Certain Covenants-Reports” automatically shall cease to be continuing and shall be deemed cured at such time as the Issuers (or the Guarantor or other parent guarantor of the Issuers, as applicable) furnishes to the trustee the applicable information or report (it being understood that the availability of such information or report on the SEC’s EDGAR service (or any successor thereto) shall be deemed to satisfy the Issuers’ obligation to furnish such information or report to the</w:t>
      </w:r>
    </w:p>
    <w:p>
      <w:pPr>
        <w:spacing w:after="0" w:line="1" w:lineRule="exact"/>
        <w:rPr>
          <w:rFonts w:ascii="Times New Roman" w:cs="Times New Roman" w:eastAsia="Times New Roman" w:hAnsi="Times New Roman"/>
          <w:sz w:val="18"/>
          <w:szCs w:val="18"/>
          <w:color w:val="auto"/>
        </w:rPr>
      </w:pPr>
    </w:p>
    <w:p>
      <w:pPr>
        <w:ind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shall have no obligation whatsoever to determine whether or not such information, documents or reports have been filed pursuant to the “EDGAR” system (or its successor).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Except as provided in the next three succeeding paragraphs, the notes and the indenture may be amended or supplemented with the consent of the holders of a majority in principal amount of the notes of a series then outstanding (including consents obtained in connection with a purchase of, or tender offer or exchange offer for, notes), and any existing default or compliance with the notes of a series or any provision of the indenture as it relates to the notes of a series may be waived with the consent of the holders of a majority in principal amount of the notes of such series then outstanding (including consents obtained in connection with a purchase of, or tender offer or exchange offer for, notes).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consent of each holder of notes affected, an amendment or waiver may not (with respect to any notes held by a non-consenting holder):</w:t>
      </w:r>
    </w:p>
    <w:p>
      <w:pPr>
        <w:spacing w:after="0" w:line="117" w:lineRule="exact"/>
        <w:rPr>
          <w:sz w:val="20"/>
          <w:szCs w:val="20"/>
          <w:color w:val="auto"/>
        </w:rPr>
      </w:pPr>
    </w:p>
    <w:p>
      <w:pPr>
        <w:ind w:left="400" w:hanging="392"/>
        <w:spacing w:after="0"/>
        <w:tabs>
          <w:tab w:leader="none" w:pos="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 or alter the provisions with respect to the redemption of the notes;</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w:t>
      </w:r>
    </w:p>
    <w:p>
      <w:pPr>
        <w:spacing w:after="0" w:line="116" w:lineRule="exact"/>
        <w:rPr>
          <w:rFonts w:ascii="Times New Roman" w:cs="Times New Roman" w:eastAsia="Times New Roman" w:hAnsi="Times New Roman"/>
          <w:sz w:val="18"/>
          <w:szCs w:val="18"/>
          <w:color w:val="auto"/>
        </w:rPr>
      </w:pPr>
    </w:p>
    <w:p>
      <w:pPr>
        <w:ind w:right="180" w:firstLine="8"/>
        <w:spacing w:after="0" w:line="281" w:lineRule="auto"/>
        <w:tabs>
          <w:tab w:leader="none" w:pos="3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interest or premium on the notes (except a rescission of acceleration of the notes by the holders of a majority in aggregate principal amount of the notes and a waiver of the payment default that resulted from such acceleration);</w:t>
      </w:r>
    </w:p>
    <w:p>
      <w:pPr>
        <w:spacing w:after="0" w:line="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notes;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06" w:right="339" w:bottom="1440" w:gutter="0" w:footer="0" w:header="0"/>
        </w:sectPr>
      </w:pPr>
    </w:p>
    <w:bookmarkStart w:id="143" w:name="page144"/>
    <w:bookmarkEnd w:id="143"/>
    <w:p>
      <w:pPr>
        <w:ind w:right="640" w:firstLine="8"/>
        <w:spacing w:after="0" w:line="281" w:lineRule="auto"/>
        <w:tabs>
          <w:tab w:leader="none" w:pos="38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notes to receive payments of principal of or interest or premium on the notes;</w:t>
      </w:r>
    </w:p>
    <w:p>
      <w:pPr>
        <w:spacing w:after="0" w:line="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note; or</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preceding, without the consent of any holder of notes, the Issuers and the trustee may amend or supplement the indenture or the notes:</w:t>
      </w:r>
    </w:p>
    <w:p>
      <w:pPr>
        <w:spacing w:after="0" w:line="117" w:lineRule="exact"/>
        <w:rPr>
          <w:sz w:val="20"/>
          <w:szCs w:val="20"/>
          <w:color w:val="auto"/>
        </w:rPr>
      </w:pPr>
    </w:p>
    <w:p>
      <w:pPr>
        <w:ind w:left="400" w:hanging="392"/>
        <w:spacing w:after="0"/>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mistake or inconsistency;</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70" w:lineRule="exact"/>
        <w:rPr>
          <w:rFonts w:ascii="Times New Roman" w:cs="Times New Roman" w:eastAsia="Times New Roman" w:hAnsi="Times New Roman"/>
          <w:sz w:val="18"/>
          <w:szCs w:val="18"/>
          <w:color w:val="auto"/>
        </w:rPr>
      </w:pPr>
    </w:p>
    <w:p>
      <w:pPr>
        <w:ind w:right="40" w:firstLine="8"/>
        <w:spacing w:after="0" w:line="281" w:lineRule="auto"/>
        <w:tabs>
          <w:tab w:leader="none" w:pos="3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obligations to holders of notes in the case of a merger or consolidation or sale of all or substantially all of the Issuers’ assets;</w:t>
      </w:r>
    </w:p>
    <w:p>
      <w:pPr>
        <w:spacing w:after="0" w:line="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securities depository;</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Gaming Laws, to the extent that such amendment or supplement is not materially adverse to the holders of notes;</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or additional debt securities of any series in accordance with the limitations set forth in the indenture;</w:t>
      </w:r>
    </w:p>
    <w:p>
      <w:pPr>
        <w:spacing w:after="0" w:line="116" w:lineRule="exact"/>
        <w:rPr>
          <w:rFonts w:ascii="Times New Roman" w:cs="Times New Roman" w:eastAsia="Times New Roman" w:hAnsi="Times New Roman"/>
          <w:sz w:val="18"/>
          <w:szCs w:val="18"/>
          <w:color w:val="auto"/>
        </w:rPr>
      </w:pPr>
    </w:p>
    <w:p>
      <w:pPr>
        <w:ind w:firstLine="8"/>
        <w:spacing w:after="0" w:line="265" w:lineRule="auto"/>
        <w:tabs>
          <w:tab w:leader="none" w:pos="3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notes (including to provide for any guarantees of the notes or any collateral securing the notes or any guarantees of the notes) or that does not materially adversely affect the legal rights under the indenture of any such holder;</w:t>
      </w:r>
    </w:p>
    <w:p>
      <w:pPr>
        <w:spacing w:after="0" w:line="6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TIA; or</w:t>
      </w:r>
    </w:p>
    <w:p>
      <w:pPr>
        <w:spacing w:after="0" w:line="116" w:lineRule="exact"/>
        <w:rPr>
          <w:rFonts w:ascii="Times New Roman" w:cs="Times New Roman" w:eastAsia="Times New Roman" w:hAnsi="Times New Roman"/>
          <w:sz w:val="18"/>
          <w:szCs w:val="18"/>
          <w:color w:val="auto"/>
        </w:rPr>
      </w:pPr>
    </w:p>
    <w:p>
      <w:pPr>
        <w:ind w:right="340" w:firstLine="8"/>
        <w:spacing w:after="0" w:line="281" w:lineRule="auto"/>
        <w:tabs>
          <w:tab w:leader="none" w:pos="3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or the notes to any provision of the Description of Notes contained in the 2013 Offering Memorandum or this prospectus supplement as set forth in an officer’s certificate.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may, at their option and at any time, elect to have all of their obligations discharged with respect to any series of the outstanding notes (“Legal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Defeasance”) except for:</w:t>
      </w:r>
    </w:p>
    <w:p>
      <w:pPr>
        <w:spacing w:after="0" w:line="98" w:lineRule="exact"/>
        <w:rPr>
          <w:sz w:val="20"/>
          <w:szCs w:val="20"/>
          <w:color w:val="auto"/>
        </w:rPr>
      </w:pPr>
    </w:p>
    <w:p>
      <w:pPr>
        <w:ind w:right="100" w:firstLine="8"/>
        <w:spacing w:after="0" w:line="281" w:lineRule="auto"/>
        <w:tabs>
          <w:tab w:leader="none" w:pos="38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payments in respect of the principal of or interest or premium on such notes when such payments are due from the trust referred to below;</w:t>
      </w:r>
    </w:p>
    <w:p>
      <w:pPr>
        <w:spacing w:after="0" w:line="54" w:lineRule="exact"/>
        <w:rPr>
          <w:rFonts w:ascii="Times New Roman" w:cs="Times New Roman" w:eastAsia="Times New Roman" w:hAnsi="Times New Roman"/>
          <w:sz w:val="18"/>
          <w:szCs w:val="18"/>
          <w:color w:val="auto"/>
        </w:rPr>
      </w:pPr>
    </w:p>
    <w:p>
      <w:pPr>
        <w:ind w:right="80" w:firstLine="8"/>
        <w:spacing w:after="0" w:line="281" w:lineRule="auto"/>
        <w:tabs>
          <w:tab w:leader="none" w:pos="38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the notes concerning issuing temporary notes, the replacement of mutilated, destroyed, lost or stolen notes and the maintenance of an office or agency for payment and money for security payments held in trust;</w:t>
      </w:r>
    </w:p>
    <w:p>
      <w:pPr>
        <w:spacing w:after="0" w:line="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Issuers’ obligations in connection therewith; and</w:t>
      </w:r>
    </w:p>
    <w:p>
      <w:pPr>
        <w:spacing w:after="0" w:line="11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provisions of the indenture.</w:t>
      </w:r>
    </w:p>
    <w:p>
      <w:pPr>
        <w:spacing w:after="0" w:line="225" w:lineRule="exact"/>
        <w:rPr>
          <w:sz w:val="20"/>
          <w:szCs w:val="20"/>
          <w:color w:val="auto"/>
        </w:rPr>
      </w:pPr>
    </w:p>
    <w:p>
      <w:pPr>
        <w:jc w:val="both"/>
        <w:ind w:right="260"/>
        <w:spacing w:after="0" w:line="272" w:lineRule="auto"/>
        <w:rPr>
          <w:sz w:val="20"/>
          <w:szCs w:val="20"/>
          <w:color w:val="auto"/>
        </w:rPr>
      </w:pPr>
      <w:r>
        <w:rPr>
          <w:rFonts w:ascii="Times New Roman" w:cs="Times New Roman" w:eastAsia="Times New Roman" w:hAnsi="Times New Roman"/>
          <w:sz w:val="17"/>
          <w:szCs w:val="17"/>
          <w:color w:val="auto"/>
        </w:rPr>
        <w:t>In addition, the Issuers may, at their option and at any time, elect to have the obligations of the Issuers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the events described in clauses (1), (2), or</w:t>
      </w:r>
    </w:p>
    <w:p>
      <w:pPr>
        <w:spacing w:after="0" w:line="1" w:lineRule="exact"/>
        <w:rPr>
          <w:sz w:val="20"/>
          <w:szCs w:val="20"/>
          <w:color w:val="auto"/>
        </w:rPr>
      </w:pPr>
    </w:p>
    <w:p>
      <w:pPr>
        <w:ind w:right="160" w:firstLine="8"/>
        <w:spacing w:after="0" w:line="255"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caption “Events of Default” above pertaining to the Issuers) described under the caption “Events of Default” above will no longer constitute an event of default with respect to the notes. The Issuers may exercise Legal Defeasance regardless of whether they previously have exercised Covenant Defeasance.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117" w:lineRule="exact"/>
        <w:rPr>
          <w:sz w:val="20"/>
          <w:szCs w:val="20"/>
          <w:color w:val="auto"/>
        </w:rPr>
      </w:pPr>
    </w:p>
    <w:p>
      <w:pPr>
        <w:ind w:right="20" w:firstLine="8"/>
        <w:spacing w:after="0" w:line="258" w:lineRule="auto"/>
        <w:tabs>
          <w:tab w:leader="none" w:pos="3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must irrevocably deposit with the trustee, in trust, for the benefit of the holders of the series of notes to be defeased, cash in U.S. dollars, non-callable government securities, or a combination of cash in U.S. dollars and non-callable government securities, in amounts as will be sufficient, in the opinion or based on the report of a nationally recognized firm of independent public accountants, investment bank or appraisal firm, to pay the principal of, premium, if any, on and accrued and unpaid interest on the outstanding notes to be defeased on the stated maturity or on a redemption date, as the case may be, and the Issuers must specify whether the notes are being defeased to maturity or to a particular redemption</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998" w:right="359" w:bottom="1440" w:gutter="0" w:footer="0" w:header="0"/>
        </w:sectPr>
      </w:pPr>
    </w:p>
    <w:bookmarkStart w:id="144" w:name="page145"/>
    <w:bookmarkEnd w:id="144"/>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redemption pursuant to “—Redemption-Optional Redemption,” the amount deposited shall be sufficient for purposes of the indenture to the extent that an amount is so deposited with the trustee equal to the redemption amount computed using the Treasury Rate (or the Adjusted Treasury Rate in the case of the 2031 Notes) as of the third business date preceding the date of such deposit with the trustee (or the Deposit Date in the case of the 2031 Notes);</w:t>
      </w:r>
    </w:p>
    <w:p>
      <w:pPr>
        <w:spacing w:after="0" w:line="72" w:lineRule="exact"/>
        <w:rPr>
          <w:sz w:val="20"/>
          <w:szCs w:val="20"/>
          <w:color w:val="auto"/>
        </w:rPr>
      </w:pPr>
    </w:p>
    <w:p>
      <w:pPr>
        <w:ind w:right="60" w:firstLine="8"/>
        <w:spacing w:after="0" w:line="276" w:lineRule="auto"/>
        <w:tabs>
          <w:tab w:leader="none" w:pos="38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Legal Defeasance, the Issuers must have delivered to the trustee an opinion of counsel reasonably acceptable to the trustee confirming that (a) the Issuers have received from, or there has been published by, the Internal Revenue Service a ruling or (b) since the date of the indenture, there has been a change in the applicable United States federal income tax law, in either case to the effect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62" w:lineRule="exact"/>
        <w:rPr>
          <w:rFonts w:ascii="Times New Roman" w:cs="Times New Roman" w:eastAsia="Times New Roman" w:hAnsi="Times New Roman"/>
          <w:sz w:val="17"/>
          <w:szCs w:val="17"/>
          <w:color w:val="auto"/>
        </w:rPr>
      </w:pPr>
    </w:p>
    <w:p>
      <w:pPr>
        <w:ind w:right="20" w:firstLine="8"/>
        <w:spacing w:after="0" w:line="260" w:lineRule="auto"/>
        <w:tabs>
          <w:tab w:leader="none" w:pos="3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Issuers must have delivered to the trustee an opinion of counsel reasonably acceptable to the trustee confirming that the holders of the outstanding notes will not recognize income, gain or loss for United States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3" w:lineRule="exact"/>
        <w:rPr>
          <w:rFonts w:ascii="Times New Roman" w:cs="Times New Roman" w:eastAsia="Times New Roman" w:hAnsi="Times New Roman"/>
          <w:sz w:val="18"/>
          <w:szCs w:val="18"/>
          <w:color w:val="auto"/>
        </w:rPr>
      </w:pPr>
    </w:p>
    <w:p>
      <w:pPr>
        <w:ind w:right="460" w:firstLine="8"/>
        <w:spacing w:after="0" w:line="265" w:lineRule="auto"/>
        <w:tabs>
          <w:tab w:leader="none" w:pos="3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on the date of such deposit (other than a default or event of default resulting from transactions occurring contemporaneously with the borrowing of funds, or the borrowing of funds, to be applied to such deposit or other Indebtedness which is being Discharged and, in each case, the granting of Liens in connection therewith);</w:t>
      </w:r>
    </w:p>
    <w:p>
      <w:pPr>
        <w:spacing w:after="0" w:line="69" w:lineRule="exact"/>
        <w:rPr>
          <w:rFonts w:ascii="Times New Roman" w:cs="Times New Roman" w:eastAsia="Times New Roman" w:hAnsi="Times New Roman"/>
          <w:sz w:val="18"/>
          <w:szCs w:val="18"/>
          <w:color w:val="auto"/>
        </w:rPr>
      </w:pPr>
    </w:p>
    <w:p>
      <w:pPr>
        <w:ind w:right="120" w:firstLine="8"/>
        <w:spacing w:after="0" w:line="265" w:lineRule="auto"/>
        <w:tabs>
          <w:tab w:leader="none" w:pos="3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the indenture or any agreement or instrument governing any other Indebtedness which is being Discharged) to which the Issuers are a party or by which the Issuers are bound;</w:t>
      </w:r>
    </w:p>
    <w:p>
      <w:pPr>
        <w:spacing w:after="0" w:line="69" w:lineRule="exact"/>
        <w:rPr>
          <w:rFonts w:ascii="Times New Roman" w:cs="Times New Roman" w:eastAsia="Times New Roman" w:hAnsi="Times New Roman"/>
          <w:sz w:val="18"/>
          <w:szCs w:val="18"/>
          <w:color w:val="auto"/>
        </w:rPr>
      </w:pPr>
    </w:p>
    <w:p>
      <w:pPr>
        <w:ind w:right="260" w:firstLine="8"/>
        <w:spacing w:after="0" w:line="265" w:lineRule="auto"/>
        <w:tabs>
          <w:tab w:leader="none" w:pos="3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must deliver to the trustee an officer’s certificate stating that the deposit was not made by the Issuers with the intent of preferring the holders of notes over the other creditors of the Issuers or with the intent of defeating, hindering, delaying or defrauding creditors of the Issuers or others; and</w:t>
      </w:r>
    </w:p>
    <w:p>
      <w:pPr>
        <w:spacing w:after="0" w:line="69" w:lineRule="exact"/>
        <w:rPr>
          <w:rFonts w:ascii="Times New Roman" w:cs="Times New Roman" w:eastAsia="Times New Roman" w:hAnsi="Times New Roman"/>
          <w:sz w:val="18"/>
          <w:szCs w:val="18"/>
          <w:color w:val="auto"/>
        </w:rPr>
      </w:pPr>
    </w:p>
    <w:p>
      <w:pPr>
        <w:ind w:right="120" w:firstLine="8"/>
        <w:spacing w:after="0" w:line="281" w:lineRule="auto"/>
        <w:tabs>
          <w:tab w:leader="none" w:pos="3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63"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The Legal Defeasance or Covenant Defeasance will be effective on the day on which all the applicable conditions above have been satisfied. Upon compliance with the foregoing, the trustee shall execute proper instrument(s) acknowledging such Legal Defeasance or Covenant Defeasance.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will be discharged and will cease to be of further effect as to all notes issued thereunder, when:</w:t>
      </w:r>
    </w:p>
    <w:p>
      <w:pPr>
        <w:spacing w:after="0" w:line="117" w:lineRule="exact"/>
        <w:rPr>
          <w:sz w:val="20"/>
          <w:szCs w:val="20"/>
          <w:color w:val="auto"/>
        </w:rPr>
      </w:pPr>
    </w:p>
    <w:p>
      <w:pPr>
        <w:ind w:left="400" w:hanging="392"/>
        <w:spacing w:after="0"/>
        <w:tabs>
          <w:tab w:leader="none" w:pos="4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6" w:lineRule="exact"/>
        <w:rPr>
          <w:rFonts w:ascii="Times New Roman" w:cs="Times New Roman" w:eastAsia="Times New Roman" w:hAnsi="Times New Roman"/>
          <w:sz w:val="18"/>
          <w:szCs w:val="18"/>
          <w:color w:val="auto"/>
        </w:rPr>
      </w:pPr>
    </w:p>
    <w:p>
      <w:pPr>
        <w:ind w:left="660" w:right="340" w:hanging="5"/>
        <w:spacing w:after="0" w:line="265" w:lineRule="auto"/>
        <w:tabs>
          <w:tab w:leader="none" w:pos="103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been authenticated, except lost, stolen or destroyed notes that have been replaced or paid and notes for whose payment money has been deposited in trust and, if provided for in the indenture, thereafter repaid to the Issuers, have been delivered to the trustee for cancellation; or</w:t>
      </w:r>
    </w:p>
    <w:p>
      <w:pPr>
        <w:spacing w:after="0" w:line="69"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not been delivered to the trustee for cancellation have become due and payable by reason of the mailing of a notice of</w:t>
      </w:r>
    </w:p>
    <w:p>
      <w:pPr>
        <w:spacing w:after="0" w:line="27" w:lineRule="exact"/>
        <w:rPr>
          <w:rFonts w:ascii="Times New Roman" w:cs="Times New Roman" w:eastAsia="Times New Roman" w:hAnsi="Times New Roman"/>
          <w:sz w:val="18"/>
          <w:szCs w:val="18"/>
          <w:color w:val="auto"/>
        </w:rPr>
      </w:pPr>
    </w:p>
    <w:p>
      <w:pPr>
        <w:ind w:left="6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redemption or otherwise or will become due and payable within one year and the Issuers have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and unpaid interest to, but not including, the date of maturity or redemption;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the 2031 Notes, 2030 Notes and 2024 Notes, in the event that any portion of the trust funds so deposited consist of non-callable government securities, the sufficiency of such trust funds shall be determined based upon the opinion or the report of a nationally recognized firm of independent public accountants, investment bank or appraisal firm;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with respect to any redemption pursuant to “-Redemption-Optional Redemption,” the amount deposited shall be sufficient for purposes of the indenture to the extent that an amount is so deposited with the trustee equal to the redemption amount computed using the Treasury Rate (or the Adjusted Treasury Rate in the case of the 2031 Notes) as of the third business date preceding the date of such deposit with the trustee (or the date of such deposit with the trustee, including any such deposit in connection with a Legal or</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996" w:right="339" w:bottom="1440" w:gutter="0" w:footer="0" w:header="0"/>
        </w:sectPr>
      </w:pPr>
    </w:p>
    <w:bookmarkStart w:id="145" w:name="page146"/>
    <w:bookmarkEnd w:id="145"/>
    <w:p>
      <w:pPr>
        <w:ind w:left="660" w:right="60"/>
        <w:spacing w:after="0" w:line="281" w:lineRule="auto"/>
        <w:rPr>
          <w:sz w:val="20"/>
          <w:szCs w:val="20"/>
          <w:color w:val="auto"/>
        </w:rPr>
      </w:pPr>
      <w:r>
        <w:rPr>
          <w:rFonts w:ascii="Times New Roman" w:cs="Times New Roman" w:eastAsia="Times New Roman" w:hAnsi="Times New Roman"/>
          <w:sz w:val="18"/>
          <w:szCs w:val="18"/>
          <w:color w:val="auto"/>
        </w:rPr>
        <w:t>Covenant Defeasance described above under "—Legal Defeasance and Covenant Defeasance" in the case of the 2031 Notes) (the date of any such deposit, a “Deposit Date”);</w:t>
      </w:r>
    </w:p>
    <w:p>
      <w:pPr>
        <w:spacing w:after="0" w:line="55" w:lineRule="exact"/>
        <w:rPr>
          <w:sz w:val="20"/>
          <w:szCs w:val="20"/>
          <w:color w:val="auto"/>
        </w:rPr>
      </w:pPr>
    </w:p>
    <w:p>
      <w:pPr>
        <w:ind w:left="400" w:hanging="392"/>
        <w:spacing w:after="0"/>
        <w:tabs>
          <w:tab w:leader="none" w:pos="4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paid or caused to be paid all other sums then payable by it under the indenture; and</w:t>
      </w:r>
    </w:p>
    <w:p>
      <w:pPr>
        <w:spacing w:after="0" w:line="116" w:lineRule="exact"/>
        <w:rPr>
          <w:rFonts w:ascii="Times New Roman" w:cs="Times New Roman" w:eastAsia="Times New Roman" w:hAnsi="Times New Roman"/>
          <w:sz w:val="18"/>
          <w:szCs w:val="18"/>
          <w:color w:val="auto"/>
        </w:rPr>
      </w:pPr>
    </w:p>
    <w:p>
      <w:pPr>
        <w:ind w:right="180" w:firstLine="8"/>
        <w:spacing w:after="0" w:line="281" w:lineRule="auto"/>
        <w:tabs>
          <w:tab w:leader="none" w:pos="3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delivered irrevocable written instructions to the trustee under the indenture to apply the deposited money toward the payment of the notes at maturity or the redemption date, as the case may be.</w:t>
      </w:r>
    </w:p>
    <w:p>
      <w:pPr>
        <w:spacing w:after="0" w:line="16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In addition, the Issuers must deliver an officer’s certificate and an opinion of counsel to the trustee stating that all conditions precedent to satisfaction and discharge have been satisfied.</w:t>
      </w:r>
    </w:p>
    <w:p>
      <w:pPr>
        <w:spacing w:after="0" w:line="163"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Upon compliance with the foregoing, the trustee shall execute proper instrument(s) acknowledging the satisfaction and discharge of all of the Issuers’ obligations under the notes and the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direct or indirect partner, member or stockholder, past, present or future, of the Issuers, the Guarantor or any successor entity, as such, will have any liability for any obligations of the Issuers or the Guarantor under the notes or the indenture or in the case of the 2023 Notes, the Registration Rights Agreement,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Forms and Denomination</w:t>
      </w:r>
    </w:p>
    <w:p>
      <w:pPr>
        <w:spacing w:after="0" w:line="12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The notes are issued as permanent global securities in the name of a nominee of DTC and in the case of the 2023 Notes, are available only in book-entry form except in certain limited circumstances. The notes are issued in fully registered form without coupons and are available for purchase only in denominations of $2,000 and in integral multiples of $1,000 in excess thereof.</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notes will be governed by and construed in accordance with the laws of the State of New York.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If the trustee becomes a creditor of the Issuers or the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or resign.</w:t>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then outstanding applicable series of notes will have the right to direct the time, method and place of conducting any proceeding for exercising any remedy available to the trustee with respect to such series of notes, subject to certain exceptions. The indenture provides that in case an event of default occurs and is continuing, the trustee will be required, in the exercise of its power, to use the degree of care of a prudent person in the conduct of such person’s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case the of 2031 Notes, 2030 Notes and 2024 Notes, the trustee shall be entitled to make a deduction or withholding from any payment which it makes under the indenture for or on account of any present or future taxes, duties or charges if and to the extent so required by any applicable law and any current or future regulations or agreements thereunder or official interpretations thereof or any law implementing an intergovernmental approach thereto or by virtue of the relevant holder failing to satisfy any certification or other requirements in respect of the notes, in which event the trustee shall make such payment after such withholding or deduction has been made and shall account to the relevant authorities for the amount so withheld or deducted and shall have no obligation to gross up any payment hereunder or pay any additional amount as a result of such withholding tax. In connection with any proposed exchange of a certificated note for a global note interest, the Issuers or DTC shall be required to use commercially reasonable efforts to provide or cause to be provided to the trustee all information reasonably requested by the trustee that is necessary to allow the trustee to comply with any applicable tax reporting obligations, including, in the case of the 2031 Notes, 2030 Notes and 2024 Notes, without limitation, any cost basis reporting</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998" w:right="339" w:bottom="1440" w:gutter="0" w:footer="0" w:header="0"/>
        </w:sectPr>
      </w:pPr>
    </w:p>
    <w:bookmarkStart w:id="146" w:name="page147"/>
    <w:bookmarkEnd w:id="146"/>
    <w:p>
      <w:pPr>
        <w:ind w:right="120"/>
        <w:spacing w:after="0" w:line="281" w:lineRule="auto"/>
        <w:rPr>
          <w:sz w:val="20"/>
          <w:szCs w:val="20"/>
          <w:color w:val="auto"/>
        </w:rPr>
      </w:pPr>
      <w:r>
        <w:rPr>
          <w:rFonts w:ascii="Times New Roman" w:cs="Times New Roman" w:eastAsia="Times New Roman" w:hAnsi="Times New Roman"/>
          <w:sz w:val="18"/>
          <w:szCs w:val="18"/>
          <w:color w:val="auto"/>
        </w:rPr>
        <w:t>obligations under Section 6045 of the Code. The trustee shall be entitled to rely on the information provided to it and shall have no responsibility to verify or ensure the accuracy of such information.</w:t>
      </w:r>
    </w:p>
    <w:p>
      <w:pPr>
        <w:spacing w:after="0" w:line="16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Wells Fargo Bank, National Association, in addition to serving as trustee under the indenture, is one of the lenders under the Credit Facility, and such credit facility includes outstanding debt which is to be retired at least in part with proceeds from this transaction. Wells Fargo Securities, LLC, an affiliate of the trustee, is one of the underwriters. We currently have a business relationship, and may from time to time conduct other banking transactions including lending transactions or maintaining deposit accounts, with Wells Fargo Bank, National Association in the ordinary course of business.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Provisions of Pennsylvania Law and GLPI’s Articles of Incorporation and Bylaws and Other Governance Documents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Size of Board and Vacancies; Removal of Directors</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Pursuant to GLPI’s Articles of Incorporation, each member of GLPI’s board of directors is elected until the next annual meeting of shareholders and until his or her successor is elected or until his or her earlier death, resignation or removal, with the current members’ terms expiring at the annual meeting of shareholders to be held in 2020. At any meeting of shareholders for the uncontested election of directors at which a quorum is present, the election will be determined by a majority of the votes cast by the shareholders entitled to vote in the election.</w:t>
      </w:r>
    </w:p>
    <w:p>
      <w:pPr>
        <w:spacing w:after="0" w:line="18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GLPI’s board of directors has seven directors. The Bylaws provide that the number of directors on GLPI’s board of directors will be fixed exclusively by the board of directors. Subject to the rights of holders of any stock having preference over the common stock to elect additional directors, newly created directorships resulting from any increase in the number of directors and any vacancies in the board of directors resulting from death, resignation, retirement, disqualification, removal from office or other cause will be filled by the majority vote of the remaining directors in office, even if less than a quorum is present.</w:t>
      </w:r>
    </w:p>
    <w:p>
      <w:pPr>
        <w:spacing w:after="0" w:line="1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Subject to the rights of any stock having preference over the common stock to elect directors, the Bylaws provide that a director may be removed only for cause (as defined in the Bylaws) by the affirmative vote of: (i) a majority of the entire GLPI board of directors (not including the director whose removal is being considered); or (ii) 75% of the votes cast by the holders of shares entitled to vote generally in the election of directors. In addition, under</w:t>
      </w:r>
    </w:p>
    <w:p>
      <w:pPr>
        <w:spacing w:after="0" w:line="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Section 1726(c) of the Pennsylvania Business Corporation Law, or the PBCL, a court may remove a director upon application in a derivative suit in cases of fraudulent or dishonest acts, gross abuse of authority or discretion, or for any other proper cause. Section 1726(a)(4) of the PBCL also provides that the board of directors may be removed at any time with or without cause by the unanimous vote or written consents of the shareholders entitled to vote thereon.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Pennsylvania State Takeover Statutes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corporation.</w:t>
      </w:r>
    </w:p>
    <w:p>
      <w:pPr>
        <w:spacing w:after="0" w:line="1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by the controlling person or group during the 90-day period prior to the control transaction, plus a control premium. Among other exceptions, shares acquired directly from the corporation in a transaction exempt from the registration requirements of the Securities Act of 1933, are not counted towards the determination of whether the 20% share ownership threshold has been met for purposes of Subchapter 25E.</w:t>
      </w:r>
    </w:p>
    <w:p>
      <w:pPr>
        <w:spacing w:after="0" w:line="18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Subchapter 25F of the PBCL generally establishes a 5-year moratorium on a “business combination” with an “interested shareholder.” “Interested shareholder” is defined generally to be any beneficial owner of 20% or more of the corporation’s voting stock. “Business combination” is defined broadly to include mergers, consolidations, asset sales and certain self-dealing transactions. Certain restrictions apply to a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spacing w:after="0" w:line="18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Subchapter 25G of the PBCL provides that “control shares” lose voting rights unless such rights are restored by the affirmative vote of a majority of (i) the disinterested shares (generally, shares held by persons other than the acquiror, executive officers of</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106" w:right="359" w:bottom="1440" w:gutter="0" w:footer="0" w:header="0"/>
        </w:sectPr>
      </w:pPr>
    </w:p>
    <w:bookmarkStart w:id="147" w:name="page148"/>
    <w:bookmarkEnd w:id="147"/>
    <w:p>
      <w:pPr>
        <w:ind w:right="40"/>
        <w:spacing w:after="0" w:line="256" w:lineRule="auto"/>
        <w:rPr>
          <w:sz w:val="20"/>
          <w:szCs w:val="20"/>
          <w:color w:val="auto"/>
        </w:rPr>
      </w:pPr>
      <w:r>
        <w:rPr>
          <w:rFonts w:ascii="Times New Roman" w:cs="Times New Roman" w:eastAsia="Times New Roman" w:hAnsi="Times New Roman"/>
          <w:sz w:val="18"/>
          <w:szCs w:val="18"/>
          <w:color w:val="auto"/>
        </w:rPr>
        <w:t>the corporation and certain employee stock plans) and (ii) the outstanding voting shares of the corporation. “Control shares” are defined as shares which, upon acquisition, will result in a person or group acquiring for the first time voting control over (a) 20%, (b) 33 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w:t>
      </w:r>
    </w:p>
    <w:p>
      <w:pPr>
        <w:spacing w:after="0" w:line="18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Subchapter 25H of the PBCL provides that if any person or group publicly discloses that the person or group may acquire control of the corporation, or a person or group acquires, or publicly discloses an offer or intent to acquire, 20% or more of the voting power of the corporation and, in either case, sells shares in the following 18 months, then the profits from such sale must be disgorged to the corporation if the securities that were sold were acquired during the 18-month period or within the preceding 24 months.</w:t>
      </w:r>
    </w:p>
    <w:p>
      <w:pPr>
        <w:spacing w:after="0" w:line="18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If shareholders approve a control share acquisition under Subchapter 25G, the corporation is also subject to Subchapters 25I and 25J of the PBCL. Subchapter 25I provides for a minimum severance payment to certain employees terminated within two years of the approval. Subchapter 25J prohibits the abrogation of certain labor contracts prior to their stated date of expiration.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GLPI’s Articles of Incorporation and Bylaws and Approval of Extraordinary Actions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Pennsylvania law and the Articles of Incorporation generally provide that GLPI can amend its Articles of Incorporation, merge, consolidate, sell all or substantially all of our assets, engage in a statutory share exchange or dissolve if the action has first been approved by the board of directors and then by the affirmative vote of a majority of the votes cast by all shareholders entitled to vote on the matter. The Articles of Incorporation also provide that the amendment or repeal of any Articles of Incorporation provision concerning the indemnification or limitation of liability of GLPI’s directors will require the affirmative vote of at least 75% of the voting power of all of its outstanding capital stock entitled to vote generally in the election of directors, voting together as a single class. Pennsylvania law provides that GLPI’s shareholders are not entitled by statute to propose amendments to the Articles of Incorporation or to call special meetings of shareholders.</w:t>
      </w:r>
    </w:p>
    <w:p>
      <w:pPr>
        <w:spacing w:after="0" w:line="18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GLPI’s board of directors is authorized to adopt, amend or repeal any provision of the bylaws without shareholder approval. Except as otherwise required by law, any provision of the Bylaws may only be adopted, amended or repealed by the shareholders (i) upon receiving at least 75% of the votes cast by the holders of shares entitled to vote thereon or (ii) in the event that the amendment has been proposed by a majority of the board of directors, upon receiving a majority of the votes cast by the holders of shares entitled to vote thereon.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Under the PBCL, shareholders will be not entitled to call special meetings of shareholders. Only the chairman of the board of directors or a majority of the directors then in office may call such meetings pursuant to the Bylaws.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 Consent</w:t>
      </w:r>
    </w:p>
    <w:p>
      <w:pPr>
        <w:spacing w:after="0" w:line="121"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Under the PBCL, any action required to be taken or which may be taken at any annual or special meeting of the shareholders may be taken without a meeting if, and only if, prior to the taking of such action, all shareholders entitled to vote thereon consent in writing to such action being taken.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Shareholder Nominations and Proposals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Bylaws contain advance notice procedures with respect to shareholder proposals and recommendations of candidates for election as directors other than nominations made by or at the direction of the board of directors or a committee of the board of directors. In particular, shareholders must notify the corporate secretary in writing prior to the meeting at which the matters are to be acted upon or directors are to be elected. The notice must contain the information specified in the Bylaws. To be timely, the notice must be received at GLPI’s principal executive office not less than 120 nor more than 150 days prior to the anniversary date of the immediately preceding annual meeting of shareholders. In order to be eligible to present a shareholder proposal or recommend a candidate for nomination for election as a director at a shareholders meeting, a shareholder must have owned beneficially at least 1% of the outstanding GLPI common stock for a continuous period of not less than 12 months. In addition, shareholders will not be permitted to nominate directly candidates for election to the board of directors, but will instead be permitted to recommend potential nominees to the compensation and governance committee.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0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Effect of Certain Provisions of Pennsylvania Law and of the Articles of Incorporation and Bylaws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restrictions on ownership and transfer of GLPI stock will prohibit any person from acquiring more than 7% of its outstanding common stock (without prior approval of GLPI’s board of directors). The power of GLPI’s board of directors to issue authorized but unissued shares of our common stock and preferred stock without shareholder approval also could have the effect of delaying, deferring or preventing a change in control or other transaction. These additional shares may be used for a variety of corporate purposes, including future public offerings to raise additional capital, corporate acquisitions and employee benefit plans. The existence of authorized but unissued shares of common stock and preferred stock could make it more difficult, or discourage an attempt, to obtain control of us by means of a proxy contest, tender offer, merger or otherwise.</w:t>
      </w:r>
    </w:p>
    <w:p>
      <w:pPr>
        <w:spacing w:after="0" w:line="18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These provisions, along with other provisions of the PBCL and the Articles of Incorporation and Bylaws discussed above, including provisions relating to the removal of directors and the filling of vacancies, the advance notice and special meeting provisions, alone or in combination, are designed to protect GLPI’s shareholders from coercive or otherwise unfair takeover tactics by requiring potential acquirors to negotiate with GLPI’s board of directors and by providing GLPI’s board of directors with more time to assess any acquisition proposal.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Rights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the PBCL authorizes a corporation to adopt a shareholder rights plan, GLPI does not have a shareholder rights plan currently in effect.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PBCL permits a corporation to indemnify any person who was or is a party or is threatened to be made a party to any threatened, pending or completed action or proceeding, whether civil, criminal, administrative or investigative (other than an action by or in the right of the corporation), by reason of the fact that he is or was a representative of the corporation, against expenses (including attorneys’ fees), judgments, fines and amounts paid in settlement actually and reasonably incurred by him in connection with the action or proceeding if he acted in good faith and in a manner he reasonably believed to be in, or not opposed to, the best interests of the corporation, and with respect to any criminal proceeding, had no reasonable cause to believe his conduct was unlawful. In an action by or in the right of the corporation, indemnification will not be made in respect of any claim, issue, or matter as to which the person has been adjudged to be liable to the corporation.</w:t>
      </w:r>
    </w:p>
    <w:p>
      <w:pPr>
        <w:spacing w:after="0" w:line="187" w:lineRule="exact"/>
        <w:rPr>
          <w:sz w:val="20"/>
          <w:szCs w:val="20"/>
          <w:color w:val="auto"/>
        </w:rPr>
      </w:pPr>
    </w:p>
    <w:p>
      <w:pPr>
        <w:jc w:val="both"/>
        <w:ind w:right="220"/>
        <w:spacing w:after="0" w:line="288" w:lineRule="auto"/>
        <w:rPr>
          <w:sz w:val="20"/>
          <w:szCs w:val="20"/>
          <w:color w:val="auto"/>
        </w:rPr>
      </w:pPr>
      <w:r>
        <w:rPr>
          <w:rFonts w:ascii="Times New Roman" w:cs="Times New Roman" w:eastAsia="Times New Roman" w:hAnsi="Times New Roman"/>
          <w:sz w:val="17"/>
          <w:szCs w:val="17"/>
          <w:color w:val="auto"/>
        </w:rPr>
        <w:t>Unless ordered by a court, the determination of whether indemnification is proper in a specific case will be determined by (1) the board of directors by a majority vote of a quorum consisting of directors who were not parties to the action or proceeding; (2) if such a quorum is not obtainable or if obtainable and a majority vote of a quorum of disinterested directors so directs, by independent legal counsel in a written opinion; or (3) by the shareholders.</w:t>
      </w:r>
    </w:p>
    <w:p>
      <w:pPr>
        <w:spacing w:after="0" w:line="159"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color w:val="auto"/>
        </w:rPr>
        <w:t>To the extent that a representative of a business corporation has been successful on the merits or otherwise in defense of a third-party action, derivative action, or corporate action, he must be indemnified against expenses (including attorneys’ fees) actually and reasonably incurred by him in connection therewith.</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Pennsylvania law permits a corporation to purchase and maintain insurance for a director or officer against any liability asserted against him, and incurred in his capacity as a director or officer or arising out of his position, whether or not the corporation would have the power to indemnify him against such liability under Pennsylvania law.</w:t>
      </w:r>
    </w:p>
    <w:p>
      <w:pPr>
        <w:spacing w:after="0" w:line="17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Articles of Incorporation and Bylaws provide that a director shall, to the maximum extent permitted by Pennsylvania law, have no personal liability or monetary damages for any action taken, or any failure to take any action as a director. The Articles of Incorporation and Bylaws also provide for indemnification for current and former directors, officers, employees, or agents serving at the request of the corporation to the fullest extent permitted by Pennsylvania law. The Articles of Incorporation and Bylaws also permit the advancement of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Partnership Agreement of the Operating Partnership</w:t>
      </w:r>
    </w:p>
    <w:p>
      <w:pPr>
        <w:spacing w:after="0" w:line="12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7"/>
          <w:szCs w:val="17"/>
          <w:color w:val="auto"/>
        </w:rPr>
        <w:t>The Operating Partnership was organized as a Pennsylvania limited partnership on March 12, 2013. The partnership agreement was entered into on March 13, 2013 by and between GLP Capital Partners, LLC, as a limited partner, and GLPI, as the general partner. Pursuant to the partnership agreement, as the general partner of the Operating Partnership, GLPI has full, exclusive and complete responsibility and discretion in the management and control of the Operating Partnership and has the power to bind the Operating Partnership in the act of carrying on the business of the Operating Partnership.</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210" w:right="359" w:bottom="1440" w:gutter="0" w:footer="0" w:header="0"/>
        </w:sectPr>
      </w:pPr>
    </w:p>
    <w:bookmarkStart w:id="149" w:name="page150"/>
    <w:bookmarkEnd w:id="149"/>
    <w:p>
      <w:pPr>
        <w:spacing w:after="0" w:line="265" w:lineRule="auto"/>
        <w:rPr>
          <w:sz w:val="20"/>
          <w:szCs w:val="20"/>
          <w:color w:val="auto"/>
        </w:rPr>
      </w:pPr>
      <w:r>
        <w:rPr>
          <w:rFonts w:ascii="Times New Roman" w:cs="Times New Roman" w:eastAsia="Times New Roman" w:hAnsi="Times New Roman"/>
          <w:sz w:val="18"/>
          <w:szCs w:val="18"/>
          <w:color w:val="auto"/>
        </w:rPr>
        <w:t>GLPI may not, without the consent of the limited partner, sell, assign, transfer, give, donate, pledge, deposit, alienate, bequeath, devise or otherwise dispose of or encumber to any person other than the Operating Partnership, all or any portion of its interest in the Operating Partnership except (i) by operation of law, (ii) to a receiver or trustee in bankruptcy for GLPI or (iii) to any wholly owned affiliate of GLPI.</w:t>
      </w:r>
    </w:p>
    <w:p>
      <w:pPr>
        <w:spacing w:after="0" w:line="17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partnership agreement provides that the Operating Partnership will make distributions out of funds legally available therefor, at such time and in such amounts as determined by GLPI in its sole discretion, to GLPI and the limited partner in accordance with their respective percentage interests in the Operating Partnership.</w:t>
      </w:r>
    </w:p>
    <w:p>
      <w:pPr>
        <w:spacing w:after="0" w:line="17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Upon liquidation of the Operating Partnership, after payment of, or adequate provision for, debts and liabilities of the Operating Partnership, any remaining assets of the Operating Partnership will be distributed to GLPI and the limited partner in accordance with their respective percentage interests.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Partnership will have perpetual existence, or until sooner dissolved upon:</w:t>
      </w:r>
    </w:p>
    <w:p>
      <w:pPr>
        <w:spacing w:after="0" w:line="225" w:lineRule="exact"/>
        <w:rPr>
          <w:sz w:val="20"/>
          <w:szCs w:val="20"/>
          <w:color w:val="auto"/>
        </w:rPr>
      </w:pPr>
    </w:p>
    <w:p>
      <w:pPr>
        <w:ind w:left="660" w:hanging="329"/>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Operating Partnership’s assets and properties;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agreement of the partners to effect such dissolution; or</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any order of judicial dissolution under Section 8681(a)(6) of the Pennsylvania Uniform Limited Partnership Act of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106" w:right="37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Subsidiaries of Gaming and Leisure Properties, Inc. (a Pennsylvania corporation)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0" w:type="dxa"/>
            <w:vAlign w:val="bottom"/>
          </w:tcPr>
          <w:p>
            <w:pPr>
              <w:spacing w:after="0"/>
              <w:rPr>
                <w:sz w:val="1"/>
                <w:szCs w:val="1"/>
                <w:color w:val="auto"/>
              </w:rPr>
            </w:pPr>
          </w:p>
        </w:tc>
      </w:tr>
      <w:tr>
        <w:trPr>
          <w:trHeight w:val="135"/>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680" w:type="dxa"/>
            <w:vAlign w:val="bottom"/>
          </w:tcPr>
          <w:p>
            <w:pPr>
              <w:ind w:left="400"/>
              <w:spacing w:after="0" w:line="135"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88"/>
        </w:trPr>
        <w:tc>
          <w:tcPr>
            <w:tcW w:w="7940" w:type="dxa"/>
            <w:vAlign w:val="bottom"/>
            <w:gridSpan w:val="2"/>
            <w:vMerge w:val="continue"/>
          </w:tcPr>
          <w:p>
            <w:pPr>
              <w:spacing w:after="0"/>
              <w:rPr>
                <w:sz w:val="16"/>
                <w:szCs w:val="16"/>
                <w:color w:val="auto"/>
              </w:rPr>
            </w:pPr>
          </w:p>
        </w:tc>
        <w:tc>
          <w:tcPr>
            <w:tcW w:w="16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223"/>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CCR PA Racing, LLC</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GLP Capital Partners, LLC</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GLP Capital, L.P.</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GLP Holdings, Inc.</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GLP Financing I, LLC</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GLP Financing II, Inc.</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GLP Midwest Properties I, LLC</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Gold Merger Sub, LLC</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Louisiana Casino Cruises, Inc. (d/b/a Hollywood Casino Baton Rouge)</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Morgantown Real Property, LLC</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 Meadows, LLC</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 Cecil Maryland, Inc. (d/b/a Hollywood Casino Perryville)</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 Inlet Properties, LLC</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Tropicana LV, LLC</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WTA II, LLC</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420"/>
          </w:cols>
          <w:pgMar w:left="1140" w:top="886"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22.1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Subsidiary Issuers of Guaranteed Securities</w:t>
      </w:r>
    </w:p>
    <w:p>
      <w:pPr>
        <w:spacing w:after="0" w:line="1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2"/>
          <w:szCs w:val="22"/>
          <w:color w:val="auto"/>
        </w:rPr>
        <w:t>The following subsidiaries of Gaming and Leisure Properties, Inc. (the “Company”) were, as of December 31, 2020, issuers of the (i) $500 million 5.375% senior unsecured notes due November 2023, (ii) $400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(vii) $700 million 4.00% senior unsecured notes due January 2030 and (viii) $700 million 4.000% senior unsecured notes due January 2031, each guaranteed by the Company:</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55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Jurisdiction of Incorporation or Formation</w:t>
            </w:r>
          </w:p>
        </w:tc>
      </w:tr>
      <w:tr>
        <w:trPr>
          <w:trHeight w:val="263"/>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GLP Capital, L.P.</w:t>
            </w: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Pennsylvania</w:t>
            </w:r>
          </w:p>
        </w:tc>
      </w:tr>
      <w:tr>
        <w:trPr>
          <w:trHeight w:val="263"/>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GLP Financing II, Inc.</w:t>
            </w:r>
          </w:p>
        </w:tc>
        <w:tc>
          <w:tcPr>
            <w:tcW w:w="5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Delaware</w:t>
            </w:r>
          </w:p>
        </w:tc>
      </w:tr>
    </w:tbl>
    <w:p>
      <w:pPr>
        <w:sectPr>
          <w:pgSz w:w="11900" w:h="16838" w:orient="portrait"/>
          <w:cols w:equalWidth="0" w:num="1">
            <w:col w:w="11240"/>
          </w:cols>
          <w:pgMar w:left="320" w:top="1416"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our reports dated February 19, 2021, relating to the consolidated financial statements and financial statement schedules of Gaming and Leisure Properties, Inc. and Subsidiaries, and the effectiveness of Gaming and Leisure Properties, Inc. and Subsidiaries’ internal control over financial reporting, appearing in this Annual Report on Form 10-K of Gaming and Leisure Properties, Inc. and Subsidiaries for the year ended December 31, 2020:</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Statement No. 333-233213 on Form S-3</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Amendment No. 4 to Registration Statement No. 333-206649 on Form S-4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Amendment No. 1 to Registration Statement No. 333-196662 on Form S-4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Statement No. 333-192017 on Form S-8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Statement No. 333-249523 on Form S-8</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ectPr>
          <w:pgSz w:w="11900" w:h="16838" w:orient="portrait"/>
          <w:cols w:equalWidth="0" w:num="1">
            <w:col w:w="11240"/>
          </w:cols>
          <w:pgMar w:left="320" w:top="886"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Gaming and Leisure Properties, Inc.;</w:t>
      </w:r>
    </w:p>
    <w:p>
      <w:pPr>
        <w:spacing w:after="0" w:line="224" w:lineRule="exact"/>
        <w:rPr>
          <w:rFonts w:ascii="Times New Roman" w:cs="Times New Roman" w:eastAsia="Times New Roman" w:hAnsi="Times New Roman"/>
          <w:sz w:val="18"/>
          <w:szCs w:val="18"/>
          <w:color w:val="auto"/>
        </w:rPr>
      </w:pPr>
    </w:p>
    <w:p>
      <w:pPr>
        <w:ind w:right="100" w:firstLine="8"/>
        <w:spacing w:after="0" w:line="312" w:lineRule="auto"/>
        <w:tabs>
          <w:tab w:leader="none" w:pos="679"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60" w:firstLine="8"/>
        <w:spacing w:after="0" w:line="281" w:lineRule="auto"/>
        <w:tabs>
          <w:tab w:leader="none" w:pos="67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60" w:firstLine="8"/>
        <w:spacing w:after="0" w:line="281" w:lineRule="auto"/>
        <w:tabs>
          <w:tab w:leader="none" w:pos="67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right="380" w:firstLine="655"/>
        <w:spacing w:after="0" w:line="265" w:lineRule="auto"/>
        <w:tabs>
          <w:tab w:leader="none" w:pos="132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right="40" w:firstLine="655"/>
        <w:spacing w:after="0" w:line="265" w:lineRule="auto"/>
        <w:tabs>
          <w:tab w:leader="none" w:pos="103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right="240" w:firstLine="655"/>
        <w:spacing w:after="0" w:line="281" w:lineRule="auto"/>
        <w:tabs>
          <w:tab w:leader="none" w:pos="131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200" w:firstLine="655"/>
        <w:spacing w:after="0" w:line="265" w:lineRule="auto"/>
        <w:tabs>
          <w:tab w:leader="none" w:pos="131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700" w:firstLine="8"/>
        <w:spacing w:after="0" w:line="281" w:lineRule="auto"/>
        <w:tabs>
          <w:tab w:leader="none" w:pos="67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440" w:firstLine="655"/>
        <w:spacing w:after="0" w:line="281" w:lineRule="auto"/>
        <w:tabs>
          <w:tab w:leader="none" w:pos="132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120" w:firstLine="655"/>
        <w:spacing w:after="0" w:line="281" w:lineRule="auto"/>
        <w:tabs>
          <w:tab w:leader="none" w:pos="133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2021</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Peter M. Carlino</w:t>
            </w:r>
          </w:p>
        </w:tc>
        <w:tc>
          <w:tcPr>
            <w:tcW w:w="2600" w:type="dxa"/>
            <w:vAlign w:val="bottom"/>
          </w:tcPr>
          <w:p>
            <w:pPr>
              <w:spacing w:after="0"/>
              <w:rPr>
                <w:sz w:val="18"/>
                <w:szCs w:val="18"/>
                <w:color w:val="auto"/>
              </w:rPr>
            </w:pPr>
          </w:p>
        </w:tc>
      </w:tr>
      <w:tr>
        <w:trPr>
          <w:trHeight w:val="243"/>
        </w:trPr>
        <w:tc>
          <w:tcPr>
            <w:tcW w:w="494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Peter M. Carlino</w:t>
            </w:r>
          </w:p>
        </w:tc>
      </w:tr>
      <w:tr>
        <w:trPr>
          <w:trHeight w:val="236"/>
        </w:trPr>
        <w:tc>
          <w:tcPr>
            <w:tcW w:w="49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Principal Financial Officer</w:t>
            </w:r>
          </w:p>
        </w:tc>
      </w:tr>
    </w:tbl>
    <w:p>
      <w:pPr>
        <w:sectPr>
          <w:pgSz w:w="11900" w:h="16838" w:orient="portrait"/>
          <w:cols w:equalWidth="0" w:num="1">
            <w:col w:w="11240"/>
          </w:cols>
          <w:pgMar w:left="320" w:top="88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6" w:lineRule="exact"/>
        <w:rPr>
          <w:sz w:val="20"/>
          <w:szCs w:val="20"/>
          <w:color w:val="auto"/>
        </w:rPr>
      </w:pPr>
    </w:p>
    <w:p>
      <w:pPr>
        <w:ind w:right="360" w:firstLine="647"/>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Gaming and Leisure Properties, Inc. (the “Company”) on Form 10-K for the year ended December 31, 2020,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77" w:lineRule="exact"/>
        <w:rPr>
          <w:sz w:val="20"/>
          <w:szCs w:val="20"/>
          <w:color w:val="auto"/>
        </w:rPr>
      </w:pPr>
    </w:p>
    <w:p>
      <w:pPr>
        <w:ind w:left="1340" w:hanging="685"/>
        <w:spacing w:after="0"/>
        <w:tabs>
          <w:tab w:leader="none" w:pos="1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340" w:hanging="685"/>
        <w:spacing w:after="0"/>
        <w:tabs>
          <w:tab w:leader="none" w:pos="1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Peter M. Carlino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M. Carlino</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Principal Financial Officer</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Date: February 19,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1)"/>
      <w:numFmt w:val="decimal"/>
      <w:start w:val="2"/>
    </w:lvl>
  </w:abstractNum>
  <w:abstractNum w:abstractNumId="5">
    <w:nsid w:val="374A3FE6"/>
    <w:multiLevelType w:val="hybridMultilevel"/>
    <w:lvl w:ilvl="0">
      <w:lvlJc w:val="left"/>
      <w:lvlText w:val="(%1)"/>
      <w:numFmt w:val="decimal"/>
      <w:start w:val="3"/>
    </w:lvl>
  </w:abstractNum>
  <w:abstractNum w:abstractNumId="6">
    <w:nsid w:val="4F4EF005"/>
    <w:multiLevelType w:val="hybridMultilevel"/>
    <w:lvl w:ilvl="0">
      <w:lvlJc w:val="left"/>
      <w:lvlText w:val="(%1)"/>
      <w:numFmt w:val="decimal"/>
      <w:start w:val="6"/>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1)"/>
      <w:numFmt w:val="lowerRoman"/>
      <w:start w:val="2"/>
    </w:lvl>
  </w:abstractNum>
  <w:abstractNum w:abstractNumId="13">
    <w:nsid w:val="235BA861"/>
    <w:multiLevelType w:val="hybridMultilevel"/>
    <w:lvl w:ilvl="0">
      <w:lvlJc w:val="left"/>
      <w:lvlText w:val="(%1)"/>
      <w:numFmt w:val="lowerRoman"/>
      <w:start w:val="1"/>
    </w:lvl>
  </w:abstractNum>
  <w:abstractNum w:abstractNumId="14">
    <w:nsid w:val="47398C89"/>
    <w:multiLevelType w:val="hybridMultilevel"/>
    <w:lvl w:ilvl="0">
      <w:lvlJc w:val="left"/>
      <w:lvlText w:val="(%1)"/>
      <w:numFmt w:val="lowerLetter"/>
      <w:start w:val="9"/>
    </w:lvl>
    <w:lvl w:ilvl="1">
      <w:lvlJc w:val="left"/>
      <w:lvlText w:val="(%2)"/>
      <w:numFmt w:val="lowerLetter"/>
      <w:start w:val="1"/>
    </w:lvl>
  </w:abstractNum>
  <w:abstractNum w:abstractNumId="15">
    <w:nsid w:val="354FE9F9"/>
    <w:multiLevelType w:val="hybridMultilevel"/>
    <w:lvl w:ilvl="0">
      <w:lvlJc w:val="left"/>
      <w:lvlText w:val="(%1)"/>
      <w:numFmt w:val="lowerRoman"/>
      <w:start w:val="2"/>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1)"/>
      <w:numFmt w:val="lowerRoman"/>
      <w:start w:val="2"/>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1)"/>
      <w:numFmt w:val="decimal"/>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1)"/>
      <w:numFmt w:val="decimal"/>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1"/>
    </w:lvl>
  </w:abstractNum>
  <w:abstractNum w:abstractNumId="30">
    <w:nsid w:val="4AD084E9"/>
    <w:multiLevelType w:val="hybridMultilevel"/>
    <w:lvl w:ilvl="0">
      <w:lvlJc w:val="left"/>
      <w:lvlText w:val="•"/>
      <w:numFmt w:val="bullet"/>
      <w:start w:val="1"/>
    </w:lvl>
    <w:lvl w:ilvl="1">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1."/>
      <w:numFmt w:val="decimal"/>
      <w:start w:val="3"/>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1."/>
      <w:numFmt w:val="decimal"/>
      <w:start w:val="8"/>
    </w:lvl>
  </w:abstractNum>
  <w:abstractNum w:abstractNumId="36">
    <w:nsid w:val="15014ACB"/>
    <w:multiLevelType w:val="hybridMultilevel"/>
    <w:lvl w:ilvl="0">
      <w:lvlJc w:val="left"/>
      <w:lvlText w:val="%1."/>
      <w:numFmt w:val="decimal"/>
      <w:start w:val="9"/>
    </w:lvl>
  </w:abstractNum>
  <w:abstractNum w:abstractNumId="37">
    <w:nsid w:val="5F5E7FD0"/>
    <w:multiLevelType w:val="hybridMultilevel"/>
    <w:lvl w:ilvl="0">
      <w:lvlJc w:val="left"/>
      <w:lvlText w:val="(%1)"/>
      <w:numFmt w:val="decimal"/>
      <w:start w:val="1"/>
    </w:lvl>
  </w:abstractNum>
  <w:abstractNum w:abstractNumId="38">
    <w:nsid w:val="98A3148"/>
    <w:multiLevelType w:val="hybridMultilevel"/>
    <w:lvl w:ilvl="0">
      <w:lvlJc w:val="left"/>
      <w:lvlText w:val="(%1)"/>
      <w:numFmt w:val="decimal"/>
      <w:start w:val="1"/>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1."/>
      <w:numFmt w:val="decimal"/>
      <w:start w:val="13"/>
    </w:lvl>
  </w:abstractNum>
  <w:abstractNum w:abstractNumId="43">
    <w:nsid w:val="1EBA5D23"/>
    <w:multiLevelType w:val="hybridMultilevel"/>
    <w:lvl w:ilvl="0">
      <w:lvlJc w:val="left"/>
      <w:lvlText w:val="%1."/>
      <w:numFmt w:val="decimal"/>
      <w:start w:val="14"/>
    </w:lvl>
  </w:abstractNum>
  <w:abstractNum w:abstractNumId="44">
    <w:nsid w:val="661E3F1E"/>
    <w:multiLevelType w:val="hybridMultilevel"/>
    <w:lvl w:ilvl="0">
      <w:lvlJc w:val="left"/>
      <w:lvlText w:val="(%1)"/>
      <w:numFmt w:val="decimal"/>
      <w:start w:val="2"/>
    </w:lvl>
  </w:abstractNum>
  <w:abstractNum w:abstractNumId="45">
    <w:nsid w:val="5DC79EA8"/>
    <w:multiLevelType w:val="hybridMultilevel"/>
    <w:lvl w:ilvl="0">
      <w:lvlJc w:val="left"/>
      <w:lvlText w:val="(%1)"/>
      <w:numFmt w:val="decimal"/>
      <w:start w:val="1"/>
    </w:lvl>
  </w:abstractNum>
  <w:abstractNum w:abstractNumId="46">
    <w:nsid w:val="540A471C"/>
    <w:multiLevelType w:val="hybridMultilevel"/>
    <w:lvl w:ilvl="0">
      <w:lvlJc w:val="left"/>
      <w:lvlText w:val="(%1)"/>
      <w:numFmt w:val="decimal"/>
      <w:start w:val="1"/>
    </w:lvl>
  </w:abstractNum>
  <w:abstractNum w:abstractNumId="47">
    <w:nsid w:val="7BD3EE7B"/>
    <w:multiLevelType w:val="hybridMultilevel"/>
    <w:lvl w:ilvl="0">
      <w:lvlJc w:val="left"/>
      <w:lvlText w:val="(%1)"/>
      <w:numFmt w:val="decimal"/>
      <w:start w:val="1"/>
    </w:lvl>
  </w:abstractNum>
  <w:abstractNum w:abstractNumId="48">
    <w:nsid w:val="51D9C564"/>
    <w:multiLevelType w:val="hybridMultilevel"/>
    <w:lvl w:ilvl="0">
      <w:lvlJc w:val="left"/>
      <w:lvlText w:val="%1."/>
      <w:numFmt w:val="decimal"/>
      <w:start w:val="20"/>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1)"/>
      <w:numFmt w:val="decimal"/>
      <w:start w:val="1"/>
    </w:lvl>
  </w:abstractNum>
  <w:abstractNum w:abstractNumId="51">
    <w:nsid w:val="11447B73"/>
    <w:multiLevelType w:val="hybridMultilevel"/>
    <w:lvl w:ilvl="0">
      <w:lvlJc w:val="left"/>
      <w:lvlText w:val="(%1)"/>
      <w:numFmt w:val="lowerRoman"/>
      <w:start w:val="2"/>
    </w:lvl>
  </w:abstractNum>
  <w:abstractNum w:abstractNumId="52">
    <w:nsid w:val="42963E5A"/>
    <w:multiLevelType w:val="hybridMultilevel"/>
    <w:lvl w:ilvl="0">
      <w:lvlJc w:val="left"/>
      <w:lvlText w:val="(%1)"/>
      <w:numFmt w:val="lowerLetter"/>
      <w:start w:val="1"/>
    </w:lvl>
  </w:abstractNum>
  <w:abstractNum w:abstractNumId="53">
    <w:nsid w:val="A0382C5"/>
    <w:multiLevelType w:val="hybridMultilevel"/>
    <w:lvl w:ilvl="0">
      <w:lvlJc w:val="left"/>
      <w:lvlText w:val="%1"/>
      <w:numFmt w:val="decimal"/>
      <w:start w:val="101"/>
    </w:lvl>
  </w:abstractNum>
  <w:abstractNum w:abstractNumId="54">
    <w:nsid w:val="8F2B15E"/>
    <w:multiLevelType w:val="hybridMultilevel"/>
    <w:lvl w:ilvl="0">
      <w:lvlJc w:val="left"/>
      <w:lvlText w:val="#"/>
      <w:numFmt w:val="bullet"/>
      <w:start w:val="1"/>
    </w:lvl>
    <w:lvl w:ilvl="1">
      <w:lvlJc w:val="left"/>
      <w:lvlText w:val="%2"/>
      <w:numFmt w:val="decimal"/>
      <w:start w:val="104"/>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1)"/>
      <w:numFmt w:val="decimal"/>
      <w:start w:val="4"/>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decimal"/>
      <w:start w:val="1"/>
    </w:lvl>
  </w:abstractNum>
  <w:abstractNum w:abstractNumId="64">
    <w:nsid w:val="71EA110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5">
    <w:nsid w:val="100F59DC"/>
    <w:multiLevelType w:val="hybridMultilevel"/>
    <w:lvl w:ilvl="0">
      <w:lvlJc w:val="left"/>
      <w:lvlText w:val="(%1)"/>
      <w:numFmt w:val="decimal"/>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1)"/>
      <w:numFmt w:val="lowerLetter"/>
      <w:start w:val="25"/>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lowerLetter"/>
      <w:start w:val="25"/>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1)"/>
      <w:numFmt w:val="decimal"/>
      <w:start w:val="1"/>
    </w:lvl>
  </w:abstractNum>
  <w:abstractNum w:abstractNumId="72">
    <w:nsid w:val="4C04A8AF"/>
    <w:multiLevelType w:val="hybridMultilevel"/>
    <w:lvl w:ilvl="0">
      <w:lvlJc w:val="left"/>
      <w:lvlText w:val="(%1)"/>
      <w:numFmt w:val="decimal"/>
      <w:start w:val="1"/>
    </w:lvl>
  </w:abstractNum>
  <w:abstractNum w:abstractNumId="73">
    <w:nsid w:val="1716703B"/>
    <w:multiLevelType w:val="hybridMultilevel"/>
    <w:lvl w:ilvl="0">
      <w:lvlJc w:val="left"/>
      <w:lvlText w:val="(%1)"/>
      <w:numFmt w:val="decimal"/>
      <w:start w:val="1"/>
    </w:lvl>
  </w:abstractNum>
  <w:abstractNum w:abstractNumId="74">
    <w:nsid w:val="14E17E33"/>
    <w:multiLevelType w:val="hybridMultilevel"/>
    <w:lvl w:ilvl="0">
      <w:lvlJc w:val="left"/>
      <w:lvlText w:val="(%1)"/>
      <w:numFmt w:val="decimal"/>
      <w:start w:val="1"/>
    </w:lvl>
  </w:abstractNum>
  <w:abstractNum w:abstractNumId="75">
    <w:nsid w:val="3222E7CD"/>
    <w:multiLevelType w:val="hybridMultilevel"/>
    <w:lvl w:ilvl="0">
      <w:lvlJc w:val="left"/>
      <w:lvlText w:val="(%1)"/>
      <w:numFmt w:val="decimal"/>
      <w:start w:val="2"/>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decimal"/>
      <w:start w:val="1"/>
    </w:lvl>
    <w:lvl w:ilvl="1">
      <w:lvlJc w:val="left"/>
      <w:lvlText w:val="(%2)"/>
      <w:numFmt w:val="lowerLetter"/>
      <w:start w:val="1"/>
    </w:lvl>
  </w:abstractNum>
  <w:abstractNum w:abstractNumId="78">
    <w:nsid w:val="2DF6D648"/>
    <w:multiLevelType w:val="hybridMultilevel"/>
    <w:lvl w:ilvl="0">
      <w:lvlJc w:val="left"/>
      <w:lvlText w:val="(%1)"/>
      <w:numFmt w:val="lowerLetter"/>
      <w:start w:val="25"/>
    </w:lvl>
  </w:abstractNum>
  <w:abstractNum w:abstractNumId="79">
    <w:nsid w:val="46B7D447"/>
    <w:multiLevelType w:val="hybridMultilevel"/>
    <w:lvl w:ilvl="0">
      <w:lvlJc w:val="left"/>
      <w:lvlText w:val="(%1)"/>
      <w:numFmt w:val="decimal"/>
      <w:start w:val="1"/>
    </w:lvl>
  </w:abstractNum>
  <w:abstractNum w:abstractNumId="80">
    <w:nsid w:val="4A2AC315"/>
    <w:multiLevelType w:val="hybridMultilevel"/>
    <w:lvl w:ilvl="0">
      <w:lvlJc w:val="left"/>
      <w:lvlText w:val="(%1)"/>
      <w:numFmt w:val="decimal"/>
      <w:start w:val="2"/>
    </w:lvl>
  </w:abstractNum>
  <w:abstractNum w:abstractNumId="81">
    <w:nsid w:val="39EE015C"/>
    <w:multiLevelType w:val="hybridMultilevel"/>
    <w:lvl w:ilvl="0">
      <w:lvlJc w:val="left"/>
      <w:lvlText w:val="(%1)"/>
      <w:numFmt w:val="lowerRoman"/>
      <w:start w:val="2"/>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1)"/>
      <w:numFmt w:val="decimal"/>
      <w:start w:val="1"/>
    </w:lvl>
    <w:lvl w:ilvl="1">
      <w:lvlJc w:val="left"/>
      <w:lvlText w:val="(%2)"/>
      <w:numFmt w:val="lowerLetter"/>
      <w:start w:val="1"/>
    </w:lvl>
  </w:abstractNum>
  <w:abstractNum w:abstractNumId="84">
    <w:nsid w:val="43F18422"/>
    <w:multiLevelType w:val="hybridMultilevel"/>
    <w:lvl w:ilvl="0">
      <w:lvlJc w:val="left"/>
      <w:lvlText w:val="(%1)"/>
      <w:numFmt w:val="lowerLetter"/>
      <w:start w:val="5"/>
    </w:lvl>
  </w:abstractNum>
  <w:abstractNum w:abstractNumId="85">
    <w:nsid w:val="60EF0119"/>
    <w:multiLevelType w:val="hybridMultilevel"/>
    <w:lvl w:ilvl="0">
      <w:lvlJc w:val="left"/>
      <w:lvlText w:val="(%1)"/>
      <w:numFmt w:val="decimal"/>
      <w:start w:val="1"/>
    </w:lvl>
    <w:lvl w:ilvl="1">
      <w:lvlJc w:val="left"/>
      <w:lvlText w:val="(%2)"/>
      <w:numFmt w:val="lowerLetter"/>
      <w:start w:val="1"/>
    </w:lvl>
  </w:abstractNum>
  <w:abstractNum w:abstractNumId="86">
    <w:nsid w:val="26F324BA"/>
    <w:multiLevelType w:val="hybridMultilevel"/>
    <w:lvl w:ilvl="0">
      <w:lvlJc w:val="left"/>
      <w:lvlText w:val="(%1)"/>
      <w:numFmt w:val="lowerLetter"/>
      <w:start w:val="2"/>
    </w:lvl>
  </w:abstractNum>
  <w:abstractNum w:abstractNumId="87">
    <w:nsid w:val="7F01579B"/>
    <w:multiLevelType w:val="hybridMultilevel"/>
    <w:lvl w:ilvl="0">
      <w:lvlJc w:val="left"/>
      <w:lvlText w:val="(%1)"/>
      <w:numFmt w:val="lowerRoman"/>
      <w:start w:val="1"/>
    </w:lvl>
  </w:abstractNum>
  <w:abstractNum w:abstractNumId="88">
    <w:nsid w:val="49DA307D"/>
    <w:multiLevelType w:val="hybridMultilevel"/>
    <w:lvl w:ilvl="0">
      <w:lvlJc w:val="left"/>
      <w:lvlText w:val="(%1)"/>
      <w:numFmt w:val="decimal"/>
      <w:start w:val="1"/>
    </w:lvl>
  </w:abstractNum>
  <w:abstractNum w:abstractNumId="89">
    <w:nsid w:val="7055A5F5"/>
    <w:multiLevelType w:val="hybridMultilevel"/>
    <w:lvl w:ilvl="0">
      <w:lvlJc w:val="left"/>
      <w:lvlText w:val="(%1)"/>
      <w:numFmt w:val="lowerRoman"/>
      <w:start w:val="10"/>
    </w:lvl>
  </w:abstractNum>
  <w:abstractNum w:abstractNumId="90">
    <w:nsid w:val="5FB8370B"/>
    <w:multiLevelType w:val="hybridMultilevel"/>
    <w:lvl w:ilvl="0">
      <w:lvlJc w:val="left"/>
      <w:lvlText w:val="(%1)"/>
      <w:numFmt w:val="decimal"/>
      <w:start w:val="1"/>
    </w:lvl>
  </w:abstractNum>
  <w:abstractNum w:abstractNumId="91">
    <w:nsid w:val="50801EE1"/>
    <w:multiLevelType w:val="hybridMultilevel"/>
    <w:lvl w:ilvl="0">
      <w:lvlJc w:val="left"/>
      <w:lvlText w:val="(%1)"/>
      <w:numFmt w:val="decimal"/>
      <w:start w:val="6"/>
    </w:lvl>
  </w:abstractNum>
  <w:abstractNum w:abstractNumId="92">
    <w:nsid w:val="488AC1A"/>
    <w:multiLevelType w:val="hybridMultilevel"/>
    <w:lvl w:ilvl="0">
      <w:lvlJc w:val="left"/>
      <w:lvlText w:val="(%1)"/>
      <w:numFmt w:val="decimal"/>
      <w:start w:val="1"/>
    </w:lvl>
  </w:abstractNum>
  <w:abstractNum w:abstractNumId="93">
    <w:nsid w:val="5FB8011C"/>
    <w:multiLevelType w:val="hybridMultilevel"/>
    <w:lvl w:ilvl="0">
      <w:lvlJc w:val="left"/>
      <w:lvlText w:val="(%1)"/>
      <w:numFmt w:val="decimal"/>
      <w:start w:val="1"/>
    </w:lvl>
  </w:abstractNum>
  <w:abstractNum w:abstractNumId="94">
    <w:nsid w:val="6AA78F7F"/>
    <w:multiLevelType w:val="hybridMultilevel"/>
    <w:lvl w:ilvl="0">
      <w:lvlJc w:val="left"/>
      <w:lvlText w:val="(%1)"/>
      <w:numFmt w:val="decimal"/>
      <w:start w:val="4"/>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decimal"/>
      <w:start w:val="2"/>
    </w:lvl>
  </w:abstractNum>
  <w:abstractNum w:abstractNumId="97">
    <w:nsid w:val="6A5F7029"/>
    <w:multiLevelType w:val="hybridMultilevel"/>
    <w:lvl w:ilvl="0">
      <w:lvlJc w:val="left"/>
      <w:lvlText w:val="(%1)"/>
      <w:numFmt w:val="decimal"/>
      <w:start w:val="1"/>
    </w:lvl>
    <w:lvl w:ilvl="1">
      <w:lvlJc w:val="left"/>
      <w:lvlText w:val="(%2)"/>
      <w:numFmt w:val="lowerLetter"/>
      <w:start w:val="1"/>
    </w:lvl>
  </w:abstractNum>
  <w:abstractNum w:abstractNumId="98">
    <w:nsid w:val="7D5E18F8"/>
    <w:multiLevelType w:val="hybridMultilevel"/>
    <w:lvl w:ilvl="0">
      <w:lvlJc w:val="left"/>
      <w:lvlText w:val="(%1)"/>
      <w:numFmt w:val="decimal"/>
      <w:start w:val="2"/>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1."/>
      <w:numFmt w:val="decimal"/>
      <w:start w:val="1"/>
    </w:lvl>
    <w:lvl w:ilvl="1">
      <w:lvlJc w:val="left"/>
      <w:lvlText w:val="(%2)"/>
      <w:numFmt w:val="lowerLetter"/>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7" Type="http://schemas.openxmlformats.org/officeDocument/2006/relationships/image" Target="media/image126.png"/><Relationship Id="rId156" Type="http://schemas.openxmlformats.org/officeDocument/2006/relationships/image" Target="media/image127.png"/><Relationship Id="rId169" Type="http://schemas.openxmlformats.org/officeDocument/2006/relationships/image" Target="media/image128.png"/><Relationship Id="rId185" Type="http://schemas.openxmlformats.org/officeDocument/2006/relationships/image" Target="media/image129.png"/><Relationship Id="rId201" Type="http://schemas.openxmlformats.org/officeDocument/2006/relationships/image" Target="media/image130.png"/><Relationship Id="rId205" Type="http://schemas.openxmlformats.org/officeDocument/2006/relationships/image" Target="media/image131.png"/><Relationship Id="rId206" Type="http://schemas.openxmlformats.org/officeDocument/2006/relationships/image" Target="media/image132.png"/><Relationship Id="rId133" Type="http://schemas.openxmlformats.org/officeDocument/2006/relationships/hyperlink" Target="http://www.sec.gov/Archives/edgar/data/1575965/000110465913082396/a13-23794_2ex2d1.htm" TargetMode="External"/><Relationship Id="rId134" Type="http://schemas.openxmlformats.org/officeDocument/2006/relationships/hyperlink" Target="http://www.sec.gov/Archives/edgar/data/1575965/000157596515000036/glpi72215exhibit21.htm" TargetMode="External"/><Relationship Id="rId135" Type="http://schemas.openxmlformats.org/officeDocument/2006/relationships/hyperlink" Target="http://www.sec.gov/Archives/edgar/data/1575965/000157596516000098/exhibit21-amendmenttomerge.htm" TargetMode="External"/><Relationship Id="rId136" Type="http://schemas.openxmlformats.org/officeDocument/2006/relationships/hyperlink" Target="http://www.sec.gov/Archives/edgar/data/1575965/000119312516564256/d169218dex24.htm" TargetMode="External"/><Relationship Id="rId137" Type="http://schemas.openxmlformats.org/officeDocument/2006/relationships/hyperlink" Target="http://www.sec.gov/Archives/edgar/data/1575965/000119312518117881/d545112dex21.htm" TargetMode="External"/><Relationship Id="rId138" Type="http://schemas.openxmlformats.org/officeDocument/2006/relationships/hyperlink" Target="http://www.sec.gov/Archives/edgar/data/1575965/000119312518117881/d545112dex22.htm" TargetMode="External"/><Relationship Id="rId139" Type="http://schemas.openxmlformats.org/officeDocument/2006/relationships/hyperlink" Target="http://www.sec.gov/Archives/edgar/data/1575965/000119312518289765/d612515dex23.htm" TargetMode="External"/><Relationship Id="rId140" Type="http://schemas.openxmlformats.org/officeDocument/2006/relationships/hyperlink" Target="http://www.sec.gov/Archives/edgar/data/1575965/000157596518000016/glpiexhibit31amendedandres.htm" TargetMode="External"/><Relationship Id="rId141" Type="http://schemas.openxmlformats.org/officeDocument/2006/relationships/hyperlink" Target="http://www.sec.gov/Archives/edgar/data/1575965/000157596518000016/glpiexhibit32amendedandres.htm" TargetMode="External"/><Relationship Id="rId142" Type="http://schemas.openxmlformats.org/officeDocument/2006/relationships/hyperlink" Target="http://www.sec.gov/Archives/edgar/data/1575965/000110465913080098/a13-22016_6ex4d1.htm" TargetMode="External"/><Relationship Id="rId143" Type="http://schemas.openxmlformats.org/officeDocument/2006/relationships/hyperlink" Target="http://www.sec.gov/Archives/edgar/data/1575965/000119312516519802/d155565dex41.htm" TargetMode="External"/><Relationship Id="rId144" Type="http://schemas.openxmlformats.org/officeDocument/2006/relationships/hyperlink" Target="http://www.sec.gov/Archives/edgar/data/1575965/000119312516564256/d169218dex43.htm" TargetMode="External"/><Relationship Id="rId145" Type="http://schemas.openxmlformats.org/officeDocument/2006/relationships/hyperlink" Target="http://www.sec.gov/Archives/edgar/data/1575965/000119312516564256/d169218dex44.htm" TargetMode="External"/><Relationship Id="rId146" Type="http://schemas.openxmlformats.org/officeDocument/2006/relationships/hyperlink" Target="http://www.sec.gov/Archives/edgar/data/1575965/000119312518170967/d584186dex43.htm" TargetMode="External"/><Relationship Id="rId148" Type="http://schemas.openxmlformats.org/officeDocument/2006/relationships/hyperlink" Target="http://www.sec.gov/Archives/edgar/data/1575965/000119312518170967/d584186dex44.htm" TargetMode="External"/><Relationship Id="rId149" Type="http://schemas.openxmlformats.org/officeDocument/2006/relationships/hyperlink" Target="http://www.sec.gov/Archives/edgar/data/1575965/000119312518170967/d584186dex45.htm" TargetMode="External"/><Relationship Id="rId150" Type="http://schemas.openxmlformats.org/officeDocument/2006/relationships/hyperlink" Target="http://www.sec.gov/Archives/edgar/data/1575965/000119312518284105/d596721dex44.htm" TargetMode="External"/><Relationship Id="rId151" Type="http://schemas.openxmlformats.org/officeDocument/2006/relationships/hyperlink" Target="http://www.sec.gov/Archives/edgar/data/1575965/000119312519238989/d796187dex43.htm" TargetMode="External"/><Relationship Id="rId152" Type="http://schemas.openxmlformats.org/officeDocument/2006/relationships/hyperlink" Target="http://www.sec.gov/Archives/edgar/data/1575965/000119312519238989/d796187dex44.htm" TargetMode="External"/><Relationship Id="rId153" Type="http://schemas.openxmlformats.org/officeDocument/2006/relationships/hyperlink" Target="http://www.sec.gov/Archives/edgar/data/1575965/000119312520184548/d911884dex43.htm" TargetMode="External"/><Relationship Id="rId154" Type="http://schemas.openxmlformats.org/officeDocument/2006/relationships/hyperlink" Target="http://www.sec.gov/Archives/edgar/data/1575965/000110465913080098/a13-22016_6ex4d2.htm" TargetMode="External"/><Relationship Id="rId155" Type="http://schemas.openxmlformats.org/officeDocument/2006/relationships/hyperlink" Target="http://www.sec.gov/Archives/edgar/data/1575965/000110465913080098/a13-22016_6ex4d3.htm" TargetMode="External"/><Relationship Id="rId157" Type="http://schemas.openxmlformats.org/officeDocument/2006/relationships/hyperlink" Target="https://www.sec.gov/Archives/edgar/data/1575965/000119312520184548/d911884dex43.htm" TargetMode="External"/><Relationship Id="rId158" Type="http://schemas.openxmlformats.org/officeDocument/2006/relationships/hyperlink" Target="http://www.sec.gov/Archives/edgar/data/1575965/000110465913080098/a13-22016_6ex10d1.htm" TargetMode="External"/><Relationship Id="rId159" Type="http://schemas.openxmlformats.org/officeDocument/2006/relationships/hyperlink" Target="http://www.sec.gov/Archives/edgar/data/1575965/000110465913080098/a13-22016_6ex10d2.htm" TargetMode="External"/><Relationship Id="rId160" Type="http://schemas.openxmlformats.org/officeDocument/2006/relationships/hyperlink" Target="http://www.sec.gov/Archives/edgar/data/1575965/000110465913080098/a13-22016_6ex10d3.htm" TargetMode="External"/><Relationship Id="rId161" Type="http://schemas.openxmlformats.org/officeDocument/2006/relationships/hyperlink" Target="http://www.sec.gov/Archives/edgar/data/1575965/000110465913080098/a13-22016_6ex10d4.htm" TargetMode="External"/><Relationship Id="rId162" Type="http://schemas.openxmlformats.org/officeDocument/2006/relationships/hyperlink" Target="http://www.sec.gov/Archives/edgar/data/1575965/000119312515306851/d18100dex102.htm" TargetMode="External"/><Relationship Id="rId163" Type="http://schemas.openxmlformats.org/officeDocument/2006/relationships/hyperlink" Target="http://www.sec.gov/Archives/edgar/data/1575965/000157596516000098/exhibit101amendmenttocredi.htm" TargetMode="External"/><Relationship Id="rId164" Type="http://schemas.openxmlformats.org/officeDocument/2006/relationships/hyperlink" Target="http://www.sec.gov/Archives/edgar/data/1575965/000119312518170967/d584186dex101.htm" TargetMode="External"/><Relationship Id="rId165" Type="http://schemas.openxmlformats.org/officeDocument/2006/relationships/hyperlink" Target="http://www.sec.gov/Archives/edgar/data/1575965/000157596518000024/glpi-2018930exhibit105.htm" TargetMode="External"/><Relationship Id="rId166" Type="http://schemas.openxmlformats.org/officeDocument/2006/relationships/hyperlink" Target="http://www.sec.gov/Archives/edgar/data/1575965/000157596520000026/glpi-2020331exhibit41.htm" TargetMode="External"/><Relationship Id="rId167" Type="http://schemas.openxmlformats.org/officeDocument/2006/relationships/hyperlink" Target="http://www.sec.gov/Archives/edgar/data/1575965/000119312520184548/d911884dex101.htm" TargetMode="External"/><Relationship Id="rId168" Type="http://schemas.openxmlformats.org/officeDocument/2006/relationships/hyperlink" Target="http://www.sec.gov/Archives/edgar/data/1575965/000110465913082396/a13-23794_2ex10d1.htm" TargetMode="External"/><Relationship Id="rId170" Type="http://schemas.openxmlformats.org/officeDocument/2006/relationships/hyperlink" Target="http://www.sec.gov/Archives/edgar/data/1575965/000110465914037525/a14-12326_1ex10d1.htm" TargetMode="External"/><Relationship Id="rId171" Type="http://schemas.openxmlformats.org/officeDocument/2006/relationships/hyperlink" Target="http://www.sec.gov/Archives/edgar/data/1575965/000110465914055690/a14-14237_1ex10d1.htm" TargetMode="External"/><Relationship Id="rId172" Type="http://schemas.openxmlformats.org/officeDocument/2006/relationships/hyperlink" Target="http://www.sec.gov/Archives/edgar/data/1575965/000157596516000134/glpi-2016930exhibit102.htm" TargetMode="External"/><Relationship Id="rId173" Type="http://schemas.openxmlformats.org/officeDocument/2006/relationships/hyperlink" Target="http://www.sec.gov/Archives/edgar/data/1575965/000157596517000022/glpi-2017331exhibit102.htm" TargetMode="External"/><Relationship Id="rId174" Type="http://schemas.openxmlformats.org/officeDocument/2006/relationships/hyperlink" Target="http://www.sec.gov/Archives/edgar/data/1575965/000157596518000019/glpi-2018630exhibit103.htm" TargetMode="External"/><Relationship Id="rId175" Type="http://schemas.openxmlformats.org/officeDocument/2006/relationships/hyperlink" Target="http://www.sec.gov/Archives/edgar/data/1575965/000157596518000024/glpi-2018930exhibit101.htm" TargetMode="External"/><Relationship Id="rId176" Type="http://schemas.openxmlformats.org/officeDocument/2006/relationships/hyperlink" Target="http://www.sec.gov/Archives/edgar/data/1575965/000157596519000005/glpi-20181231exhibit1016.htm" TargetMode="External"/><Relationship Id="rId177" Type="http://schemas.openxmlformats.org/officeDocument/2006/relationships/hyperlink" Target="http://www.sec.gov/Archives/edgar/data/1575965/000157596519000005/glpi-20181231exhibit1017.htm" TargetMode="External"/><Relationship Id="rId178" Type="http://schemas.openxmlformats.org/officeDocument/2006/relationships/hyperlink" Target="http://www.sec.gov/Archives/edgar/data/1575965/000119312516564256/d169218dex23.htm" TargetMode="External"/><Relationship Id="rId179" Type="http://schemas.openxmlformats.org/officeDocument/2006/relationships/hyperlink" Target="http://www.sec.gov/Archives/edgar/data/1575965/000157596516000134/glpi-2016930exhibit101.htm" TargetMode="External"/><Relationship Id="rId180" Type="http://schemas.openxmlformats.org/officeDocument/2006/relationships/hyperlink" Target="http://www.sec.gov/Archives/edgar/data/1575965/000157596517000006/glpi-20161231exhibit1013.htm" TargetMode="External"/><Relationship Id="rId181" Type="http://schemas.openxmlformats.org/officeDocument/2006/relationships/hyperlink" Target="http://www.sec.gov/Archives/edgar/data/1575965/000157596517000022/glpi-2017331exhibit101.htm" TargetMode="External"/><Relationship Id="rId182" Type="http://schemas.openxmlformats.org/officeDocument/2006/relationships/hyperlink" Target="http://www.sec.gov/Archives/edgar/data/1575965/000119312518299507/d621785dex101.htm" TargetMode="External"/><Relationship Id="rId183" Type="http://schemas.openxmlformats.org/officeDocument/2006/relationships/hyperlink" Target="http://www.sec.gov/Archives/edgar/data/1575965/000119312518289765/d612515dex101.htm" TargetMode="External"/><Relationship Id="rId184" Type="http://schemas.openxmlformats.org/officeDocument/2006/relationships/hyperlink" Target="http://www.sec.gov/Archives/edgar/data/1575965/000157596519000023/glpi-2019630exhibit101.htm" TargetMode="External"/><Relationship Id="rId186" Type="http://schemas.openxmlformats.org/officeDocument/2006/relationships/hyperlink" Target="http://www.sec.gov/Archives/edgar/data/1575965/000119312518299507/d621785dex102.htm" TargetMode="External"/><Relationship Id="rId187" Type="http://schemas.openxmlformats.org/officeDocument/2006/relationships/hyperlink" Target="http://www.sec.gov/Archives/edgar/data/1575965/000157596517000039/exhibit101consentagreement.htm" TargetMode="External"/><Relationship Id="rId188" Type="http://schemas.openxmlformats.org/officeDocument/2006/relationships/hyperlink" Target="http://www.sec.gov/Archives/edgar/data/1575965/000110465913082396/a13-23794_2ex10d2.htm" TargetMode="External"/><Relationship Id="rId189" Type="http://schemas.openxmlformats.org/officeDocument/2006/relationships/hyperlink" Target="http://www.sec.gov/Archives/edgar/data/1575965/000157596515000036/glpi72215exhibit101.htm" TargetMode="External"/><Relationship Id="rId190" Type="http://schemas.openxmlformats.org/officeDocument/2006/relationships/hyperlink" Target="http://www.sec.gov/Archives/edgar/data/1575965/000110465913082396/a13-23794_2ex10d4.htm" TargetMode="External"/><Relationship Id="rId191" Type="http://schemas.openxmlformats.org/officeDocument/2006/relationships/hyperlink" Target="http://www.sec.gov/Archives/edgar/data/1575965/000119312516564256/d169218dex25.htm" TargetMode="External"/><Relationship Id="rId192" Type="http://schemas.openxmlformats.org/officeDocument/2006/relationships/hyperlink" Target="http://www.sec.gov/Archives/edgar/data/1575965/000114036120010098/nc100007829x1_def14a.htm" TargetMode="External"/><Relationship Id="rId193" Type="http://schemas.openxmlformats.org/officeDocument/2006/relationships/hyperlink" Target="http://www.sec.gov/Archives/edgar/data/1575965/000157596517000006/glpi-20161231exhibit48.htm" TargetMode="External"/><Relationship Id="rId194" Type="http://schemas.openxmlformats.org/officeDocument/2006/relationships/hyperlink" Target="http://www.sec.gov/Archives/edgar/data/1575965/000157596517000006/glpi-20161231exhibiit49.htm" TargetMode="External"/><Relationship Id="rId195" Type="http://schemas.openxmlformats.org/officeDocument/2006/relationships/hyperlink" Target="http://www.sec.gov/Archives/edgar/data/1575965/000157596515000014/glpi-2015331exhibit42.htm" TargetMode="External"/><Relationship Id="rId196" Type="http://schemas.openxmlformats.org/officeDocument/2006/relationships/hyperlink" Target="http://www.sec.gov/Archives/edgar/data/1575965/000157596518000004/glpi-20171231exhibit1026.htm" TargetMode="External"/><Relationship Id="rId197" Type="http://schemas.openxmlformats.org/officeDocument/2006/relationships/hyperlink" Target="http://www.sec.gov/Archives/edgar/data/1575965/000157596518000004/glpi-20171231exhibit1027.htm" TargetMode="External"/><Relationship Id="rId198" Type="http://schemas.openxmlformats.org/officeDocument/2006/relationships/hyperlink" Target="http://www.sec.gov/Archives/edgar/data/1575965/000157596519000005/glpi20181231exhibit1036.htm" TargetMode="External"/><Relationship Id="rId199" Type="http://schemas.openxmlformats.org/officeDocument/2006/relationships/hyperlink" Target="http://www.sec.gov/Archives/edgar/data/1575965/000157596519000002/glpiexhibit101executivecha.htm" TargetMode="External"/><Relationship Id="rId200" Type="http://schemas.openxmlformats.org/officeDocument/2006/relationships/hyperlink" Target="http://www.sec.gov/Archives/edgar/data/1575965/000157596518000008/exhibit101letteragreementd.htm" TargetMode="External"/><Relationship Id="rId202" Type="http://schemas.openxmlformats.org/officeDocument/2006/relationships/hyperlink" Target="http://www.sec.gov/Archives/edgar/data/1575965/000157596516000091/glpi-20151231exhibit1014.htm" TargetMode="External"/><Relationship Id="rId203" Type="http://schemas.openxmlformats.org/officeDocument/2006/relationships/hyperlink" Target="http://www.sec.gov/Archives/edgar/data/1575965/000157596520000035/tropicanaarmasterleaseex.htm" TargetMode="External"/><Relationship Id="rId204" Type="http://schemas.openxmlformats.org/officeDocument/2006/relationships/hyperlink" Target="http://www.sec.gov/Archives/edgar/data/1575965/000119312520201915/d4395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2021-02-19T05:19:52Z</dcterms:created>
  <dcterms:modified xsi:type="dcterms:W3CDTF">2021-02-19T05:19:52Z</dcterms:modified>
</cp:coreProperties>
</file>