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0"/>
        </w:rPr>
        <w:t>FORM 10-Q</w:t>
      </w: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          to        </w:t>
      </w:r>
      <w:r>
        <w:rPr>
          <w:color w:val="000000"/>
        </w:rPr>
        <w:t> </w:t>
      </w:r>
    </w:p>
    <w:p>
      <w:pPr>
        <w:pStyle w:val="TextBody"/>
        <w:bidi w:val="0"/>
        <w:spacing w:lineRule="auto" w:line="288" w:before="0" w:after="0"/>
        <w:jc w:val="center"/>
        <w:rPr/>
      </w:pPr>
      <w:r>
        <w:rPr>
          <w:rFonts w:ascii="Times New Roman;serif" w:hAnsi="Times New Roman;serif"/>
          <w:b/>
          <w:color w:val="000000"/>
          <w:sz w:val="20"/>
        </w:rPr>
        <w:t>Commission File Number:  001-36124</w:t>
      </w:r>
      <w:r>
        <w:rPr>
          <w:color w:val="000000"/>
        </w:rPr>
        <w:t xml:space="preserve">  </w:t>
      </w:r>
    </w:p>
    <w:p>
      <w:pPr>
        <w:pStyle w:val="TextBody"/>
        <w:bidi w:val="0"/>
        <w:spacing w:lineRule="auto" w:line="288" w:before="120" w:after="283"/>
        <w:jc w:val="center"/>
        <w:rPr>
          <w:rFonts w:ascii="Times New Roman;serif" w:hAnsi="Times New Roman;serif"/>
          <w:b/>
          <w:color w:val="000000"/>
          <w:sz w:val="34"/>
        </w:rPr>
      </w:pPr>
      <w:r>
        <w:rPr>
          <w:rFonts w:ascii="Times New Roman;serif" w:hAnsi="Times New Roman;serif"/>
          <w:b/>
          <w:color w:val="000000"/>
          <w:sz w:val="34"/>
        </w:rPr>
        <w:t xml:space="preserve">Gaming and Leisure Properties, Inc. </w:t>
      </w:r>
    </w:p>
    <w:p>
      <w:pPr>
        <w:pStyle w:val="TextBody"/>
        <w:bidi w:val="0"/>
        <w:spacing w:lineRule="auto" w:line="288" w:before="0" w:after="0"/>
        <w:jc w:val="center"/>
        <w:rPr/>
      </w:pPr>
      <w:r>
        <w:rPr>
          <w:rFonts w:ascii="Times New Roman;serif" w:hAnsi="Times New Roman;serif"/>
          <w:b w:val="false"/>
          <w:color w:val="000000"/>
          <w:sz w:val="20"/>
        </w:rPr>
        <w:t>(Exact name of registrant as specified in its charter)</w:t>
      </w:r>
      <w:r>
        <w:rPr>
          <w:color w:val="000000"/>
        </w:rPr>
        <w:t> </w:t>
      </w:r>
    </w:p>
    <w:tbl>
      <w:tblPr>
        <w:tblW w:w="4555" w:type="dxa"/>
        <w:jc w:val="center"/>
        <w:tblInd w:w="0" w:type="dxa"/>
        <w:tblLayout w:type="fixed"/>
        <w:tblCellMar>
          <w:top w:w="28" w:type="dxa"/>
          <w:left w:w="28" w:type="dxa"/>
          <w:bottom w:w="28" w:type="dxa"/>
          <w:right w:w="28" w:type="dxa"/>
        </w:tblCellMar>
      </w:tblPr>
      <w:tblGrid>
        <w:gridCol w:w="935"/>
        <w:gridCol w:w="820"/>
        <w:gridCol w:w="824"/>
        <w:gridCol w:w="109"/>
        <w:gridCol w:w="109"/>
        <w:gridCol w:w="109"/>
        <w:gridCol w:w="481"/>
        <w:gridCol w:w="481"/>
        <w:gridCol w:w="687"/>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46-2116489</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pPr>
      <w:r>
        <w:rPr>
          <w:color w:val="000000"/>
        </w:rPr>
        <w:t> </w:t>
      </w:r>
      <w:r>
        <w:rPr>
          <w:rFonts w:ascii="Times New Roman;serif" w:hAnsi="Times New Roman;serif"/>
          <w:b/>
          <w:color w:val="000000"/>
          <w:sz w:val="19"/>
        </w:rPr>
        <w:t xml:space="preserve">845 Berkshire Blvd., Suite 200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Wyomissing, PA 19610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610-401-2900 </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color w:val="000000"/>
          <w:sz w:val="19"/>
        </w:rPr>
        <w:t>Not Applicable</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(Former name, former address, and former fiscal year, if changed since last report)</w:t>
      </w:r>
    </w:p>
    <w:p>
      <w:pPr>
        <w:pStyle w:val="TextBody"/>
        <w:bidi w:val="0"/>
        <w:spacing w:lineRule="auto" w:line="288" w:before="12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8392" w:type="dxa"/>
        <w:jc w:val="left"/>
        <w:tblInd w:w="0" w:type="dxa"/>
        <w:tblLayout w:type="fixed"/>
        <w:tblCellMar>
          <w:top w:w="28" w:type="dxa"/>
          <w:left w:w="28" w:type="dxa"/>
          <w:bottom w:w="28" w:type="dxa"/>
          <w:right w:w="28" w:type="dxa"/>
        </w:tblCellMar>
      </w:tblPr>
      <w:tblGrid>
        <w:gridCol w:w="1074"/>
        <w:gridCol w:w="942"/>
        <w:gridCol w:w="954"/>
        <w:gridCol w:w="109"/>
        <w:gridCol w:w="109"/>
        <w:gridCol w:w="109"/>
        <w:gridCol w:w="484"/>
        <w:gridCol w:w="484"/>
        <w:gridCol w:w="486"/>
        <w:gridCol w:w="109"/>
        <w:gridCol w:w="109"/>
        <w:gridCol w:w="109"/>
        <w:gridCol w:w="970"/>
        <w:gridCol w:w="970"/>
        <w:gridCol w:w="1374"/>
      </w:tblGrid>
      <w:tr>
        <w:trPr/>
        <w:tc>
          <w:tcPr>
            <w:tcW w:w="107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7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GLPI</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w:t>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erif" w:hAnsi="Times New Roman;serif"/>
          <w:b w:val="false"/>
          <w:color w:val="000000"/>
          <w:sz w:val="19"/>
        </w:rPr>
        <w:t xml:space="preserve">No </w:t>
      </w:r>
      <w:r>
        <w:rPr>
          <w:color w:val="000000"/>
        </w:rPr>
        <w:t>☐</w:t>
      </w:r>
    </w:p>
    <w:p>
      <w:pPr>
        <w:pStyle w:val="TextBody"/>
        <w:bidi w:val="0"/>
        <w:spacing w:lineRule="auto" w:line="288" w:before="120" w:after="283"/>
        <w:ind w:left="0" w:right="0" w:firstLine="360"/>
        <w:jc w:val="left"/>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ind w:left="0" w:right="0" w:firstLine="360"/>
        <w:jc w:val="left"/>
        <w:rPr>
          <w:color w:val="000000"/>
        </w:rPr>
      </w:pPr>
      <w:r>
        <w:rPr>
          <w:color w:val="000000"/>
        </w:rPr>
        <w:t> </w:t>
      </w:r>
    </w:p>
    <w:tbl>
      <w:tblPr>
        <w:tblW w:w="4974"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360"/>
        <w:jc w:val="left"/>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w:t>
      </w:r>
      <w:r>
        <w:rPr>
          <w:rFonts w:ascii="Times New Roman;serif" w:hAnsi="Times New Roman;serif"/>
          <w:b w:val="false"/>
          <w:color w:val="000000"/>
          <w:sz w:val="19"/>
        </w:rPr>
        <w:t xml:space="preserve">No </w:t>
      </w: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4435" w:type="dxa"/>
        <w:jc w:val="left"/>
        <w:tblInd w:w="0" w:type="dxa"/>
        <w:tblLayout w:type="fixed"/>
        <w:tblCellMar>
          <w:top w:w="28" w:type="dxa"/>
          <w:left w:w="28" w:type="dxa"/>
          <w:bottom w:w="28" w:type="dxa"/>
          <w:right w:w="28" w:type="dxa"/>
        </w:tblCellMar>
      </w:tblPr>
      <w:tblGrid>
        <w:gridCol w:w="1070"/>
        <w:gridCol w:w="938"/>
        <w:gridCol w:w="961"/>
        <w:gridCol w:w="109"/>
        <w:gridCol w:w="109"/>
        <w:gridCol w:w="109"/>
        <w:gridCol w:w="332"/>
        <w:gridCol w:w="332"/>
        <w:gridCol w:w="475"/>
      </w:tblGrid>
      <w:tr>
        <w:trPr/>
        <w:tc>
          <w:tcPr>
            <w:tcW w:w="107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20, 2026</w:t>
            </w:r>
          </w:p>
        </w:tc>
      </w:tr>
      <w:tr>
        <w:trPr/>
        <w:tc>
          <w:tcPr>
            <w:tcW w:w="2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290,920,043</w:t>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33"/>
        <w:gridCol w:w="382"/>
        <w:gridCol w:w="386"/>
        <w:gridCol w:w="2876"/>
        <w:gridCol w:w="2876"/>
        <w:gridCol w:w="2879"/>
        <w:gridCol w:w="109"/>
        <w:gridCol w:w="109"/>
        <w:gridCol w:w="155"/>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0">
              <w:r>
                <w:rPr>
                  <w:rStyle w:val="InternetLink"/>
                  <w:rFonts w:ascii="Times New Roman;serif" w:hAnsi="Times New Roman;serif"/>
                  <w:b w:val="false"/>
                  <w:color w:val="0000FF"/>
                  <w:sz w:val="20"/>
                  <w:u w:val="single"/>
                </w:rPr>
                <w:t>PART I.</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0">
              <w:r>
                <w:rPr>
                  <w:rStyle w:val="InternetLink"/>
                  <w:rFonts w:ascii="Times New Roman;serif" w:hAnsi="Times New Roman;serif"/>
                  <w:b w:val="false"/>
                  <w:color w:val="0000FF"/>
                  <w:sz w:val="20"/>
                  <w:u w:val="single"/>
                </w:rPr>
                <w:t>FINANCIAL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10">
              <w:r>
                <w:rPr>
                  <w:rStyle w:val="InternetLink"/>
                  <w:rFonts w:ascii="Times New Roman;serif" w:hAnsi="Times New Roman;serif"/>
                  <w:b w:val="false"/>
                  <w:color w:val="0000FF"/>
                  <w:sz w:val="20"/>
                  <w:u w:val="single"/>
                </w:rPr>
                <w:t>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3">
              <w:r>
                <w:rPr>
                  <w:rStyle w:val="InternetLink"/>
                  <w:rFonts w:ascii="Times New Roman;serif" w:hAnsi="Times New Roman;serif"/>
                  <w:b w:val="false"/>
                  <w:color w:val="0000FF"/>
                  <w:sz w:val="20"/>
                  <w:u w:val="single"/>
                </w:rPr>
                <w:t>ITEM 1.</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3">
              <w:r>
                <w:rPr>
                  <w:rStyle w:val="InternetLink"/>
                  <w:rFonts w:ascii="Times New Roman;serif" w:hAnsi="Times New Roman;serif"/>
                  <w:b w:val="false"/>
                  <w:color w:val="0000FF"/>
                  <w:sz w:val="20"/>
                  <w:u w:val="single"/>
                </w:rPr>
                <w:t xml:space="preserve">FINANCIAL STATEMENTS </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13">
              <w:r>
                <w:rPr>
                  <w:rStyle w:val="InternetLink"/>
                  <w:rFonts w:ascii="Times New Roman;serif" w:hAnsi="Times New Roman;serif"/>
                  <w:b w:val="false"/>
                  <w:color w:val="0000FF"/>
                  <w:sz w:val="20"/>
                  <w:u w:val="single"/>
                </w:rPr>
                <w:t>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6">
              <w:r>
                <w:rPr>
                  <w:rStyle w:val="InternetLink"/>
                  <w:rFonts w:ascii="Times New Roman;serif" w:hAnsi="Times New Roman;serif"/>
                  <w:b w:val="false"/>
                  <w:color w:val="000080"/>
                  <w:sz w:val="20"/>
                  <w:u w:val="single"/>
                </w:rPr>
                <w:t>Condensed Consolidated Balance Sheets - June 30, 202</w:t>
              </w:r>
            </w:hyperlink>
            <w:hyperlink w:anchor="i8f13a0b0e9d84db88e2786a15be2f3a1_16">
              <w:r>
                <w:rPr>
                  <w:rStyle w:val="InternetLink"/>
                  <w:rFonts w:ascii="Times New Roman;serif" w:hAnsi="Times New Roman;serif"/>
                  <w:b w:val="false"/>
                  <w:color w:val="000080"/>
                  <w:sz w:val="20"/>
                  <w:u w:val="single"/>
                </w:rPr>
                <w:t>6</w:t>
              </w:r>
            </w:hyperlink>
            <w:hyperlink w:anchor="i8f13a0b0e9d84db88e2786a15be2f3a1_16">
              <w:r>
                <w:rPr>
                  <w:rStyle w:val="InternetLink"/>
                  <w:rFonts w:ascii="Times New Roman;serif" w:hAnsi="Times New Roman;serif"/>
                  <w:b w:val="false"/>
                  <w:color w:val="000080"/>
                  <w:sz w:val="20"/>
                  <w:u w:val="single"/>
                </w:rPr>
                <w:t xml:space="preserve"> and December 31, 20</w:t>
              </w:r>
            </w:hyperlink>
            <w:hyperlink w:anchor="i8f13a0b0e9d84db88e2786a15be2f3a1_16">
              <w:r>
                <w:rPr>
                  <w:rStyle w:val="InternetLink"/>
                  <w:rFonts w:ascii="Times New Roman;serif" w:hAnsi="Times New Roman;serif"/>
                  <w:b w:val="false"/>
                  <w:color w:val="000080"/>
                  <w:sz w:val="20"/>
                  <w:u w:val="single"/>
                </w:rPr>
                <w:t>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16">
              <w:r>
                <w:rPr>
                  <w:rStyle w:val="InternetLink"/>
                  <w:rFonts w:ascii="Times New Roman;serif" w:hAnsi="Times New Roman;serif"/>
                  <w:b w:val="false"/>
                  <w:color w:val="0000FF"/>
                  <w:sz w:val="20"/>
                  <w:u w:val="single"/>
                </w:rPr>
                <w:t>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13a0b0e9d84db88e2786a15be2f3a1_19">
              <w:r>
                <w:rPr>
                  <w:rStyle w:val="InternetLink"/>
                  <w:rFonts w:ascii="Times New Roman;serif" w:hAnsi="Times New Roman;serif"/>
                  <w:b w:val="false"/>
                  <w:color w:val="0000FF"/>
                  <w:sz w:val="20"/>
                  <w:u w:val="single"/>
                </w:rPr>
                <w:t>Condensed Consolidated Statements of Income and Comprehensive Income - Three and Six Months Ended June 30, 2026 and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19">
              <w:r>
                <w:rPr>
                  <w:rStyle w:val="InternetLink"/>
                  <w:rFonts w:ascii="Times New Roman;serif" w:hAnsi="Times New Roman;serif"/>
                  <w:b w:val="false"/>
                  <w:color w:val="0000FF"/>
                  <w:sz w:val="20"/>
                  <w:u w:val="single"/>
                </w:rPr>
                <w:t>4</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13a0b0e9d84db88e2786a15be2f3a1_22">
              <w:r>
                <w:rPr>
                  <w:rStyle w:val="InternetLink"/>
                  <w:rFonts w:ascii="Times New Roman;serif" w:hAnsi="Times New Roman;serif"/>
                  <w:b w:val="false"/>
                  <w:color w:val="000080"/>
                  <w:sz w:val="20"/>
                  <w:u w:val="single"/>
                </w:rPr>
                <w:t>Condensed Consolidated Statements of Changes in Equity - Three and Six Months Ended June 30, 202</w:t>
              </w:r>
            </w:hyperlink>
            <w:hyperlink w:anchor="i8f13a0b0e9d84db88e2786a15be2f3a1_22">
              <w:r>
                <w:rPr>
                  <w:rStyle w:val="InternetLink"/>
                  <w:rFonts w:ascii="Times New Roman;serif" w:hAnsi="Times New Roman;serif"/>
                  <w:b w:val="false"/>
                  <w:color w:val="000080"/>
                  <w:sz w:val="20"/>
                  <w:u w:val="single"/>
                </w:rPr>
                <w:t>6</w:t>
              </w:r>
            </w:hyperlink>
            <w:hyperlink w:anchor="i8f13a0b0e9d84db88e2786a15be2f3a1_22">
              <w:r>
                <w:rPr>
                  <w:rStyle w:val="InternetLink"/>
                  <w:rFonts w:ascii="Times New Roman;serif" w:hAnsi="Times New Roman;serif"/>
                  <w:b w:val="false"/>
                  <w:color w:val="000080"/>
                  <w:sz w:val="20"/>
                  <w:u w:val="single"/>
                </w:rPr>
                <w:t xml:space="preserve"> and 202</w:t>
              </w:r>
            </w:hyperlink>
            <w:r>
              <w:rPr>
                <w:rFonts w:ascii="Times New Roman;serif" w:hAnsi="Times New Roman;serif"/>
                <w:b w:val="false"/>
                <w:color w:val="000000"/>
                <w:sz w:val="20"/>
              </w:rPr>
              <w:t>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22">
              <w:r>
                <w:rPr>
                  <w:rStyle w:val="InternetLink"/>
                  <w:rFonts w:ascii="Times New Roman;serif" w:hAnsi="Times New Roman;serif"/>
                  <w:b w:val="false"/>
                  <w:color w:val="0000FF"/>
                  <w:sz w:val="20"/>
                  <w:u w:val="single"/>
                </w:rPr>
                <w:t>5</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f13a0b0e9d84db88e2786a15be2f3a1_25">
              <w:r>
                <w:rPr>
                  <w:rStyle w:val="InternetLink"/>
                  <w:rFonts w:ascii="Times New Roman;serif" w:hAnsi="Times New Roman;serif"/>
                  <w:b w:val="false"/>
                  <w:color w:val="000080"/>
                  <w:sz w:val="20"/>
                  <w:u w:val="single"/>
                </w:rPr>
                <w:t>Condensed Consolidated Statements of Cash Flows - Six Months Ended June 30, 202</w:t>
              </w:r>
            </w:hyperlink>
            <w:hyperlink w:anchor="i8f13a0b0e9d84db88e2786a15be2f3a1_25">
              <w:r>
                <w:rPr>
                  <w:rStyle w:val="InternetLink"/>
                  <w:rFonts w:ascii="Times New Roman;serif" w:hAnsi="Times New Roman;serif"/>
                  <w:b w:val="false"/>
                  <w:color w:val="000080"/>
                  <w:sz w:val="20"/>
                  <w:u w:val="single"/>
                </w:rPr>
                <w:t>6</w:t>
              </w:r>
            </w:hyperlink>
            <w:hyperlink w:anchor="i8f13a0b0e9d84db88e2786a15be2f3a1_25">
              <w:r>
                <w:rPr>
                  <w:rStyle w:val="InternetLink"/>
                  <w:rFonts w:ascii="Times New Roman;serif" w:hAnsi="Times New Roman;serif"/>
                  <w:b w:val="false"/>
                  <w:color w:val="000080"/>
                  <w:sz w:val="20"/>
                  <w:u w:val="single"/>
                </w:rPr>
                <w:t xml:space="preserve"> and 202</w:t>
              </w:r>
            </w:hyperlink>
            <w:r>
              <w:rPr>
                <w:rFonts w:ascii="Times New Roman;serif" w:hAnsi="Times New Roman;serif"/>
                <w:b w:val="false"/>
                <w:color w:val="000000"/>
                <w:sz w:val="20"/>
              </w:rPr>
              <w:t>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25">
              <w:r>
                <w:rPr>
                  <w:rStyle w:val="InternetLink"/>
                  <w:rFonts w:ascii="Times New Roman;serif" w:hAnsi="Times New Roman;serif"/>
                  <w:b w:val="false"/>
                  <w:color w:val="0000FF"/>
                  <w:sz w:val="20"/>
                  <w:u w:val="single"/>
                </w:rPr>
                <w:t>7</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28">
              <w:r>
                <w:rPr>
                  <w:rStyle w:val="InternetLink"/>
                  <w:rFonts w:ascii="Times New Roman;serif" w:hAnsi="Times New Roman;serif"/>
                  <w:b w:val="false"/>
                  <w:color w:val="0000FF"/>
                  <w:sz w:val="20"/>
                  <w:u w:val="single"/>
                </w:rPr>
                <w:t>Notes to the Condensed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28">
              <w:r>
                <w:rPr>
                  <w:rStyle w:val="InternetLink"/>
                  <w:rFonts w:ascii="Times New Roman;serif" w:hAnsi="Times New Roman;serif"/>
                  <w:b w:val="false"/>
                  <w:color w:val="0000FF"/>
                  <w:sz w:val="20"/>
                  <w:u w:val="single"/>
                </w:rPr>
                <w:t>8</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79">
              <w:r>
                <w:rPr>
                  <w:rStyle w:val="InternetLink"/>
                  <w:rFonts w:ascii="Times New Roman;serif" w:hAnsi="Times New Roman;serif"/>
                  <w:b w:val="false"/>
                  <w:color w:val="0000FF"/>
                  <w:sz w:val="20"/>
                  <w:u w:val="single"/>
                </w:rPr>
                <w:t>ITEM 2.</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79">
              <w:r>
                <w:rPr>
                  <w:rStyle w:val="InternetLink"/>
                  <w:rFonts w:ascii="Times New Roman;serif" w:hAnsi="Times New Roman;serif"/>
                  <w:b w:val="false"/>
                  <w:color w:val="0000FF"/>
                  <w:sz w:val="20"/>
                  <w:u w:val="single"/>
                </w:rPr>
                <w:t>33</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94">
              <w:r>
                <w:rPr>
                  <w:rStyle w:val="InternetLink"/>
                  <w:rFonts w:ascii="Times New Roman;serif" w:hAnsi="Times New Roman;serif"/>
                  <w:b w:val="false"/>
                  <w:color w:val="0000FF"/>
                  <w:sz w:val="20"/>
                  <w:u w:val="single"/>
                </w:rPr>
                <w:t>ITEM 3.</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94">
              <w:r>
                <w:rPr>
                  <w:rStyle w:val="InternetLink"/>
                  <w:rFonts w:ascii="Times New Roman;serif" w:hAnsi="Times New Roman;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94">
              <w:r>
                <w:rPr>
                  <w:rStyle w:val="InternetLink"/>
                  <w:rFonts w:ascii="Times New Roman;serif" w:hAnsi="Times New Roman;serif"/>
                  <w:b w:val="false"/>
                  <w:color w:val="0000FF"/>
                  <w:sz w:val="20"/>
                  <w:u w:val="single"/>
                </w:rPr>
                <w:t>57</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97">
              <w:r>
                <w:rPr>
                  <w:rStyle w:val="InternetLink"/>
                  <w:rFonts w:ascii="Times New Roman;serif" w:hAnsi="Times New Roman;serif"/>
                  <w:b w:val="false"/>
                  <w:color w:val="0000FF"/>
                  <w:sz w:val="20"/>
                  <w:u w:val="single"/>
                </w:rPr>
                <w:t>ITEM 4.</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97">
              <w:r>
                <w:rPr>
                  <w:rStyle w:val="InternetLink"/>
                  <w:rFonts w:ascii="Times New Roman;serif" w:hAnsi="Times New Roman;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97">
              <w:r>
                <w:rPr>
                  <w:rStyle w:val="InternetLink"/>
                  <w:rFonts w:ascii="Times New Roman;serif" w:hAnsi="Times New Roman;serif"/>
                  <w:b w:val="false"/>
                  <w:color w:val="0000FF"/>
                  <w:sz w:val="20"/>
                  <w:u w:val="single"/>
                </w:rPr>
                <w:t>58</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00">
              <w:r>
                <w:rPr>
                  <w:rStyle w:val="InternetLink"/>
                  <w:rFonts w:ascii="Times New Roman;serif" w:hAnsi="Times New Roman;serif"/>
                  <w:b w:val="false"/>
                  <w:color w:val="0000FF"/>
                  <w:sz w:val="20"/>
                  <w:u w:val="single"/>
                </w:rPr>
                <w:t>PART II.</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00">
              <w:r>
                <w:rPr>
                  <w:rStyle w:val="InternetLink"/>
                  <w:rFonts w:ascii="Times New Roman;serif" w:hAnsi="Times New Roman;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100">
              <w:r>
                <w:rPr>
                  <w:rStyle w:val="InternetLink"/>
                  <w:rFonts w:ascii="Times New Roman;serif" w:hAnsi="Times New Roman;serif"/>
                  <w:b w:val="false"/>
                  <w:color w:val="0000FF"/>
                  <w:sz w:val="20"/>
                  <w:u w:val="single"/>
                </w:rPr>
                <w:t>59</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03">
              <w:r>
                <w:rPr>
                  <w:rStyle w:val="InternetLink"/>
                  <w:rFonts w:ascii="Times New Roman;serif" w:hAnsi="Times New Roman;serif"/>
                  <w:b w:val="false"/>
                  <w:color w:val="0000FF"/>
                  <w:sz w:val="20"/>
                  <w:u w:val="single"/>
                </w:rPr>
                <w:t>ITEM 1.</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03">
              <w:r>
                <w:rPr>
                  <w:rStyle w:val="InternetLink"/>
                  <w:rFonts w:ascii="Times New Roman;serif" w:hAnsi="Times New Roman;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103">
              <w:r>
                <w:rPr>
                  <w:rStyle w:val="InternetLink"/>
                  <w:rFonts w:ascii="Times New Roman;serif" w:hAnsi="Times New Roman;serif"/>
                  <w:b w:val="false"/>
                  <w:color w:val="0000FF"/>
                  <w:sz w:val="20"/>
                  <w:u w:val="single"/>
                </w:rPr>
                <w:t>59</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06">
              <w:r>
                <w:rPr>
                  <w:rStyle w:val="InternetLink"/>
                  <w:rFonts w:ascii="Times New Roman;serif" w:hAnsi="Times New Roman;serif"/>
                  <w:b w:val="false"/>
                  <w:color w:val="0000FF"/>
                  <w:sz w:val="20"/>
                  <w:u w:val="single"/>
                </w:rPr>
                <w:t>ITEM 1A.</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06">
              <w:r>
                <w:rPr>
                  <w:rStyle w:val="InternetLink"/>
                  <w:rFonts w:ascii="Times New Roman;serif" w:hAnsi="Times New Roman;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106">
              <w:r>
                <w:rPr>
                  <w:rStyle w:val="InternetLink"/>
                  <w:rFonts w:ascii="Times New Roman;serif" w:hAnsi="Times New Roman;serif"/>
                  <w:b w:val="false"/>
                  <w:color w:val="0000FF"/>
                  <w:sz w:val="20"/>
                  <w:u w:val="single"/>
                </w:rPr>
                <w:t>59</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09">
              <w:r>
                <w:rPr>
                  <w:rStyle w:val="InternetLink"/>
                  <w:rFonts w:ascii="Times New Roman;serif" w:hAnsi="Times New Roman;serif"/>
                  <w:b w:val="false"/>
                  <w:color w:val="0000FF"/>
                  <w:sz w:val="20"/>
                  <w:u w:val="single"/>
                </w:rPr>
                <w:t>ITEM 2.</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09">
              <w:r>
                <w:rPr>
                  <w:rStyle w:val="InternetLink"/>
                  <w:rFonts w:ascii="Times New Roman;serif" w:hAnsi="Times New Roman;serif"/>
                  <w:b w:val="false"/>
                  <w:color w:val="0000FF"/>
                  <w:sz w:val="20"/>
                  <w:u w:val="single"/>
                </w:rPr>
                <w:t>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109">
              <w:r>
                <w:rPr>
                  <w:rStyle w:val="InternetLink"/>
                  <w:rFonts w:ascii="Times New Roman;serif" w:hAnsi="Times New Roman;serif"/>
                  <w:b w:val="false"/>
                  <w:color w:val="0000FF"/>
                  <w:sz w:val="20"/>
                  <w:u w:val="single"/>
                </w:rPr>
                <w:t>59</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12">
              <w:r>
                <w:rPr>
                  <w:rStyle w:val="InternetLink"/>
                  <w:rFonts w:ascii="Times New Roman;serif" w:hAnsi="Times New Roman;serif"/>
                  <w:b w:val="false"/>
                  <w:color w:val="0000FF"/>
                  <w:sz w:val="20"/>
                  <w:u w:val="single"/>
                </w:rPr>
                <w:t>ITEM 3.</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12">
              <w:r>
                <w:rPr>
                  <w:rStyle w:val="InternetLink"/>
                  <w:rFonts w:ascii="Times New Roman;serif" w:hAnsi="Times New Roman;serif"/>
                  <w:b w:val="false"/>
                  <w:color w:val="0000FF"/>
                  <w:sz w:val="20"/>
                  <w:u w:val="single"/>
                </w:rPr>
                <w:t>DEFAULTS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112">
              <w:r>
                <w:rPr>
                  <w:rStyle w:val="InternetLink"/>
                  <w:rFonts w:ascii="Times New Roman;serif" w:hAnsi="Times New Roman;serif"/>
                  <w:b w:val="false"/>
                  <w:color w:val="0000FF"/>
                  <w:sz w:val="20"/>
                  <w:u w:val="single"/>
                </w:rPr>
                <w:t>59</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15">
              <w:r>
                <w:rPr>
                  <w:rStyle w:val="InternetLink"/>
                  <w:rFonts w:ascii="Times New Roman;serif" w:hAnsi="Times New Roman;serif"/>
                  <w:b w:val="false"/>
                  <w:color w:val="0000FF"/>
                  <w:sz w:val="20"/>
                  <w:u w:val="single"/>
                </w:rPr>
                <w:t>ITEM 4.</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15">
              <w:r>
                <w:rPr>
                  <w:rStyle w:val="InternetLink"/>
                  <w:rFonts w:ascii="Times New Roman;serif" w:hAnsi="Times New Roman;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115">
              <w:r>
                <w:rPr>
                  <w:rStyle w:val="InternetLink"/>
                  <w:rFonts w:ascii="Times New Roman;serif" w:hAnsi="Times New Roman;serif"/>
                  <w:b w:val="false"/>
                  <w:color w:val="0000FF"/>
                  <w:sz w:val="20"/>
                  <w:u w:val="single"/>
                </w:rPr>
                <w:t>59</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18">
              <w:r>
                <w:rPr>
                  <w:rStyle w:val="InternetLink"/>
                  <w:rFonts w:ascii="Times New Roman;serif" w:hAnsi="Times New Roman;serif"/>
                  <w:b w:val="false"/>
                  <w:color w:val="0000FF"/>
                  <w:sz w:val="20"/>
                  <w:u w:val="single"/>
                </w:rPr>
                <w:t>ITEM 5.</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18">
              <w:r>
                <w:rPr>
                  <w:rStyle w:val="InternetLink"/>
                  <w:rFonts w:ascii="Times New Roman;serif" w:hAnsi="Times New Roman;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118">
              <w:r>
                <w:rPr>
                  <w:rStyle w:val="InternetLink"/>
                  <w:rFonts w:ascii="Times New Roman;serif" w:hAnsi="Times New Roman;serif"/>
                  <w:b w:val="false"/>
                  <w:color w:val="0000FF"/>
                  <w:sz w:val="20"/>
                  <w:u w:val="single"/>
                </w:rPr>
                <w:t>59</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24">
              <w:r>
                <w:rPr>
                  <w:rStyle w:val="InternetLink"/>
                  <w:rFonts w:ascii="Times New Roman;serif" w:hAnsi="Times New Roman;serif"/>
                  <w:b w:val="false"/>
                  <w:color w:val="0000FF"/>
                  <w:sz w:val="20"/>
                  <w:u w:val="single"/>
                </w:rPr>
                <w:t>ITEM 6.</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24">
              <w:r>
                <w:rPr>
                  <w:rStyle w:val="InternetLink"/>
                  <w:rFonts w:ascii="Times New Roman;serif" w:hAnsi="Times New Roman;serif"/>
                  <w:b w:val="false"/>
                  <w:color w:val="0000FF"/>
                  <w:sz w:val="20"/>
                  <w:u w:val="single"/>
                </w:rPr>
                <w:t>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124">
              <w:r>
                <w:rPr>
                  <w:rStyle w:val="InternetLink"/>
                  <w:rFonts w:ascii="Times New Roman;serif" w:hAnsi="Times New Roman;serif"/>
                  <w:b w:val="false"/>
                  <w:color w:val="0000FF"/>
                  <w:sz w:val="20"/>
                  <w:u w:val="single"/>
                </w:rPr>
                <w:t>61</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13a0b0e9d84db88e2786a15be2f3a1_127">
              <w:r>
                <w:rPr>
                  <w:rStyle w:val="InternetLink"/>
                  <w:rFonts w:ascii="Times New Roman;serif" w:hAnsi="Times New Roman;serif"/>
                  <w:b w:val="false"/>
                  <w:color w:val="0000FF"/>
                  <w:sz w:val="20"/>
                  <w:u w:val="single"/>
                </w:rPr>
                <w:t>SIGNATURE</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f13a0b0e9d84db88e2786a15be2f3a1_127">
              <w:r>
                <w:rPr>
                  <w:rStyle w:val="InternetLink"/>
                  <w:rFonts w:ascii="Times New Roman;serif" w:hAnsi="Times New Roman;serif"/>
                  <w:b w:val="false"/>
                  <w:color w:val="0000FF"/>
                  <w:sz w:val="20"/>
                  <w:u w:val="single"/>
                </w:rPr>
                <w:t>62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97205"/>
                <wp:effectExtent l="0" t="0" r="0" b="0"/>
                <wp:wrapNone/>
                <wp:docPr id="2" name="Frame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627"/>
        <w:gridCol w:w="2192"/>
        <w:gridCol w:w="2210"/>
        <w:gridCol w:w="211"/>
        <w:gridCol w:w="1081"/>
        <w:gridCol w:w="109"/>
        <w:gridCol w:w="109"/>
        <w:gridCol w:w="109"/>
        <w:gridCol w:w="109"/>
        <w:gridCol w:w="211"/>
        <w:gridCol w:w="1081"/>
        <w:gridCol w:w="156"/>
      </w:tblGrid>
      <w:tr>
        <w:trPr/>
        <w:tc>
          <w:tcPr>
            <w:tcW w:w="2627"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financing receivables,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2,557,504 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sales-type,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and land rights,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12,909,609 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wages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unamortized debt issuance costs, bond premiums and original issuance discounts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8,077,741 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7,203,731 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rental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8,773,788 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7,901,349 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9)</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($.01 par value, 50,000,000 shares authorized, no shares issued or outstanding at June 30, 2026 and December 31, 2025)</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($.01 par value, 500,000,000 shares authorized, 290,919,328 and 283,037,310 shares issued and outstanding at June 30, 2026 and December 31, 2025,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6,613,488 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(1,990,770)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Gaming and Leisure Properties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4,983,316 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4,626,452 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GLPI's Operating Partnership (8,473,163 units and 8,224,939 outstanding at June 30, 2026 and December 31, 2025,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equity </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5,381,427 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5,008,260 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liabilities and equity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14,155,215 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12,909,609 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205"/>
                <wp:effectExtent l="0" t="0" r="0" b="0"/>
                <wp:wrapNone/>
                <wp:docPr id="3" name="Frame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26"/>
        <w:gridCol w:w="1379"/>
        <w:gridCol w:w="138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82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 in leases, financing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real estate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income from real estate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790,111 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and ground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from dispositions of property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(benefit) for credit losses,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289,213 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500,898 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Losses on debt extinguishment and other financing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(173,270)</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326,519 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the Operating Partnership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shareholders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attributable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attributable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cash flow hedges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to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327,383 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 in the Operating Partnership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common shareholders</w:t>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317,460 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205"/>
                <wp:effectExtent l="0" t="0" r="0" b="0"/>
                <wp:wrapNone/>
                <wp:docPr id="4" name="Frame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10593" w:type="dxa"/>
        <w:jc w:val="center"/>
        <w:tblInd w:w="0" w:type="dxa"/>
        <w:tblLayout w:type="fixed"/>
        <w:tblCellMar>
          <w:top w:w="28" w:type="dxa"/>
          <w:left w:w="28" w:type="dxa"/>
          <w:bottom w:w="28" w:type="dxa"/>
          <w:right w:w="28" w:type="dxa"/>
        </w:tblCellMar>
      </w:tblPr>
      <w:tblGrid>
        <w:gridCol w:w="899"/>
        <w:gridCol w:w="263"/>
        <w:gridCol w:w="264"/>
        <w:gridCol w:w="593"/>
        <w:gridCol w:w="593"/>
        <w:gridCol w:w="196"/>
        <w:gridCol w:w="109"/>
        <w:gridCol w:w="109"/>
        <w:gridCol w:w="109"/>
        <w:gridCol w:w="211"/>
        <w:gridCol w:w="616"/>
        <w:gridCol w:w="109"/>
        <w:gridCol w:w="211"/>
        <w:gridCol w:w="976"/>
        <w:gridCol w:w="109"/>
        <w:gridCol w:w="211"/>
        <w:gridCol w:w="991"/>
        <w:gridCol w:w="109"/>
        <w:gridCol w:w="326"/>
        <w:gridCol w:w="720"/>
        <w:gridCol w:w="170"/>
        <w:gridCol w:w="221"/>
        <w:gridCol w:w="865"/>
        <w:gridCol w:w="115"/>
        <w:gridCol w:w="211"/>
        <w:gridCol w:w="976"/>
        <w:gridCol w:w="311"/>
      </w:tblGrid>
      <w:tr>
        <w:trPr/>
        <w:tc>
          <w:tcPr>
            <w:tcW w:w="8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Operating Partnership</w:t>
            </w:r>
          </w:p>
        </w:tc>
        <w:tc>
          <w:tcPr>
            <w:tcW w:w="14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4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283,037,310 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(1,990,770)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381,808 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5,008,260 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and LTIP unit activity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Dividends paid ($0.78 per common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(221,068)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operating partnership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on cash flow hedges to 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239,402 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283,221,841 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401,966 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5,036,829 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costs</w:t>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7,589,487 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350,795 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350,871 </w:t>
            </w:r>
          </w:p>
        </w:tc>
        <w:tc>
          <w:tcPr>
            <w:tcW w:w="3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and LTIP unit activity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Dividends paid ($0.82 per common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on cash flow hedges to 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noncontrolling interests to common shares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234,944 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290,919,328 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6,969,771 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(1,990,222)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398,111 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5,381,427 </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205"/>
                <wp:effectExtent l="0" t="0" r="0" b="0"/>
                <wp:wrapNone/>
                <wp:docPr id="5" name="Frame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tbl>
      <w:tblPr>
        <w:tblW w:w="10473" w:type="dxa"/>
        <w:jc w:val="center"/>
        <w:tblInd w:w="0" w:type="dxa"/>
        <w:tblLayout w:type="fixed"/>
        <w:tblCellMar>
          <w:top w:w="28" w:type="dxa"/>
          <w:left w:w="28" w:type="dxa"/>
          <w:bottom w:w="28" w:type="dxa"/>
          <w:right w:w="28" w:type="dxa"/>
        </w:tblCellMar>
      </w:tblPr>
      <w:tblGrid>
        <w:gridCol w:w="824"/>
        <w:gridCol w:w="263"/>
        <w:gridCol w:w="264"/>
        <w:gridCol w:w="593"/>
        <w:gridCol w:w="593"/>
        <w:gridCol w:w="196"/>
        <w:gridCol w:w="109"/>
        <w:gridCol w:w="109"/>
        <w:gridCol w:w="109"/>
        <w:gridCol w:w="211"/>
        <w:gridCol w:w="616"/>
        <w:gridCol w:w="109"/>
        <w:gridCol w:w="211"/>
        <w:gridCol w:w="976"/>
        <w:gridCol w:w="109"/>
        <w:gridCol w:w="211"/>
        <w:gridCol w:w="991"/>
        <w:gridCol w:w="109"/>
        <w:gridCol w:w="314"/>
        <w:gridCol w:w="694"/>
        <w:gridCol w:w="163"/>
        <w:gridCol w:w="221"/>
        <w:gridCol w:w="865"/>
        <w:gridCol w:w="115"/>
        <w:gridCol w:w="211"/>
        <w:gridCol w:w="976"/>
        <w:gridCol w:w="311"/>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Operating Partnership</w:t>
            </w:r>
          </w:p>
        </w:tc>
        <w:tc>
          <w:tcPr>
            <w:tcW w:w="14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4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274,422,549 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6,209,827 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(1,944,009)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376,962 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4,645,524 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and LTIP unit activity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Dividends paid ($0.76 per common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170,354 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274,832,999 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(1,987,886)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379,317 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4,594,528 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costs</w:t>
            </w:r>
          </w:p>
        </w:tc>
        <w:tc>
          <w:tcPr>
            <w:tcW w:w="11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8,170,387 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402,956 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403,038 </w:t>
            </w:r>
          </w:p>
        </w:tc>
        <w:tc>
          <w:tcPr>
            <w:tcW w:w="3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and LTIP unit activity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Dividends paid ($0.78 per common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(220,933)</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cash flow hedges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156,165 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283,007,539 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6,608,591 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(2,057,380)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378,432 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4,933,310 </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205"/>
                <wp:effectExtent l="0" t="0" r="0" b="0"/>
                <wp:wrapNone/>
                <wp:docPr id="6" name="Frame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549"/>
        <w:gridCol w:w="2205"/>
        <w:gridCol w:w="2229"/>
        <w:gridCol w:w="109"/>
        <w:gridCol w:w="109"/>
        <w:gridCol w:w="109"/>
        <w:gridCol w:w="212"/>
        <w:gridCol w:w="836"/>
        <w:gridCol w:w="109"/>
        <w:gridCol w:w="109"/>
        <w:gridCol w:w="109"/>
        <w:gridCol w:w="109"/>
        <w:gridCol w:w="211"/>
        <w:gridCol w:w="826"/>
        <w:gridCol w:w="109"/>
        <w:gridCol w:w="109"/>
        <w:gridCol w:w="156"/>
      </w:tblGrid>
      <w:tr>
        <w:trPr/>
        <w:tc>
          <w:tcPr>
            <w:tcW w:w="2549"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items charged to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gain on cash flow hedges and loan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Accretion on investment in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held to maturity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 to financing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from dispositions of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 and deferred rent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credit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wages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project and maintenance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net of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Expenditures for property and equipment,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 of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real estate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held to maturity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(1,262,776)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shares withheld for tax purposes on restricted stock award vestings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604,164 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and Note 14 for supplemental cash flow information and noncash investing and 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205"/>
                <wp:effectExtent l="0" t="0" r="0" b="0"/>
                <wp:wrapNone/>
                <wp:docPr id="7" name="Frame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Business and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Gaming and Leisure Properties, Inc. ("GLPI") is a self-administered and self-managed Pennsylvania real estate investment trust ("REIT"). GLPI (together with its subsidiaries, the "Company") was incorporated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2021, the Company has been structured as an umbrella partnership REIT under which substantially all of its business is conducted through GLP Capital, L.P. ("GLP Capital"), the day-to-day management of which is exclusively controlled by GLPI. GLPI has no material assets other than its investment in GLP Capital. GLPI issues equity from time to time and is obligated to contribute the net proceeds from those offerings to GLP Capital. As of June 30, 2026, GLPI owned approximately 96.9% of the outstanding units of GLP Capital with the remaining 3.1% owned by third-party limited partners who (directly or through affiliates) contributed properties to GLP Capital in exchange for consideration that was partially funded through the issuance of operating partnership units ("OP Units") and holders of long-term incentive plan units ("LTIP Units"). The OP Units and LTIP Units once vested are redeemable for cash or, at the Company's option, shares of common stock of the Company on a one-for-one basis. The Company's common stock is listed on the NASDAQ under the ticker symbol GLPI.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debt of the Company, including revolving credit facilities, term loans and senior unsecured notes, is incurred by GLP Capital and its subsidiaries. GLPI has fully and unconditionally guaranteed all of the Company's outstanding senior unsecured notes.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seeks to provide an opportunity to invest in the growth opportunities afforded by the gaming industry, with the stability and cash flow opportunities of a REIT. GLPI’s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The Company also extends loans that produce fixed or variable returns which may convert into leased rent upon project completion or stabilization.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GLPI’s portfolio consisted of interests in 71 gaming and related facilities, including the real property associated with 34 gaming and related facilities operated by PENN, the real property associated with 6 gaming and related facilities operated by Caesars Entertainment, Inc. (NASDAQ: CZR) ("Caesars"), the real property associated with 4 gaming and related facilities operated by Boyd Gaming Corporation (NYSE: BYD) ("Boyd"), the real property associated with 16 gaming and related facilities operated by Bally's Corporation (NYSE: BALY) ("Bally's") and 2 facilities under development; one for Bally's in Chicago, Illinois, and the other for The Cordish Companies ("Cordish") and Bruce Smith Enterprise in Petersburg, Virginia, the real property associated with 3 gaming and related facilities operated by Cordish, 1 gaming facility managed by a subsidiary of Hard Rock International ("Hard Rock"), 4 gaming and related facilities operated by Strategic Gaming Management, LLC ("Strategic") and 1 gaming and related facility operated by American Racing &amp; Entertainment ("American Racing").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205"/>
                <wp:effectExtent l="0" t="0" r="0" b="0"/>
                <wp:wrapNone/>
                <wp:docPr id="8" name="Frame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PENN 2023 Master Lease and Amended PENN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 2023, the Company amended its original master lease with PENN (the "Amended PENN Master Lease") to remove 5 properties from it and created a new master lease (the "PENN 2023 Master Lease"). In addition, the existing leases for the Hollywood Casino at The Meadows in Pennsylvania and the Hollywood Casino Perryville in Maryland were terminated and these properties were transferred into the PENN 2023 Master Lease. Both the Amended PENN Master Lease and the PENN 2023 Master Lease are triple-net operating leases, the terms of which expire on October 31, 2033, with no purchase options, followed by three remaining 5-year renewal options (exercisable by the tenant) on the same terms and conditions.</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Rent under the PENN 2023 Master Lease is fixed with annual escalations on the entirety of rent increasing by 1.5% annually on November 1. In addition to the fixed escalations, a one-time annualized increase of $1.4 million is scheduled to occur on November 1, 2027. The rent structure under the Amended PENN Master Lease includes a fixed component, a portion of which is subject to an annual 2% escalator if certain rent coverage ratio thresholds are met, and a component that is based on the revenues of the facilities, which is prospectively adjusted, subject to certain floors (namely the Hollywood Casino at Penn National Race Course property due to PENN's opening of a competing facility) every 5 years to an amount equal to 4% of the average net revenues of all facilities under the Amended PENN Master Lease during the preceding five years in excess of a contractual baseline.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GLPI also agreed to fund certain potential development projects in the PENN 2023 Master Lease. On August 1, 2025, GLPI funded $130 million for the relocation of Hollywood Casino Joliet, which opened on August 11, 2025, and is subject to a 7.75% capitalization rate. The Company also previously funded $5 million to reimburse PENN for land site development costs for the Joliet project. On November 3, 2025, GLPI funded $150 million for PENN's M Resort new hotel tower and conference center expansion, which opened to the public on December 1, 2025, at a capitalization rate of 7.79%. Finally, on June 24, 2026, the Company funded $216.3 million to complete the $225 million commitment for PENN's Aurora landside development project at a 7.75% capitalization rate. Rent for each project began accruing as the related funding was advanced and each commitment has now been completed.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Amended Pinnacle Master Lease, Boyd Master Lease and Belterra Park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2016, the Company acquired substantially all of the real estate assets of Pinnacle Entertainment, Inc. ("Pinnacle") and leased these assets back to Pinnacle, under a unitary triple-net lease, the term of which expires April 30, 2031, with no purchase option, followed by four remaining 5-year renewal options (exercisable by the tenant) on the same terms and conditions (the "Pinnacle Master Lease"). The Pinnacle Master Lease includes a fixed component, a portion of which is subject to an annual escalator of up to 2% if certain rent coverage ratio thresholds are met and a component that is based on the performance of the facilities, which is prospectively adjusted subject to certain floors (namely the Bossier City Boomtown property due to PENN's acquisition of a competing facility), every two years to an amount equal to 4% of the average net revenues of all facilities under the Pinnacle Master Lease during the preceding two years in excess of a contractual baseline.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15, 2018, the Company completed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expires April 30, 2031, with no purchase option, followed by four 5-year renewal options (exercisable by the tenant) on the same terms and conditions. The Boyd Master Lease includes a fixed component, a portion of which is subject to an annual 2% escalator if certain rent coverage ratio thresholds are met and a component that is based on the performance of the facilities, which is prospectively adjusted every two years to an amount equal to 4% of the average net revenues of all facilities under the Boyd Master Lease during the preceding two years in excess of a contractual baseline.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purchased the real estate assets of Plainridge Park Casino ("Plainridge Park") from PENN and added this property to the Amended Pinnacle Master Lease. The Amended Pinnacle Master Lease was assumed by PENN at the consummation of the PENN-Pinnacle Merger.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 affiliate operating the property.</w:t>
      </w:r>
      <w:r>
        <w:rPr>
          <w:color w:val="000000"/>
        </w:rPr>
        <w:t xml:space="preserve"> </w:t>
      </w:r>
      <w:r>
        <w:rPr>
          <w:rFonts w:ascii="Times New Roman;serif" w:hAnsi="Times New Roman;serif"/>
          <w:b w:val="false"/>
          <w:color w:val="000000"/>
          <w:sz w:val="20"/>
        </w:rPr>
        <w:t xml:space="preserve">The Belterra Park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205"/>
                <wp:effectExtent l="0" t="0" r="0" b="0"/>
                <wp:wrapNone/>
                <wp:docPr id="9" name="Frame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Lease rent terms are consistent with the Boyd Master Lease and expires on April 30, 2031, with no purchase option, followed by four, 5-year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PENN announced its intention to relocate its Ameristar Council Bluffs riverboat casino, for which GLPI has committed up to $150 million or the hard costs associated with the project, whichever is greater, at a 7.10% cap rate, which can be structured, at the discretion of PENN, as rent, or a 5-year term loan.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Amended and Restated Caesars Master Lease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 2018, the Company entered into a master lease with Caesars, which expires on September 30, 2038, with no purchase option, with four separate renewal options of 5 years each, exercisable at the tenant's option, on the same terms and conditions (as amended, the "Amended and Restated Caesars Master Lease"). The annual rent increases by 1.75% in the seventh and eighth lease years and 2% in the ninth lease year and each lease year thereafter.</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Horseshoe St. Louis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single property lease with Caesars for the real estate assets of Horseshoe St. Louis (the "Horseshoe St. Louis Lease") which became effective on September 29, 2020, with no purchase option, whose initial term expires on October 31, 2033, with four separate renewal options of five years each, exercisable at the tenant's option. The Horseshoe St. Louis Lease annual rent increases by 1.25% for the second through fifth lease years, increasing to 1.75% for the sixth and seventh lease years and thereafter increasing by 2.0% for the remainder of the lease.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Bally's Master Lease, Bally's Chicago Lease, Bally's Master Lease II, the Casino Queen Master Lease and the Tropicana Las Vegas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leases and development agreements with Bally's. The Bally's Master Lease was entered into on June 3, 2021 and subsequent to this date several additional real estate assets of Bally's were added to it (the "Bally's Master Lease"). The annual rent on the Bally's Master Lease is subject to contractual escalations based on the Consumer Price Index ("CPI") with a 1% floor and a 2% ceiling, subject to the CPI meeting a 0.5% threshold. The Bally's Master Lease has an initial term of 15 years, with no purchase option, followed by four 5-year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2024, the Company assumed the ground lease for the real estate of the Bally's Chicago Casino Resort ("Bally's Chicago") site between the existing third party and Bally's for approximately $250 million. The ground lease was amended such that the Company receives initial annual rent of $20 million. In July 2025, the Company entered into a development agreement for Bally's Chicago and amended the existing land lease to include the building (the "Bally's Chicago Lease"). The Bally's Chicago Lease has an initial term of 15 years, followed by four 5-year renewals, exercisable at the tenant's option. The Bally's Chicago Lease's annual rent increases 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intends to fund real estate construction costs of up to $940.0 million for the planned Bally's Chicago. This development funding is expected to extend into 2027. The Company would own all funded improvements, which would be leased to Bally’s with rent commencing as advances are made at an initial annual yield of 8.5%. As of June 30, 2026, $475.7 million of real estate construction costs have been funded by the Company. Rental income on the land and development funding is being deferred until the project is substantially completed and ready for its intended use. This amount is recorded in deferred rental revenue on the Company's Condensed Consolidated Balance Sheet and totaled $53.0 million and $28.7 million at June 30, 2026 and December 31, 2025, respectively.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16, 2024, the Company completed the purchase of the real property assets of both Bally’s Kansas City Casino and Bally’s Shreveport Casino &amp; Hotel. The two properties are in a new master lease that is cross-defaulted with the existing Bally’s Master Lease (the "Bally's Master Lease II"). The annual rent is subject to contractual escalations based on CPI with a 1% floor and a 2% ceiling, subject to CPI meeting a 0.5% threshold. Bally's Master Lease II has an initial term of 15 years, with no purchase option, followed by four 5-year renewal options (exercisable by the tenant) on the same terms and conditions. Effective July 1, 2025, the DraftKings at Casino Queen and The Queen Baton Rouge properties in the Casino Queen Master Lease were transferred to Bally's Master Lease II. Additionally, annual rental income of $28.9 million was reallocated from the Casino Queen Master Lease to Bally's Master Lease II. Finally, on February 11, 2026, the Company exercised its call right for Bally's Twin River Casino Resort ("Bally's Lincoln"), acquiring the real estate assets for a purchase price of $700 million and additional annual rent of $56 million and adding the property to Bally's Master Lease II.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205"/>
                <wp:effectExtent l="0" t="0" r="0" b="0"/>
                <wp:wrapNone/>
                <wp:docPr id="10" name="Frame1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7, 2025, Bally's completed its merger transactions with Standard General L.P. and its affiliates, and pursuant to the terms of the merger agreement, The Queen Casino &amp; Entertainment ("Casino Queen") is now a subsidiary of Bally's.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 master lease with Casino Queen which became effective December 17, 2021 (as amended, the "Casino Queen Master Lease"). The lease has an initial term of 15 years, with no purchase option, with four separate five year renewal options exercisable by the tenant on the same terms and conditions. Annual rent increases by 0.5% for the first six years. Beginning with the seventh lease year through the remainder of the lease term, if the CPI increases by at least 0.25% for any lease year then annual rent shall be increased by 1.25%, and if the CPI is less than 0.25% then rent will remain unchanged for such lease year. Effective July 1, 2025, the DraftKings at Casino Queen and The Queen Baton Rouge properties in the Casino Queen Master Lease were transferred to Bally's Master Lease II as previously discussed.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3, 2024, the Company announced that it agreed to fund and oversee a landside development project and hotel renovation of The Belle of Baton Rouge for Casino Queen. GLPI funded approximately $111 million for the projects. The renovated hotel was opened to the public on March 31, 2025. Casino Queen began paying an incremental rental yield of 9% on the development funding effective May 30, 2025. The landside development project was completed and opened to the public in December 2025 and has been rebranded as Bally's Baton Rouge.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funded $16.5 million of construction costs for a landside development project at Casino Queen Marquette at an 8.25% capitalization rate. The project was completed and opened to the public in March 2026, at which time the property was rebranded as Bally's Marquette.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16, 2020, the Company and certain of its subsidiaries acquired the real property associated with the Tropicana Las Vegas from PENN in exchange for $307.5 million of rent credits which were applied against future rent obligations due under the parties' leases in effect during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a ground lease for an initial term of 50 years (with a maximum term of 99 years inclusive of tenant renewal options) (as amended, the "Tropicana Las Vegas Lease"). All rent is subject to contractual escalations based on the CPI, with a 1% floor and 2% ceiling, subject to the CPI meeting a 0.5% threshold. The Tropicana Las Vegas Lease is supported by a Bally’s corporate guarantee.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13, 2023, the Company, Tropicana Las Vegas, Inc., a Nevada corporation and wholly owned subsidiary of Bally’s, and Athletics Holdings LLC (“Athletics”), which owns the Major League Baseball team currently known as the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7205"/>
                <wp:effectExtent l="0" t="0" r="0" b="0"/>
                <wp:wrapNone/>
                <wp:docPr id="11" name="Frame1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late August 2024, the Company funded $48.5 million to Bally's that was used to pay for the demolition costs of the Tropicana Las Vegas as part of the development plans for the Stadium and annual rent was increased by $4.1 million as a result. The change in rent terms resulted in a lease reconsideration event that resulted in the lease being classified as a sales-type lease, whereas previously it was accounted for as an operating lease.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Morgantown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2020, the Company acquired the land under PENN's gaming facility under construction in Morgantown, Pennsylvania. The Company is leasing the land back to an affiliate of PENN for an initial term of 20 years with no purchase option, followed by six 5-year renewal options exercisable by the tenant (the "Morgantown Lease"). If the CPI increase is at least 0.5% for any lease year, the rent for such lease year shall increase by 1.25% of rent as of the immediately preceding lease year, and if the CPI increase is less than 0.5% for such lease year, then rent shall not increase for such lease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Maryland Live! Lease, Pennsylvania Live! Master Lease and Virginia Live!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and leased back the real estate to Cordish pursuant to a new triple-net master lease with Cordish (as amended from time to time, the "Pennsylvania Live! Master Lease"). The Pennsylvania Live! Master Lease and the Maryland Live! Lease each have initial lease terms of 39 years, with a maximum term of 60 years inclusive of tenant renewal options. Annual rent increases by 1.75% upon the second anniversary of each lease's commencement through their remaining terms.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27, 2025, the Company announced that it intends to acquire the real estate of the future site for Live! Virginia Casino &amp; Hotel, a Cordish Company / Bruce Smith Enterprise casino and hotel development in Petersburg, Virginia ("Virginia Live!"). In addition, GLPI committed to fund the hard costs associated with the development of the project. The cap rate on both the land acquisition of $27 million and the hard cost development funding of $440 million will be at 8.0%. The lease also includes a 1.75% rent escalator, which will commence after the first anniversary of the permanent casino opening, which is anticipated in late 2027. Through the construction of this large-scale development, GLPI will be compensated for the funding on an as drawn basis. The Company has concluded that the lessee has control of the underlying asset being constructed while the project is under construction. This is because the tenant is leasing the land that property improvements will be constructed upon, the term of which, together with lessee renewal options, is for substantially all of the economic life of the property improvements. Therefore, the Company will account for any funds extended prior to the asset being ready for its intended use as loans. Additionally, the Company concluded that this was a loan commitment and was therefore subject to ASC 326, "Financial Instruments-Credit Losses" ("ASC 326"). Once construction is complete and the facility is ready for its intended use, the Company will apply the sale and leaseback guidance to determine the appropriate lease classification. On January 15, 2026, the Company funded approximately $27 million to acquire the land site for the project which was recorded in real estate loans, net and the annual payment of $2.16 million for the land funding is being recorded in interest income from real estate loans.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Rockford Lease and Rockford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29, 2023, the Company acquired the land associated with a casino development project in Rockford, IL, that opened in late August 2024 and is managed by a subsidiary of Hard Rock, from an affiliate of 815 Entertainment, LLC ("815 Entertainment"). Simultaneously with the land acquisition, GLPI entered into a ground lease with 815 Entertainment for a 99-year term (the "Rockford Lease"). The initial annual rent is subject to 2% annual escalations for the entirety of its term.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Rockford Lease, the Company committed to provide development funding pursuant to a senior secured delayed draw term loan (the "Rockford Loan") for $150 million. Borrowings under the Rockford Loan were subject to an interest rate of 10% with a 5-year initial term. On January 1, 2025, the Company amended the terms of the Rockford Loan to reduce the interest rate to 8% with a maturity date of June 30, 2026, subject to a 6-month extension. On June 30, 2026, the Company entered into a second amendment to the Rockford Loan pursuant to which the borrower repaid $16.0 million of principal and the maturity date was extended to December 31, 2029. The amended loan also requires principal repayments of $12.0 million on or before March 31, 2028 and $10.0 million on or before March 31, 2029. As of June 30, 2026, $134 million was outstanding under the Rockford Loan.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obtained an option to acquire the casino building improvements. The option becomes exercisable if the borrower has not repaid or refinanced the Rockford Loan by the date that is 90 days prior to the loan's maturity date of December 31, 2029. If triggered, the Company may exercise the option during the subsequent 90-day period. The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7205"/>
                <wp:effectExtent l="0" t="0" r="0" b="0"/>
                <wp:wrapNone/>
                <wp:docPr id="12" name="Frame1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price is contractually determined based on a multiple of incremental rent, which is derived from the property's trailing four-quarter EBITDA, and may be offset against amounts outstanding under the Rockford Loan. If exercised, the Company would acquire ownership of the building improvements and the existing ground lease would be amended to include both the land and building improvements under a single lease.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Tioga Downs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2024, the Company acquired the real estate assets of Tioga Downs Casino Resort ("Tioga Downs") in Nichols, NY from American Racing. Simultaneous with the acquisition, GLPI and American Racing entered into a triple-net lease agreement for an initial 30-year term, with no purchase option, followed by two renewal options of 10 years each and a third renewal option of approximately 12 years and ten months (the "Tioga Downs Lease"). The initial annual rent is subject to 1.75% annual escalations beginning with the first anniversary which increases to 2% beginning in year fifteen of the lease through the remainder of its initial term.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Strategic Gaming Leases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16, 2024, the Company acquired the real estate assets of Silverado Franklin Hotel &amp; Gaming Complex ("Silverado"), the Deadwood Mountain Grand ("DMG") casino, and Baldini's Casino ("Baldini's") from Strategic. Simultaneous with the acquisition, GLP Capital and affiliates of Strategic entered into two cross-defaulted triple-net lease agreements, each for an initial 25-year term with no purchase option and two ten-year renewal periods (exercisable by the tenant) (the "Strategic Gaming Leases"). The initial annual rent is subject to a 2% annual escalation beginning in year three of the lease and a CPI-based annual escalation beginning in year eleven of the lease, at the greater of 2% or CPI capped at 2.5%.</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15, 2025, the Company acquired the real estate assets of Sunland Park in Sunland Park, New Mexico for $183.75 million. The property was added to the Strategic Gaming Leases and annual rent was increased by $15.0 million.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Ione Loan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2024, the Company entered into a $110 million delayed draw term loan facility with the Ione Band of Miwok Indians (the "Ione Loan") to provide the tribe funding on a new casino development near Sacramento, California. Ione has an option at the end of the Ione Loan term to satisfy the loan obligation by converting the outstanding principal into a long-term triple-net lease with an initial term of twenty-five years and a maximum term of forty-five years. These agreements were entered into subsequent to receiving a declination letter from the National Indian Gaming Commission covering the transaction documents, including the long-term lease. As of June 30, 2026, $98.7 million was outstanding under the Ione Loan which has a 5-year term and an interest rate of 11%.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Dry Creek Rancheria Loan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 2025, the Company announced a $225.3 million commitment, subject to receipt of all required permits and approvals, to serve as the lead real estate financing partner for Caesars Republic Sonoma County, a new integrated resort to be developed on the site of the current River Rock Casino. Pursuant to its agreements with the Dry Creek Rancheria ("Dry Creek"), GLPI will initially act as a lender to the project through (i) a $180 million delayed draw term loan bearing interest at a fixed rate of 12.50% and (ii) a $45.3 million term loan B issued at an original issue discount of 3% and bearing interest at a Secured Overnight Financing Rate ("SOFR") plus 900 basis points, subject to a SOFR floor of 1%. Each term loan has a maturity of 6 years.</w:t>
      </w:r>
    </w:p>
    <w:p>
      <w:pPr>
        <w:pStyle w:val="TextBody"/>
        <w:bidi w:val="0"/>
        <w:spacing w:before="0" w:after="0"/>
        <w:ind w:left="0" w:right="0" w:firstLine="720"/>
        <w:jc w:val="both"/>
        <w:rPr/>
      </w:pPr>
      <w:r>
        <w:rPr/>
      </w:r>
    </w:p>
    <w:p>
      <w:pPr>
        <w:pStyle w:val="TextBody"/>
        <w:bidi w:val="0"/>
        <w:spacing w:lineRule="auto" w:line="268" w:before="0" w:after="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or prior to maturity of the 6-year loans, Dry Creek will lease back the property to an affiliate of GLPI, and GLPI will sublease the property back to an affiliate of Dry Creek for no less than $112.5 million for 45 years. Annual rent on the sublease will be based on a 9.75% capitalization rate. As of June 30, 2026, the Company has funded the $45.3 million term loan B while the delayed draw term loan remained undrawn. </w:t>
      </w:r>
    </w:p>
    <w:p>
      <w:pPr>
        <w:pStyle w:val="TextBody"/>
        <w:bidi w:val="0"/>
        <w:spacing w:before="0" w:after="16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Guarantees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obligations under the Amended PENN Master Lease, PENN 2023 Master Lease, Amended Pinnacle Master Lease and Morgantown Lease, are guaranteed by PENN and, with respect to each lease, jointly and severally by PENN's subsidiaries that occupy and operate the facilities covered by such lease. Similarly, the obligations under the Amended and Restated Caesars Master Lease, the Horseshoe St. Louis Lease, the Casino Queen Master Lease, the Bally's Master Lease, the Bally's Master Lease II, the Strategic Gaming Leases and the Tioga Downs Lease are each jointly and severally guaranteed by the applicable parent company and by the parent's subsidiaries that occupy and operate the leased facilities. The obligations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7205"/>
                <wp:effectExtent l="0" t="0" r="0" b="0"/>
                <wp:wrapNone/>
                <wp:docPr id="13" name="Frame1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Tropicana Las Vegas Lease are guaranteed by Bally's. The obligations under the Boyd Master Lease, the Belterra Park Lease, the Maryland Live! Lease, the Pennsylvania Live! Lease and the Rockford Lease are jointly and severally guaranteed by the subsidiaries that occupy and operate the facilities.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2.    Basis of Presentation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the accounts of GLPI and its subsidiaries as well as the Company's operating partnership, which is a variable interest entity ("VIE") in which the Company is the primary beneficiary.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 as a separate component of equity, separate from GLPI's stockholders' equity. All intercompany accounts and transactions have been eliminated in consolidation. 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Income in order to derive net income or loss attributable to common stockholders.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results for the three and six months ended June 30, 2026 are not necessarily indicative of the results that may be expected for the year ending December 31, 2026. The consolidated financial statements contained in our Annual Report on Form 10-K for the year ended December 31, 2025 (our "Annual Report") should be read in conjunction with these condensed consolidated financial statements. The December 31, 2025 financial information has been derived from the Company’s audited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Investment in Leases, Net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the Company's leases are recorded as an Investment in leases, financing receivables, net, as the sale-leaseback transactions were accounted for as failed sale leasebacks as control of the real estate did not transfer to the Company. Additionally, as described in Note 1, the Company reassessed the Tropicana Las Vegas Lease in 2024 which resulted in the lease being classified as a sales-type lease. The following is a summary of the balances of the Company's Investment in leases, financing receivables and investment in leases, sales-type (in thousands).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7205"/>
                <wp:effectExtent l="0" t="0" r="0" b="0"/>
                <wp:wrapNone/>
                <wp:docPr id="14" name="Frame1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20"/>
        <w:gridCol w:w="812"/>
        <w:gridCol w:w="815"/>
        <w:gridCol w:w="299"/>
        <w:gridCol w:w="1173"/>
        <w:gridCol w:w="154"/>
        <w:gridCol w:w="333"/>
        <w:gridCol w:w="1541"/>
        <w:gridCol w:w="171"/>
        <w:gridCol w:w="299"/>
        <w:gridCol w:w="1173"/>
        <w:gridCol w:w="154"/>
        <w:gridCol w:w="314"/>
        <w:gridCol w:w="1610"/>
        <w:gridCol w:w="237"/>
      </w:tblGrid>
      <w:tr>
        <w:trPr/>
        <w:tc>
          <w:tcPr>
            <w:tcW w:w="11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 leases, sales-type</w:t>
            </w:r>
          </w:p>
        </w:tc>
        <w:tc>
          <w:tcPr>
            <w:tcW w:w="20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 leases, financing receivables</w:t>
            </w:r>
          </w:p>
        </w:tc>
        <w:tc>
          <w:tcPr>
            <w:tcW w:w="16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 leases, sales-type</w:t>
            </w:r>
          </w:p>
        </w:tc>
        <w:tc>
          <w:tcPr>
            <w:tcW w:w="2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 leases, financing receivables</w:t>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lease payments receivable</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9,999,657 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10,090,473 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residual values of lease property (unguaranteed)</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1,444,690 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1,444,690 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11,444,347 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11,535,163 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Unearned income</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(8,849,971)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(8,955,526)</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net</w:t>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2,566,924 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2,557,504 </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2045"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present value of the net investment in the lease payment receivable and unguaranteed residual value at June 30, 2026 for the Company's Investment in leases, financing receivables was $2,487.5 million and $106.9 million compared to $2,477.1 million and $102.6 million at December 31, 2025. The present value of the net investment in the lease payment receivable and unguaranteed residual value at June 30, 2026 for the Company's Investment in leases, sales-type was $254.7 million and $23.8 million compared to $255.3 million and $23.2 million at December 31, 2025.</w:t>
      </w:r>
    </w:p>
    <w:p>
      <w:pPr>
        <w:pStyle w:val="TextBody"/>
        <w:bidi w:val="0"/>
        <w:spacing w:before="160" w:after="283"/>
        <w:ind w:left="0" w:right="0" w:firstLine="720"/>
        <w:jc w:val="left"/>
        <w:rPr/>
      </w:pPr>
      <w:r>
        <w:rPr/>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minimum lease payments owed to us for each of the five succeeding years under the Company's investment in leases were as follows (in thousands):</w:t>
      </w:r>
    </w:p>
    <w:tbl>
      <w:tblPr>
        <w:tblW w:w="9914" w:type="dxa"/>
        <w:jc w:val="center"/>
        <w:tblInd w:w="0" w:type="dxa"/>
        <w:tblLayout w:type="fixed"/>
        <w:tblCellMar>
          <w:top w:w="28" w:type="dxa"/>
          <w:left w:w="28" w:type="dxa"/>
          <w:bottom w:w="28" w:type="dxa"/>
          <w:right w:w="28" w:type="dxa"/>
        </w:tblCellMar>
      </w:tblPr>
      <w:tblGrid>
        <w:gridCol w:w="766"/>
        <w:gridCol w:w="673"/>
        <w:gridCol w:w="676"/>
        <w:gridCol w:w="638"/>
        <w:gridCol w:w="2498"/>
        <w:gridCol w:w="329"/>
        <w:gridCol w:w="682"/>
        <w:gridCol w:w="3155"/>
        <w:gridCol w:w="497"/>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Future Minimum Lease Payments - Sales-Type</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Future Minimum Lease Payments - Financing Receivables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91,276 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185,336 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188,639 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192,000 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195,423 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619,433 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9,146,983 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686,199 </w:t>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9,999,657 </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follows ASC 326 “Credit Losses”, which requires that the Company measure and record current expected credit losses (“CECL”), the scope of which includes the Company's Investment in leases, financing receivables, net, the Company's Investment in leases, sales-type, net, and the Company's Real estate loans, net, which are discussed in Note 5.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We are unable to use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7205"/>
                <wp:effectExtent l="0" t="0" r="0" b="0"/>
                <wp:wrapNone/>
                <wp:docPr id="15" name="Frame1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 data to estimate losses as the Company has no loss history to date on its lease portfolio. Our tenants were current on all of their rental obligations as of June 30, 2026 and December 31, 2025.</w:t>
      </w:r>
    </w:p>
    <w:p>
      <w:pPr>
        <w:pStyle w:val="TextBody"/>
        <w:bidi w:val="0"/>
        <w:spacing w:before="160" w:after="1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the allowance for credit losses for the Company's investment in leases is illustrated below (in thousands):</w:t>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810"/>
        <w:gridCol w:w="570"/>
        <w:gridCol w:w="574"/>
        <w:gridCol w:w="364"/>
        <w:gridCol w:w="1246"/>
        <w:gridCol w:w="188"/>
        <w:gridCol w:w="378"/>
        <w:gridCol w:w="835"/>
        <w:gridCol w:w="196"/>
        <w:gridCol w:w="337"/>
        <w:gridCol w:w="1154"/>
        <w:gridCol w:w="174"/>
        <w:gridCol w:w="317"/>
        <w:gridCol w:w="927"/>
        <w:gridCol w:w="164"/>
        <w:gridCol w:w="322"/>
        <w:gridCol w:w="1101"/>
        <w:gridCol w:w="166"/>
        <w:gridCol w:w="109"/>
        <w:gridCol w:w="109"/>
        <w:gridCol w:w="164"/>
      </w:tblGrid>
      <w:tr>
        <w:trPr/>
        <w:tc>
          <w:tcPr>
            <w:tcW w:w="81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December 31, 2025</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Allowance</w:t>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March 31, 2026</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Allowance</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 Live! Lease</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 Live! Master Lease</w:t>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Lease</w:t>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Tioga Downs Lease</w:t>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Lease</w:t>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Tropicana Las Vegas Lease</w:t>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3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52,209 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52,164 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54,129 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2"/>
        <w:gridCol w:w="588"/>
        <w:gridCol w:w="592"/>
        <w:gridCol w:w="374"/>
        <w:gridCol w:w="1280"/>
        <w:gridCol w:w="193"/>
        <w:gridCol w:w="296"/>
        <w:gridCol w:w="1012"/>
        <w:gridCol w:w="153"/>
        <w:gridCol w:w="345"/>
        <w:gridCol w:w="1182"/>
        <w:gridCol w:w="178"/>
        <w:gridCol w:w="296"/>
        <w:gridCol w:w="1012"/>
        <w:gridCol w:w="153"/>
        <w:gridCol w:w="305"/>
        <w:gridCol w:w="1195"/>
        <w:gridCol w:w="229"/>
      </w:tblGrid>
      <w:tr>
        <w:trPr/>
        <w:tc>
          <w:tcPr>
            <w:tcW w:w="82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December 31, 2024</w:t>
            </w:r>
          </w:p>
        </w:tc>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Allowance</w:t>
            </w:r>
          </w:p>
        </w:tc>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March 31, 2025</w:t>
            </w:r>
          </w:p>
        </w:tc>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Allowance</w:t>
            </w:r>
          </w:p>
        </w:tc>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June 30, 2025</w:t>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 Live! Lease</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 Live! Master Lease</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Lease</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Tioga Downs Lease</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Lease</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Tropicana Las Vegas Lease</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3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57,746 </w:t>
            </w:r>
          </w:p>
        </w:tc>
        <w:tc>
          <w:tcPr>
            <w:tcW w:w="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36,014 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93,760 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46,223 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139,983 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97205"/>
                <wp:effectExtent l="0" t="0" r="0" b="0"/>
                <wp:wrapNone/>
                <wp:docPr id="16" name="Frame1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amortized cost basis of the Company's investment in leases, financing receivables by year of origination is shown below as of June 30, 2026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65"/>
        <w:gridCol w:w="408"/>
        <w:gridCol w:w="411"/>
        <w:gridCol w:w="109"/>
        <w:gridCol w:w="353"/>
        <w:gridCol w:w="1636"/>
        <w:gridCol w:w="182"/>
        <w:gridCol w:w="297"/>
        <w:gridCol w:w="1084"/>
        <w:gridCol w:w="153"/>
        <w:gridCol w:w="329"/>
        <w:gridCol w:w="1524"/>
        <w:gridCol w:w="170"/>
        <w:gridCol w:w="109"/>
        <w:gridCol w:w="109"/>
        <w:gridCol w:w="109"/>
        <w:gridCol w:w="590"/>
        <w:gridCol w:w="551"/>
        <w:gridCol w:w="1616"/>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Origination year</w:t>
            </w:r>
          </w:p>
        </w:tc>
        <w:tc>
          <w:tcPr>
            <w:tcW w:w="109" w:type="dxa"/>
            <w:tcBorders/>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in leases, financing receivables</w:t>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2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 basis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as a percentage of outstanding financing receivable</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726,785 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713,673 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1,274,844 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1,271,937 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2,594,376 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(27,452)</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2,566,924 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amortized cost basis of the Company's investment in leases, sales-type by year of origination is shown below as of June 30, 2026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74"/>
        <w:gridCol w:w="416"/>
        <w:gridCol w:w="419"/>
        <w:gridCol w:w="109"/>
        <w:gridCol w:w="332"/>
        <w:gridCol w:w="1303"/>
        <w:gridCol w:w="171"/>
        <w:gridCol w:w="310"/>
        <w:gridCol w:w="1138"/>
        <w:gridCol w:w="160"/>
        <w:gridCol w:w="377"/>
        <w:gridCol w:w="1478"/>
        <w:gridCol w:w="195"/>
        <w:gridCol w:w="109"/>
        <w:gridCol w:w="109"/>
        <w:gridCol w:w="109"/>
        <w:gridCol w:w="636"/>
        <w:gridCol w:w="600"/>
        <w:gridCol w:w="1760"/>
      </w:tblGrid>
      <w:tr>
        <w:trPr/>
        <w:tc>
          <w:tcPr>
            <w:tcW w:w="47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Origination year</w:t>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Investment in leases, sales-type</w:t>
            </w:r>
          </w:p>
        </w:tc>
        <w:tc>
          <w:tcPr>
            <w:tcW w:w="1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 basis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as a percentage of outstanding financing receivable</w:t>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recorded a net provision for credit losses of $2.0 million and $1.9 million, respectively, related to investments in leases, financing receivables, and sales-type leases.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recorded net provisions for credit losses of $46.2 million and $82.2 million, respectively, related to investments in leases, financing receivables, and sales-type leases. These provisions were primarily driven by a sequential deterioration in the third-party forward-looking economic outlook used in the Company's CECL reserve calculations. The macroeconomic forecast as of March 31, 2025 was more pessimistic than the forecast used as of December 31, 2024, resulting in a provision during the three months ended March 31, 2025. The outlook further deteriorated as of June 30, 2025, leading to an additional provision during the three months ended June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Differences in the allowance as a percentage of outstanding financing receivables for leases originated in different calendar years, as shown in the table, reflect various factors, including but not limited to, expected rent coverage ratios and loan-to-value ratios. Future changes in economic projections, probability factors, changes in the estimated value of our real estate property and earnings assumptions at the underlying facilities may result in non-cash provisions or recoveries in future periods that could materially impact our results of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97205"/>
                <wp:effectExtent l="0" t="0" r="0" b="0"/>
                <wp:wrapNone/>
                <wp:docPr id="17" name="Frame1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Real Estate Investments,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Real estate investments, net, represent investments in rental properties and the corporate headquarters building (excluding our investments in transactions accounted for as real estate loans and investment in leases, financing receivables and investment in leases, sales-type that are described in Notes 5 and 3, respectively) and is summarized as follows: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color w:val="000000"/>
        </w:rPr>
      </w:pPr>
      <w:r>
        <w:rPr>
          <w:color w:val="000000"/>
        </w:rPr>
        <w:t> </w:t>
      </w:r>
    </w:p>
    <w:tbl>
      <w:tblPr>
        <w:tblW w:w="5588" w:type="dxa"/>
        <w:jc w:val="left"/>
        <w:tblInd w:w="0" w:type="dxa"/>
        <w:tblLayout w:type="fixed"/>
        <w:tblCellMar>
          <w:top w:w="28" w:type="dxa"/>
          <w:left w:w="28" w:type="dxa"/>
          <w:bottom w:w="28" w:type="dxa"/>
          <w:right w:w="28" w:type="dxa"/>
        </w:tblCellMar>
      </w:tblPr>
      <w:tblGrid>
        <w:gridCol w:w="950"/>
        <w:gridCol w:w="835"/>
        <w:gridCol w:w="839"/>
        <w:gridCol w:w="211"/>
        <w:gridCol w:w="976"/>
        <w:gridCol w:w="109"/>
        <w:gridCol w:w="109"/>
        <w:gridCol w:w="109"/>
        <w:gridCol w:w="109"/>
        <w:gridCol w:w="211"/>
        <w:gridCol w:w="97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investments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12,285,970 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11,173,033 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9,558,270 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8,474,261 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land and improvements and building and improvements relates to the acquisition of the Bally's Lincoln real estate assets, in addition to the landside development projects for Bally's Marquette and the new Aurora landside casino, partially offset by the removal of the assets related to the former Aurora casino. Aurora relocated landside on June 24, 2026. Construction in progress primarily represents development funding along with related capitalized interest on the Company's development projects.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5.    Real estate loans, net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the Rockford Loan to fund the construction of the Hard Rock Casino Rockford in Rockford, Illinois. As of June 30, 2026 and December 31, 2025, $134 million and $150 million, respectively, were outstanding under the Rockford Loan. In June 2026, $16 million of the Rockford Loan was repaid and the maturity date was extended to December 31, 2029. The contractual interest rate remained unchanged at 8%. The amendment also requires a principal payment of $12 million on or before March 31, 2028 and an additional principal payment of $10 million on or before March 31, 2029.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entered into the Ione Loan for up to $110 million, of which $98.7 million and $56.6 million were outstanding as of June 30, 2026 and December 31, 2025, respectively. The Ione Loan has an 11% annual interest rate and matures in September 2029.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entered into the Dry Creek Loan on December 4, 2025, and $45.3 million was drawn as of June 30, 2026 and December 31, 2025. The term loan B was issued at an original issue discount of 3% and bears interest at SOFR plus 900 basis points, subject to a SOFR floor of 1%. Each term loan has a maturity of 6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in Note 1, the Company concluded that amounts funded and the commitment to fund the development of Virginia Live! should be accounted for as a loan and a loan commitment, respectively. Accordingly, approximately $27.0 million funded on January 15, 2026 to acquire the land for the project has been classified as a real estate loan, and interest income is recognized at an annual rate of 8.0%. Upon completion of construction and commencement of operations, the Company expects the arrangement to be evaluated under the sale-leaseback guidance in ASC 842 to determine the appropriate lease classification.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balances of the Company's real estate loans, net.</w:t>
      </w:r>
    </w:p>
    <w:p>
      <w:pPr>
        <w:pStyle w:val="TextBody"/>
        <w:bidi w:val="0"/>
        <w:spacing w:before="0" w:after="0"/>
        <w:ind w:left="0" w:right="0" w:firstLine="720"/>
        <w:jc w:val="left"/>
        <w:rPr/>
      </w:pPr>
      <w:r>
        <w:rPr/>
      </w:r>
    </w:p>
    <w:tbl>
      <w:tblPr>
        <w:tblW w:w="5830" w:type="dxa"/>
        <w:jc w:val="left"/>
        <w:tblInd w:w="0" w:type="dxa"/>
        <w:tblLayout w:type="fixed"/>
        <w:tblCellMar>
          <w:top w:w="28" w:type="dxa"/>
          <w:left w:w="28" w:type="dxa"/>
          <w:bottom w:w="28" w:type="dxa"/>
          <w:right w:w="28" w:type="dxa"/>
        </w:tblCellMar>
      </w:tblPr>
      <w:tblGrid>
        <w:gridCol w:w="998"/>
        <w:gridCol w:w="876"/>
        <w:gridCol w:w="886"/>
        <w:gridCol w:w="212"/>
        <w:gridCol w:w="833"/>
        <w:gridCol w:w="109"/>
        <w:gridCol w:w="109"/>
        <w:gridCol w:w="109"/>
        <w:gridCol w:w="109"/>
        <w:gridCol w:w="281"/>
        <w:gridCol w:w="1103"/>
        <w:gridCol w:w="205"/>
      </w:tblGrid>
      <w:tr>
        <w:trPr/>
        <w:tc>
          <w:tcPr>
            <w:tcW w:w="99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 estate loans </w:t>
            </w:r>
            <w:r>
              <w:rPr>
                <w:rFonts w:ascii="Times New Roman;serif" w:hAnsi="Times New Roman;serif"/>
                <w:b w:val="false"/>
                <w:color w:val="000000"/>
                <w:sz w:val="13"/>
              </w:rPr>
              <w:t>(1)</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250,515 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 net</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247,999 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97205"/>
                <wp:effectExtent l="0" t="0" r="0" b="0"/>
                <wp:wrapNone/>
                <wp:docPr id="18" name="Frame1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f13a0b0e9d84db88e2786a15be2f3a1_7">
        <w:r>
          <w:rPr>
            <w:rStyle w:val="InternetLink"/>
            <w:rFonts w:ascii="Times New Roman;serif" w:hAnsi="Times New Roman;serif"/>
            <w:b w:val="false"/>
            <w:color w:val="0000FF"/>
            <w:sz w:val="18"/>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an unearned discount of $1.2 million and $1.4 million at June 30, 2026 and December 31, 2025,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the allowance for credit losses for the Company's real estate loans is shown below (in thousands):</w:t>
      </w:r>
    </w:p>
    <w:p>
      <w:pPr>
        <w:pStyle w:val="TextBody"/>
        <w:bidi w:val="0"/>
        <w:spacing w:before="0" w:after="0"/>
        <w:ind w:left="0" w:right="0" w:firstLine="720"/>
        <w:jc w:val="left"/>
        <w:rPr/>
      </w:pPr>
      <w:r>
        <w:rPr/>
      </w:r>
    </w:p>
    <w:tbl>
      <w:tblPr>
        <w:tblW w:w="8945" w:type="dxa"/>
        <w:jc w:val="left"/>
        <w:tblInd w:w="0" w:type="dxa"/>
        <w:tblLayout w:type="fixed"/>
        <w:tblCellMar>
          <w:top w:w="28" w:type="dxa"/>
          <w:left w:w="28" w:type="dxa"/>
          <w:bottom w:w="28" w:type="dxa"/>
          <w:right w:w="28" w:type="dxa"/>
        </w:tblCellMar>
      </w:tblPr>
      <w:tblGrid>
        <w:gridCol w:w="1059"/>
        <w:gridCol w:w="931"/>
        <w:gridCol w:w="935"/>
        <w:gridCol w:w="269"/>
        <w:gridCol w:w="882"/>
        <w:gridCol w:w="139"/>
        <w:gridCol w:w="220"/>
        <w:gridCol w:w="566"/>
        <w:gridCol w:w="114"/>
        <w:gridCol w:w="285"/>
        <w:gridCol w:w="933"/>
        <w:gridCol w:w="147"/>
        <w:gridCol w:w="345"/>
        <w:gridCol w:w="886"/>
        <w:gridCol w:w="178"/>
        <w:gridCol w:w="211"/>
        <w:gridCol w:w="691"/>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Rockford Loan</w:t>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Ione Loan</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Dry Creek Loan</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Cordish Virginia</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at March 31, 2026</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at June 30, 2026</w:t>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6276" w:type="dxa"/>
        <w:jc w:val="left"/>
        <w:tblInd w:w="0" w:type="dxa"/>
        <w:tblLayout w:type="fixed"/>
        <w:tblCellMar>
          <w:top w:w="28" w:type="dxa"/>
          <w:left w:w="28" w:type="dxa"/>
          <w:bottom w:w="28" w:type="dxa"/>
          <w:right w:w="28" w:type="dxa"/>
        </w:tblCellMar>
      </w:tblPr>
      <w:tblGrid>
        <w:gridCol w:w="1059"/>
        <w:gridCol w:w="930"/>
        <w:gridCol w:w="936"/>
        <w:gridCol w:w="244"/>
        <w:gridCol w:w="920"/>
        <w:gridCol w:w="126"/>
        <w:gridCol w:w="220"/>
        <w:gridCol w:w="566"/>
        <w:gridCol w:w="114"/>
        <w:gridCol w:w="211"/>
        <w:gridCol w:w="79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Rockford Loan</w:t>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Ione Loan</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at March 31, 2025</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at June 30, 2025</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(14,303)</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amortized cost basis of the Company's real estate loans, financing receivables by year of origination is shown below as of June 30, 2026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88"/>
        <w:gridCol w:w="428"/>
        <w:gridCol w:w="431"/>
        <w:gridCol w:w="109"/>
        <w:gridCol w:w="245"/>
        <w:gridCol w:w="962"/>
        <w:gridCol w:w="126"/>
        <w:gridCol w:w="354"/>
        <w:gridCol w:w="1151"/>
        <w:gridCol w:w="183"/>
        <w:gridCol w:w="410"/>
        <w:gridCol w:w="1609"/>
        <w:gridCol w:w="212"/>
        <w:gridCol w:w="109"/>
        <w:gridCol w:w="109"/>
        <w:gridCol w:w="109"/>
        <w:gridCol w:w="667"/>
        <w:gridCol w:w="637"/>
        <w:gridCol w:w="1866"/>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Origination year</w:t>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Real estate loans</w:t>
            </w:r>
          </w:p>
        </w:tc>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 basis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Allowance as a percentage of outstanding real estate loans</w:t>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1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98,313 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0" w:type="dxa"/>
            <w:gridSpan w:val="3"/>
            <w:tcBorders/>
            <w:vAlign w:val="center"/>
          </w:tcPr>
          <w:p>
            <w:pPr>
              <w:pStyle w:val="TableContents"/>
              <w:bidi w:val="0"/>
              <w:spacing w:before="0" w:after="283"/>
              <w:jc w:val="left"/>
              <w:rPr>
                <w:sz w:val="4"/>
                <w:szCs w:val="4"/>
              </w:rPr>
            </w:pPr>
            <w:r>
              <w:rPr>
                <w:sz w:val="4"/>
                <w:szCs w:val="4"/>
              </w:rPr>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1688"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70" w:type="dxa"/>
            <w:gridSpan w:val="3"/>
            <w:tcBorders/>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303,801 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296,259 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real estate loans are subject to CECL, which is described in Note 3. The Company recorded a provision for credit losses of $2.6 million and $5.0 million for the three month and six month periods ended June 30, 2026 on the Company's real estate loans, respectively. The Company recorded a provision for credit losses of $7.1 million and $10.1 million for the three months and six months ended June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the Company recorded a benefit of $1.6 million and $14.1 million during the three month and six month periods ended June 30, 2026 on unfunded loan commitments compared to a provision of $0.4 million and $0.6 million during the three month and six month periods ended June 30, 2025. The benefit for the six month period ended June 30, 2026 was primarily due to an improvement in the estimated real estate values that will comprise the Company's real estate portfolio for the Virginia Live! development project. The reserves for the unfunded loan commitment are recorded in other liabilities on the Condensed Consolidated Balance Sheets and totaled $2.7 million and $16.8 million at June 30, 2026 and December 31, 2025, respectively. The Company's borrowers were current on their loan obligations as of June 30, 2026 and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97205"/>
                <wp:effectExtent l="0" t="0" r="0" b="0"/>
                <wp:wrapNone/>
                <wp:docPr id="19" name="Frame1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Lease Assets and Lease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Lease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2038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Land rights, net represent the Company's rights to land subject to long-term ground leases.</w:t>
      </w:r>
      <w:r>
        <w:rPr>
          <w:color w:val="000000"/>
        </w:rPr>
        <w:t xml:space="preserve"> </w:t>
      </w:r>
      <w:r>
        <w:rPr>
          <w:rFonts w:ascii="Times New Roman;serif" w:hAnsi="Times New Roman;serif"/>
          <w:b w:val="false"/>
          <w:color w:val="000000"/>
          <w:sz w:val="20"/>
        </w:rPr>
        <w:t>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definite-lived asset (land rights) on its books.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Components of the Company's right-of-use assets and land rights, net are detailed below (in thousands):</w:t>
      </w:r>
    </w:p>
    <w:tbl>
      <w:tblPr>
        <w:tblW w:w="6423" w:type="dxa"/>
        <w:jc w:val="left"/>
        <w:tblInd w:w="0" w:type="dxa"/>
        <w:tblLayout w:type="fixed"/>
        <w:tblCellMar>
          <w:top w:w="28" w:type="dxa"/>
          <w:left w:w="28" w:type="dxa"/>
          <w:bottom w:w="28" w:type="dxa"/>
          <w:right w:w="28" w:type="dxa"/>
        </w:tblCellMar>
      </w:tblPr>
      <w:tblGrid>
        <w:gridCol w:w="1178"/>
        <w:gridCol w:w="1036"/>
        <w:gridCol w:w="1041"/>
        <w:gridCol w:w="211"/>
        <w:gridCol w:w="976"/>
        <w:gridCol w:w="109"/>
        <w:gridCol w:w="109"/>
        <w:gridCol w:w="109"/>
        <w:gridCol w:w="109"/>
        <w:gridCol w:w="243"/>
        <w:gridCol w:w="1125"/>
        <w:gridCol w:w="177"/>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 operating leases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242,053 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and land rights,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1,061,883 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1,072,163 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97205"/>
                <wp:effectExtent l="0" t="0" r="0" b="0"/>
                <wp:wrapNone/>
                <wp:docPr id="20" name="Frame2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Land Rights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land rights are amortized over the individual lease term of the related ground lease, including all renewal options, which ranged from 10 years to 92 years at their respective acquisition dates. Land rights, net, consist of the following:</w:t>
      </w:r>
    </w:p>
    <w:tbl>
      <w:tblPr>
        <w:tblW w:w="5349" w:type="dxa"/>
        <w:jc w:val="left"/>
        <w:tblInd w:w="0" w:type="dxa"/>
        <w:tblLayout w:type="fixed"/>
        <w:tblCellMar>
          <w:top w:w="28" w:type="dxa"/>
          <w:left w:w="28" w:type="dxa"/>
          <w:bottom w:w="28" w:type="dxa"/>
          <w:right w:w="28" w:type="dxa"/>
        </w:tblCellMar>
      </w:tblPr>
      <w:tblGrid>
        <w:gridCol w:w="971"/>
        <w:gridCol w:w="850"/>
        <w:gridCol w:w="864"/>
        <w:gridCol w:w="211"/>
        <w:gridCol w:w="826"/>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Land rights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amortization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estimated future amortization expense related to the Company’s land rights by fiscal year is as follows (in thousands):</w:t>
      </w:r>
    </w:p>
    <w:tbl>
      <w:tblPr>
        <w:tblW w:w="3305" w:type="dxa"/>
        <w:jc w:val="center"/>
        <w:tblInd w:w="0" w:type="dxa"/>
        <w:tblLayout w:type="fixed"/>
        <w:tblCellMar>
          <w:top w:w="28" w:type="dxa"/>
          <w:left w:w="28" w:type="dxa"/>
          <w:bottom w:w="28" w:type="dxa"/>
          <w:right w:w="28" w:type="dxa"/>
        </w:tblCellMar>
      </w:tblPr>
      <w:tblGrid>
        <w:gridCol w:w="766"/>
        <w:gridCol w:w="672"/>
        <w:gridCol w:w="676"/>
        <w:gridCol w:w="211"/>
        <w:gridCol w:w="82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 xml:space="preserve">Year ending December 31, </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821,570 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Lease Liabilities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payments under the Company's operating lease liabilities were as follows (in thousands):</w:t>
      </w:r>
    </w:p>
    <w:tbl>
      <w:tblPr>
        <w:tblW w:w="3920" w:type="dxa"/>
        <w:jc w:val="center"/>
        <w:tblInd w:w="0" w:type="dxa"/>
        <w:tblLayout w:type="fixed"/>
        <w:tblCellMar>
          <w:top w:w="28" w:type="dxa"/>
          <w:left w:w="28" w:type="dxa"/>
          <w:bottom w:w="28" w:type="dxa"/>
          <w:right w:w="28" w:type="dxa"/>
        </w:tblCellMar>
      </w:tblPr>
      <w:tblGrid>
        <w:gridCol w:w="986"/>
        <w:gridCol w:w="870"/>
        <w:gridCol w:w="873"/>
        <w:gridCol w:w="211"/>
        <w:gridCol w:w="82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Present value of lease liabilities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240,724 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Lease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7982" w:type="dxa"/>
        <w:jc w:val="center"/>
        <w:tblInd w:w="0" w:type="dxa"/>
        <w:tblLayout w:type="fixed"/>
        <w:tblCellMar>
          <w:top w:w="28" w:type="dxa"/>
          <w:left w:w="28" w:type="dxa"/>
          <w:bottom w:w="28" w:type="dxa"/>
          <w:right w:w="28" w:type="dxa"/>
        </w:tblCellMar>
      </w:tblPr>
      <w:tblGrid>
        <w:gridCol w:w="998"/>
        <w:gridCol w:w="877"/>
        <w:gridCol w:w="884"/>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Variable lease cost </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land right assets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14,149 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7205"/>
                <wp:effectExtent l="0" t="0" r="0" b="0"/>
                <wp:wrapNone/>
                <wp:docPr id="21" name="Frame2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related to the land right intangibles, as well as variable lease costs and the Company's operating lease costs are recorded within land rights and ground lease expense in the condensed consolidated statements of income.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Supplemental Disclosures Related to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operating leases was as follows:</w:t>
      </w:r>
    </w:p>
    <w:tbl>
      <w:tblPr>
        <w:tblW w:w="5940" w:type="dxa"/>
        <w:jc w:val="center"/>
        <w:tblInd w:w="0" w:type="dxa"/>
        <w:tblLayout w:type="fixed"/>
        <w:tblCellMar>
          <w:top w:w="28" w:type="dxa"/>
          <w:left w:w="28" w:type="dxa"/>
          <w:bottom w:w="28" w:type="dxa"/>
          <w:right w:w="28" w:type="dxa"/>
        </w:tblCellMar>
      </w:tblPr>
      <w:tblGrid>
        <w:gridCol w:w="1726"/>
        <w:gridCol w:w="1517"/>
        <w:gridCol w:w="1527"/>
        <w:gridCol w:w="342"/>
        <w:gridCol w:w="342"/>
        <w:gridCol w:w="486"/>
      </w:tblGrid>
      <w:tr>
        <w:trPr/>
        <w:tc>
          <w:tcPr>
            <w:tcW w:w="172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 operating leases</w:t>
            </w:r>
          </w:p>
        </w:tc>
        <w:tc>
          <w:tcPr>
            <w:tcW w:w="1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52.06 years</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 operating leases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Company's operating leases was as follows: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008"/>
        <w:gridCol w:w="1760"/>
        <w:gridCol w:w="1770"/>
        <w:gridCol w:w="248"/>
        <w:gridCol w:w="549"/>
        <w:gridCol w:w="128"/>
        <w:gridCol w:w="128"/>
        <w:gridCol w:w="128"/>
        <w:gridCol w:w="128"/>
        <w:gridCol w:w="248"/>
        <w:gridCol w:w="549"/>
        <w:gridCol w:w="128"/>
        <w:gridCol w:w="109"/>
        <w:gridCol w:w="109"/>
        <w:gridCol w:w="109"/>
        <w:gridCol w:w="227"/>
        <w:gridCol w:w="504"/>
        <w:gridCol w:w="117"/>
        <w:gridCol w:w="117"/>
        <w:gridCol w:w="117"/>
        <w:gridCol w:w="117"/>
        <w:gridCol w:w="227"/>
        <w:gridCol w:w="504"/>
        <w:gridCol w:w="176"/>
      </w:tblGrid>
      <w:tr>
        <w:trPr/>
        <w:tc>
          <w:tcPr>
            <w:tcW w:w="2008"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Operating cash flows from operating leases </w:t>
            </w:r>
            <w:r>
              <w:rPr>
                <w:rFonts w:ascii="Times New Roman;serif" w:hAnsi="Times New Roman;serif"/>
                <w:b w:val="false"/>
                <w:color w:val="000000"/>
                <w:sz w:val="13"/>
              </w:rPr>
              <w:t>(1)</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538"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5538"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Financing Lease Liabilities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certain real property assets included in the Maryland Live! Lease and the Strategic Gaming Leases, the Company acquired the rights to land subject to long-term ground leases which expire in June 2111 and April 2062, respectively. As these leases were accounted for as Investment in leases, financing receivables, the underlying ground leases were accounted for as financing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Company's weighted average discount rate on the fixed minimum annual payments was 5.06% to arrive at the initial lease obligations. At June 30, 2026, payments under the Company's financing lease liabilities were as follows (in thousands):</w:t>
      </w:r>
    </w:p>
    <w:p>
      <w:pPr>
        <w:pStyle w:val="TextBody"/>
        <w:bidi w:val="0"/>
        <w:spacing w:before="0" w:after="0"/>
        <w:ind w:left="0" w:right="0" w:firstLine="720"/>
        <w:jc w:val="left"/>
        <w:rPr/>
      </w:pPr>
      <w:r>
        <w:rPr/>
      </w:r>
    </w:p>
    <w:tbl>
      <w:tblPr>
        <w:tblW w:w="4400" w:type="dxa"/>
        <w:jc w:val="left"/>
        <w:tblInd w:w="0" w:type="dxa"/>
        <w:tblLayout w:type="fixed"/>
        <w:tblCellMar>
          <w:top w:w="28" w:type="dxa"/>
          <w:left w:w="28" w:type="dxa"/>
          <w:bottom w:w="28" w:type="dxa"/>
          <w:right w:w="28" w:type="dxa"/>
        </w:tblCellMar>
      </w:tblPr>
      <w:tblGrid>
        <w:gridCol w:w="1163"/>
        <w:gridCol w:w="1020"/>
        <w:gridCol w:w="1026"/>
        <w:gridCol w:w="211"/>
        <w:gridCol w:w="82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finance lease liability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7205"/>
                <wp:effectExtent l="0" t="0" r="0" b="0"/>
                <wp:wrapNone/>
                <wp:docPr id="22" name="Frame2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Long-term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Long-term debt is as follows:</w:t>
      </w:r>
    </w:p>
    <w:p>
      <w:pPr>
        <w:pStyle w:val="TextBody"/>
        <w:bidi w:val="0"/>
        <w:spacing w:lineRule="auto" w:line="288" w:before="0" w:after="0"/>
        <w:ind w:left="0" w:right="0" w:firstLine="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22"/>
        <w:gridCol w:w="2305"/>
        <w:gridCol w:w="2312"/>
        <w:gridCol w:w="211"/>
        <w:gridCol w:w="976"/>
        <w:gridCol w:w="109"/>
        <w:gridCol w:w="109"/>
        <w:gridCol w:w="109"/>
        <w:gridCol w:w="109"/>
        <w:gridCol w:w="211"/>
        <w:gridCol w:w="976"/>
        <w:gridCol w:w="156"/>
      </w:tblGrid>
      <w:tr>
        <w:trPr/>
        <w:tc>
          <w:tcPr>
            <w:tcW w:w="2622"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Unsecured $2,090 million revolver due December 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Term Loan Agreement due September 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Term Loan due December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million 5.750% senior unsecured notes due June 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 million 5.300% senior unsecured notes due January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million 4.000% senior unsecured notes due January 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million 4.000% senior unsecured notes due January 2031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$800 million 3.250% senior unsecured notes due January 2032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 million 5.250% senior unsecured notes due February 2033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6.750% senior unsecured notes due December 2033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$800 million 5.625% senior unsecured notes due September 2034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$800 million 5.625% senior unsecured notes due March 2036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million 5.750% senior unsecured notes due November 2037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6.250% senior unsecured notes due September 2054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8,158,961 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7,281,764 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bond premiums and original issuance discounts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long-term debt, net of unamortized debt issuance costs, bond premiums and original issuance discounts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8,077,741 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7,203,731 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schedule of future minimum repayments of long-term debt as of June 30, 2026 (in thousands):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color w:val="000000"/>
        </w:rPr>
      </w:pPr>
      <w:r>
        <w:rPr>
          <w:color w:val="000000"/>
        </w:rPr>
        <w:t> </w:t>
      </w:r>
    </w:p>
    <w:tbl>
      <w:tblPr>
        <w:tblW w:w="3546" w:type="dxa"/>
        <w:jc w:val="center"/>
        <w:tblInd w:w="0" w:type="dxa"/>
        <w:tblLayout w:type="fixed"/>
        <w:tblCellMar>
          <w:top w:w="28" w:type="dxa"/>
          <w:left w:w="28" w:type="dxa"/>
          <w:bottom w:w="28" w:type="dxa"/>
          <w:right w:w="28" w:type="dxa"/>
        </w:tblCellMar>
      </w:tblPr>
      <w:tblGrid>
        <w:gridCol w:w="799"/>
        <w:gridCol w:w="701"/>
        <w:gridCol w:w="705"/>
        <w:gridCol w:w="211"/>
        <w:gridCol w:w="97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5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8,158,961 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Credit Agreement and Term Loan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4, 2026, GLP Capital entered into an amendment to the credit agreement among GLP Capital, Wells Fargo Bank, National Association, as administrative agent, and the several banks and other financial institutions or entities party thereto, dated as of May 13, 2022 (the “Credit Agreement”). Pursuant to the amendment, GLP Capital borrowed a new $679 million term loan (the “2026 Term Loan”), the proceeds of which were used to repay $679 million of outstanding bridge revolving loans (without any corresponding reduction in revolving commitments). The 2026 Term Loan matures on December 2, 2028, subject to two six-month extensions at GLP Capital’s option.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rates per annum applicable to the 2026 Term Loan are, at GLP Capital’s option, equal to either a Secured Overnight Financing Rate (“SOFR”) based rate or a base rate plus an applicable margin, which ranges from 0.850% to 1.70% per annum for SOFR loans and 0.0% to 0.7% per annum for base rate loans, in each case, depending on the credit ratings assigned to the credit facility under the Credit Agreement. The weighted average interest rate under the 2026 Term Loan at June 30, 2026 was 4.91%.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7205"/>
                <wp:effectExtent l="0" t="0" r="0" b="0"/>
                <wp:wrapNone/>
                <wp:docPr id="23" name="Frame2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2026 Term Loan is not subject to interim amortization. GLP Capital is not required to repay the 2026 Term Loan prior to maturity but may prepay all or any portion of the 2026 Term Loan prior to maturity without premium or penalty, subject to reimbursement of any SOFR breakage costs of the lenders. Amounts repaid under the 2026 Term Loan may not be reborrowed.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2026 Term Loan is subject to the representations and warranties, affirmative covenants, negative covenants, financial covenants and events of default set forth in the Credit Agreement and applicable to the revolving loans therein.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4, 2026, GLP Capital repaid in full the $600 million outstanding obligations under the term loan credit agreement among GLP Capital, Wells Fargo Bank, National Association, as administrative agent, and the several banks and other financial institutions or entities party thereto, dated as of September 2, 2022 (the “2022 Term Loan Agreement”). All of GLP Capital’s and GLPI’s obligations under the 2022 Term Loan Agreement have been paid and discharged in full and all guarantees granted by GLPI and any other party in connection with the 2022 Term Loan Agreement have been released (other than with respect to customary provisions and agreements that are expressly specified to survive the termination). GLP Capital and GLPI did not incur any early termination penalties in connection with repayment of the indebtedness or termination.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Credit Agreement provides a revolving commitment capacity of $2.09 billion with a maturity date of December 2, 2028 (the “Revolver”). GLP Capital is the primary obligor under the Credit Agreement, which is guaranteed by GLPI.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$330.0 million was outstanding under the Company's Revolver. After giving effect to contingent obligations under letters of credit with face amounts aggregating approximately $0.4 million, the Company had $1,759.6 million of available borrowing capacity under the Revolver as of June 30, 2026. The weighted average interest rate under the Revolver at June 30, 2026 was 4.94%.</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Senior Unsecured Notes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had $7,150.0 million of outstanding senior unsecured notes (the "Senior Notes"). During the six months ended June 30, 2026, the Company issued $800 million of 5.625% Senior Notes that will mature on March 1, 2036 at an issue price of 99.857% of the principal amount. The proceeds of the offering were utilized to repay the 2022 Term Loan Agreement and for working capital and general corporate purposes. </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was in compliance with all required financial covenants on its debt obligations.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Fair Value of Financial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Observable inputs such as quoted prices in active markets for identical assets or liabilities.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Unobservable inputs that reflect the reporting entity's own assumptions, as there is little, if any, related market activity.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Company's assessment of the significance of a particular input to the fair value measurement requires judgment and may affect the valuation of assets and liabilities and their placement within the fair value hierarchy.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are used to estimate the fair value of each class of financial instruments for which it is practicable to estimate.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7205"/>
                <wp:effectExtent l="0" t="0" r="0" b="0"/>
                <wp:wrapNone/>
                <wp:docPr id="24" name="Frame2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cash and cash equivalents approximates the carrying value of the Company’s cash and cash equivalents, due to the short maturity of the cash equivalents.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in Leases, Financing Receivables,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Company's investment in leases, financing receivables, net is based on the value of the underlying real estate property the Company owns under these leases. The initial fair value was the price paid by the Company to acquire the real estate. The initial fair value is then adjusted for changes in the commercial real estate price index and as such is a Level 3 measurement as defined under ASC 820.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in Leases, Sales-Type,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investment in leases, sales-type, net was initially based on a third-party valuation report which utilized both market-based and income-based valuation approaches to value the underlying land related to the applicable lease at the lease reassessment date. Subsequent changes in the fair value from this date are based on changes in the commercial real estate price index. As such, this was determined to be a Level 3 measurement as defined under ASC 820.</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Real Estate Loans, net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its fixed-rate loan portfolio for disclosure purposes using a discounted cash flow methodology. Fair value is estimated by discounting the loans’ remaining contractual cash flows using current market rates as of the measurement date for loans with similar credit characteristics and remaining terms. As a result, the estimated fair value is primarily driven by movements in market interest rates since origination, along with the remaining maturity and payment structure of the loans. The Company's variable-rate loans reprice to market at regular intervals and therefore the Company believes the carrying amount approximates its fair value. The fair value measurement of the real estate loans is considered a Level 3 measurement as defined in ASC 820.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Deferred Compensation Plan Assets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Long-term Debt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the Senior Notes are estimated based on quoted prices in active markets and as such are Level 1 measurements as defined under ASC 820. The fair value of the obligations in our Credit Agreement is based on indicative pricing from market information (Level 2 inputs).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fair values of the Company’s financial instruments are as follows (in thousands):</w:t>
      </w:r>
    </w:p>
    <w:tbl>
      <w:tblPr>
        <w:tblW w:w="9696" w:type="dxa"/>
        <w:jc w:val="left"/>
        <w:tblInd w:w="0" w:type="dxa"/>
        <w:tblLayout w:type="fixed"/>
        <w:tblCellMar>
          <w:top w:w="28" w:type="dxa"/>
          <w:left w:w="28" w:type="dxa"/>
          <w:bottom w:w="28" w:type="dxa"/>
          <w:right w:w="28" w:type="dxa"/>
        </w:tblCellMar>
      </w:tblPr>
      <w:tblGrid>
        <w:gridCol w:w="1422"/>
        <w:gridCol w:w="1249"/>
        <w:gridCol w:w="125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311"/>
      </w:tblGrid>
      <w:tr>
        <w:trPr/>
        <w:tc>
          <w:tcPr>
            <w:tcW w:w="142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224,314 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financing receivables,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2,150,560 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sales-type,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268,107 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Real estate loans,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250,689 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and Term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931,624 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6,295,709 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97205"/>
                <wp:effectExtent l="0" t="0" r="0" b="0"/>
                <wp:wrapNone/>
                <wp:docPr id="25" name="Frame2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Nonrecurring Basis</w:t>
      </w:r>
    </w:p>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assets or liabilities measured at fair value on a nonrecurring basis during the six months ended June 30, 2026 and 2025.</w:t>
      </w:r>
    </w:p>
    <w:p>
      <w:pPr>
        <w:pStyle w:val="TextBody"/>
        <w:bidi w:val="0"/>
        <w:spacing w:before="160" w:after="1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 majority of these matters are subject to indemnification and defense obligations of our tenants. The Company maintains what it believes is adequate insurance coverage to further mitigate the risks of such proceedings. However, such proceedings can be costly, time-consuming,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 </w:t>
      </w:r>
    </w:p>
    <w:p>
      <w:pPr>
        <w:pStyle w:val="TextBody"/>
        <w:bidi w:val="0"/>
        <w:spacing w:before="0" w:after="0"/>
        <w:ind w:left="0" w:right="0" w:firstLine="720"/>
        <w:jc w:val="both"/>
        <w:rPr/>
      </w:pPr>
      <w:r>
        <w:rPr/>
      </w:r>
    </w:p>
    <w:p>
      <w:pPr>
        <w:pStyle w:val="TextBody"/>
        <w:bidi w:val="0"/>
        <w:spacing w:lineRule="auto" w:line="276" w:before="160" w:after="283"/>
        <w:jc w:val="both"/>
        <w:rPr/>
      </w:pPr>
      <w:r>
        <w:rPr>
          <w:rFonts w:ascii="Times New Roman;serif" w:hAnsi="Times New Roman;serif"/>
          <w:b/>
          <w:i/>
          <w:color w:val="000000"/>
          <w:sz w:val="20"/>
        </w:rPr>
        <w:t>Funding commitments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Condensed Consolidated Financial Statements for further details.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53"/>
        <w:gridCol w:w="1772"/>
        <w:gridCol w:w="1782"/>
        <w:gridCol w:w="109"/>
        <w:gridCol w:w="753"/>
        <w:gridCol w:w="753"/>
        <w:gridCol w:w="755"/>
        <w:gridCol w:w="652"/>
        <w:gridCol w:w="652"/>
        <w:gridCol w:w="924"/>
      </w:tblGrid>
      <w:tr>
        <w:trPr/>
        <w:tc>
          <w:tcPr>
            <w:tcW w:w="205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Commitment amount</w:t>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Amount funded at June 30, 2026</w:t>
            </w:r>
          </w:p>
        </w:tc>
      </w:tr>
      <w:tr>
        <w:trPr/>
        <w:tc>
          <w:tcPr>
            <w:tcW w:w="56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Relocation of Hollywood Casino Aurora</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 million</w:t>
            </w:r>
          </w:p>
        </w:tc>
        <w:tc>
          <w:tcPr>
            <w:tcW w:w="22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$225.0 million</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Funding associated with a landside move at Ameristar Casino Council Bluffs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million</w:t>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transaction at the former Tropicana Las Vegas site with Bally's</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million</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 million</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construction costs for Bally's Chicago </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$940 million</w:t>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$475.7 million</w:t>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 to fund a new casino development near Sacramento, California</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 million</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$98.9 million</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associated with the future site and construction for Live! Virginia Casino &amp; Hotel</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$467 million</w:t>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 million</w:t>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 for Dry Creek Rancheria Resort development</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 million</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(1) The Company has agreed to fund, if requested by PENN at its sole discretion, on or before March 31, 2029, construction improvements in an amount not to exceed the greater of (i) the hard costs associated with the project and (ii) $150.0 million at a 7.10% capitalization rate.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Revenue Recognition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 terms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Under ASC 842, the Company is required at lease inception (and if applicable at a lease reassessment date) to determine the term of the lease.</w:t>
      </w:r>
      <w:r>
        <w:rPr>
          <w:color w:val="000000"/>
        </w:rPr>
        <w:t xml:space="preserve"> </w:t>
      </w:r>
      <w:r>
        <w:rPr>
          <w:rFonts w:ascii="Times New Roman;serif" w:hAnsi="Times New Roman;serif"/>
          <w:b w:val="false"/>
          <w:color w:val="000000"/>
          <w:sz w:val="20"/>
        </w:rPr>
        <w:t>This requires concluding whether it is reasonably assured that our tenants will exercise their renewal options contained within the lease.</w:t>
      </w:r>
      <w:r>
        <w:rPr>
          <w:color w:val="000000"/>
        </w:rPr>
        <w:t xml:space="preserve"> </w:t>
      </w:r>
      <w:r>
        <w:rPr>
          <w:rFonts w:ascii="Times New Roman;serif" w:hAnsi="Times New Roman;serif"/>
          <w:b w:val="false"/>
          <w:color w:val="000000"/>
          <w:sz w:val="20"/>
        </w:rPr>
        <w:t xml:space="preserve">The initial lease term is a key judgment that is utilized in the lease classification test to determine whether the lease is an operating lease, sales-type lease or direct financing lease. The Company currently has not included tenant renewal options in its determination of the initial lease term. The Company assesses whether to include tenant renewal options in its calculation of the lease term based on several factors, including but not limited to, whether its tenants' leases represent substantially all of the tenants' earnings and revenues, the ability of its tenants to sell their leased operations for fair value and whether the initial term of its leases is for a significant period of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97205"/>
                <wp:effectExtent l="0" t="0" r="0" b="0"/>
                <wp:wrapNone/>
                <wp:docPr id="26" name="Frame2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Details of the Company's income from real estate for the three and six months ended June 30, 2026 was as follows (in thousands):</w:t>
      </w:r>
    </w:p>
    <w:tbl>
      <w:tblPr>
        <w:tblW w:w="8999" w:type="dxa"/>
        <w:jc w:val="center"/>
        <w:tblInd w:w="0" w:type="dxa"/>
        <w:tblLayout w:type="fixed"/>
        <w:tblCellMar>
          <w:top w:w="28" w:type="dxa"/>
          <w:left w:w="28" w:type="dxa"/>
          <w:bottom w:w="28" w:type="dxa"/>
          <w:right w:w="28" w:type="dxa"/>
        </w:tblCellMar>
      </w:tblPr>
      <w:tblGrid>
        <w:gridCol w:w="1222"/>
        <w:gridCol w:w="1072"/>
        <w:gridCol w:w="1080"/>
        <w:gridCol w:w="491"/>
        <w:gridCol w:w="1925"/>
        <w:gridCol w:w="254"/>
        <w:gridCol w:w="109"/>
        <w:gridCol w:w="109"/>
        <w:gridCol w:w="109"/>
        <w:gridCol w:w="455"/>
        <w:gridCol w:w="1784"/>
        <w:gridCol w:w="235"/>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Building base rent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339,692 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668,243 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base rent</w:t>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rent and other rental revenue</w:t>
            </w:r>
          </w:p>
        </w:tc>
        <w:tc>
          <w:tcPr>
            <w:tcW w:w="2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real estate loans</w:t>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income</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414,677 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818,068 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 adjustments</w:t>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 rent in revenue</w:t>
            </w:r>
          </w:p>
        </w:tc>
        <w:tc>
          <w:tcPr>
            <w:tcW w:w="2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financing receivables</w:t>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income from real estate</w:t>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430,519 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850,504 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future minimum rental income from the Company's rental properties under non-cancelable operating leases, including any reasonably assured renewal periods, was as follows (in thousands):</w:t>
      </w:r>
    </w:p>
    <w:tbl>
      <w:tblPr>
        <w:tblW w:w="10205" w:type="dxa"/>
        <w:jc w:val="center"/>
        <w:tblInd w:w="0" w:type="dxa"/>
        <w:tblLayout w:type="fixed"/>
        <w:tblCellMar>
          <w:top w:w="28" w:type="dxa"/>
          <w:left w:w="28" w:type="dxa"/>
          <w:bottom w:w="28" w:type="dxa"/>
          <w:right w:w="28" w:type="dxa"/>
        </w:tblCellMar>
      </w:tblPr>
      <w:tblGrid>
        <w:gridCol w:w="517"/>
        <w:gridCol w:w="454"/>
        <w:gridCol w:w="456"/>
        <w:gridCol w:w="278"/>
        <w:gridCol w:w="1427"/>
        <w:gridCol w:w="143"/>
        <w:gridCol w:w="109"/>
        <w:gridCol w:w="109"/>
        <w:gridCol w:w="109"/>
        <w:gridCol w:w="307"/>
        <w:gridCol w:w="1205"/>
        <w:gridCol w:w="159"/>
        <w:gridCol w:w="109"/>
        <w:gridCol w:w="109"/>
        <w:gridCol w:w="109"/>
        <w:gridCol w:w="320"/>
        <w:gridCol w:w="1254"/>
        <w:gridCol w:w="165"/>
        <w:gridCol w:w="109"/>
        <w:gridCol w:w="109"/>
        <w:gridCol w:w="109"/>
        <w:gridCol w:w="369"/>
        <w:gridCol w:w="1893"/>
        <w:gridCol w:w="277"/>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Future Rental Payments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Straight-Line Rent Adjustments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Future Base Ground Rents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Future Income to be Recognized Related to Operating Leases</w:t>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699,462 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733,734 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1,403,987 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1,467,001 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1,377,737 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1,433,233 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1,345,851 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1,395,063 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1,352,238 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1,395,070 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4,411,649 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4,444,951 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10,590,924 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151,541 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126,587 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10,869,052 </w:t>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72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Includes a tenant improvement allowance that is being amortized over the life of a tenant lease and excludes deferred income on the Bally's Chicago Land Lease as the facility is under development and as such is not ready for its intended use.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See Note 3 for the future contractual cash receipts to be received by the Company under its Investment in leases. </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periodically loan funds to casino owner-operators for the purchase of real estate. Interest income related to real estate loans is recorded as revenue from real estate within the Company's consolidated statements of income in the period earned. See Note 5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Earnings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calculates earnings per share ("EPS") in accordance with ASC 260 - </w:t>
      </w:r>
      <w:r>
        <w:rPr>
          <w:rFonts w:ascii="Times New Roman;serif" w:hAnsi="Times New Roman;serif"/>
          <w:b w:val="false"/>
          <w:i/>
          <w:color w:val="000000"/>
          <w:sz w:val="20"/>
        </w:rPr>
        <w:t xml:space="preserve">Earnings per Share </w:t>
      </w:r>
      <w:r>
        <w:rPr>
          <w:rFonts w:ascii="Times New Roman;serif" w:hAnsi="Times New Roman;serif"/>
          <w:b w:val="false"/>
          <w:color w:val="000000"/>
          <w:sz w:val="20"/>
        </w:rPr>
        <w:t>("ASC 260"</w:t>
      </w:r>
      <w:r>
        <w:rPr>
          <w:rFonts w:ascii="Times New Roman;serif" w:hAnsi="Times New Roman;serif"/>
          <w:b w:val="false"/>
          <w:i/>
          <w:color w:val="000000"/>
          <w:sz w:val="20"/>
        </w:rPr>
        <w:t>)</w:t>
      </w:r>
      <w:r>
        <w:rPr>
          <w:rFonts w:ascii="Times New Roman;serif" w:hAnsi="Times New Roman;serif"/>
          <w:b w:val="false"/>
          <w:color w:val="000000"/>
          <w:sz w:val="20"/>
        </w:rPr>
        <w:t xml:space="preserve">. Basic EPS is computed by dividing net income applicable to common stock by the weighted-average number of common shares outstanding during the period, excluding net income attributable to participating securities in accordance with the two class method. The Company's participating securities are related to certain employee equity awards that receive non-forfeitable dividends. Specifically, time-based restricted stock awards receive non-forfeitable dividends equivalent to what common shareholders receive during these awards vesting periods. Diluted EPS for the Company's common stock is computed using the more dilutive of the two-class method or the treasury stock method. Diluted EPS reflects the additional dilution for all potentially-dilutive securities. The effect of the conversion of the LTIP Units and OP Units to common shares is excluded from the computation of basic and diluted earnings per share because the exchange of LTIP Units and OP Units into common stock is on a one-for-one basis and all net income attributable to the noncontrolling interest holders are recorded as income attributable to noncontrolling interests and thus is excluded from net income available to common shareholders. In accordance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97205"/>
                <wp:effectExtent l="0" t="0" r="0" b="0"/>
                <wp:wrapNone/>
                <wp:docPr id="27" name="Frame2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 ASC 260, the Company includes all performance-based restricted shares that would have vested based upon the Company’s performance at quarter-end in the calculation of diluted EPS.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weighted-average common shares outstanding used in the calculation of basic EPS to the weighted-average common shares outstanding used in the calculation of diluted EPS for the three and six months ended June 30, 2026 and 2025: </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661"/>
        <w:gridCol w:w="1397"/>
        <w:gridCol w:w="1395"/>
        <w:gridCol w:w="573"/>
        <w:gridCol w:w="253"/>
        <w:gridCol w:w="213"/>
        <w:gridCol w:w="213"/>
        <w:gridCol w:w="213"/>
        <w:gridCol w:w="213"/>
        <w:gridCol w:w="573"/>
        <w:gridCol w:w="253"/>
        <w:gridCol w:w="213"/>
        <w:gridCol w:w="109"/>
        <w:gridCol w:w="109"/>
        <w:gridCol w:w="109"/>
        <w:gridCol w:w="518"/>
        <w:gridCol w:w="308"/>
        <w:gridCol w:w="193"/>
        <w:gridCol w:w="193"/>
        <w:gridCol w:w="193"/>
        <w:gridCol w:w="193"/>
        <w:gridCol w:w="518"/>
        <w:gridCol w:w="308"/>
        <w:gridCol w:w="284"/>
      </w:tblGrid>
      <w:tr>
        <w:trPr/>
        <w:tc>
          <w:tcPr>
            <w:tcW w:w="166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7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Determination of shares:</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285,725 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277,438 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284,479 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restricted stock awards (1)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Assumed conversion of performance-based restricted stock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4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285,857 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277,797 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284,593 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276,464 </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These awards which are participating securities are accounted for under the two-class method and excluded from the computation of diluted shares as they are a separate class.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EPS for the Company’s common stock for the three and six months ended June 30, 2026 and 2025: </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05"/>
        <w:gridCol w:w="1393"/>
        <w:gridCol w:w="139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80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basic EPS: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allocated to participating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earnings per share purposes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316,243 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diluted EPS: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earnings per share purposes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weighted-average common shares outstanding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EPS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Antidilutive securities excluded from the computation of diluted earnings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97205"/>
                <wp:effectExtent l="0" t="0" r="0" b="0"/>
                <wp:wrapNone/>
                <wp:docPr id="28" name="Frame2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Equity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Common stock issuance</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 2025, the Company entered into a new continuous equity offering program under which the Company may sell up to an aggregate of $1.25 billion of its common stock from time to time through a sales agent in "at the market" offerings (the "2025 ATM Program"). The issuance of securities through the 2025 ATM Program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2025 ATM Program. The 2025 ATM Program also allows the Company to enter into forward sale agreements. In no event will the aggregate number of shares sold under the 2025 ATM Program (whether under any forward sale agreement or through a sales agent), have an aggregate sales price in excess of $1.25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cash proceeds may or may not be received or cash may be owed to the forward purchaser.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2025 ATM Program, the Company would engage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 2026, the Company settled a forward sale agreement and issued 7,589,487 shares for a net sales price of $351.0 million inclusive of certain contractual adjustments. Reflecting the impact of this forward sale agreement, the Company has $886.7 million remaining for issuance under the 2025 ATM Program as of June 30, 2026.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Noncontrolling interests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partial consideration for the closing of various real property assets over the past few years, the Company's operating partnership has issued OP Units. Once vested, the OP Units are redeemable for cash, or at the Company's option, shares of common stock of the Company on a one-for-one basis. On June 30, 2026, 108,000 OP units were redeemed and an equal number of shares of the Company's common stock were issued. As partial consideration for the closing of the real property assets under the Bally's Master Lease II that occurred on February 11, 2026, the Company’s operating partnership issued 332,890 newly-issued OP units to affiliates of Bally's which were valued at $15.4 million. As of June 30, 2026, the Company holds a 96.9%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$7.2 million and $14.1 million in distributions to the noncontrolling interest holders concurrently with the dividends paid to the Company's common shareholders, during the three and six month periods ended June 30, 2026. The Company paid $6.5 million and $12.8 million in distributions to the noncontrolling interest holders concurrently with the dividends paid to the Company's common shareholders, during the three and six month periods ended June 30, 2025.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net income or loss is allocated to noncontrolling interests based on the respective economic interests in the Operating Partnership associated with such noncontrolling interests and is removed from consolidated income or loss on the Condensed Consolidated Statements of Income in order to derive net income or loss attributable to common stockholders. The noncontrolling ownership percentage is calculated by dividing the economically participating LTIP Units and OP Units by the total economically participating units and shares outstanding.</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Accumulated Other Comprehensive Income (Loss)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in Note 2 in the Company's 10-K, the Company had derivative instruments designated as cash flow hedges which it terminated in connection with the August 2025 issuance of Senior Notes. The amount in other comprehensive income before reclassifications is being amortized as a reduction in interest expense over ten years, which was the life of the derivative instruments. The amount expected to be amortized out of other comprehensive income to interest expense over the next 12 months is $0.1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97205"/>
                <wp:effectExtent l="0" t="0" r="0" b="0"/>
                <wp:wrapNone/>
                <wp:docPr id="29" name="Frame2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lists the dividends declared and paid by the Company during the six months ended June 30, 2026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and 2025:</w:t>
      </w:r>
    </w:p>
    <w:tbl>
      <w:tblPr>
        <w:tblW w:w="10205" w:type="dxa"/>
        <w:jc w:val="left"/>
        <w:tblInd w:w="0" w:type="dxa"/>
        <w:tblLayout w:type="fixed"/>
        <w:tblCellMar>
          <w:top w:w="28" w:type="dxa"/>
          <w:left w:w="28" w:type="dxa"/>
          <w:bottom w:w="28" w:type="dxa"/>
          <w:right w:w="28" w:type="dxa"/>
        </w:tblCellMar>
      </w:tblPr>
      <w:tblGrid>
        <w:gridCol w:w="425"/>
        <w:gridCol w:w="373"/>
        <w:gridCol w:w="376"/>
        <w:gridCol w:w="109"/>
        <w:gridCol w:w="109"/>
        <w:gridCol w:w="109"/>
        <w:gridCol w:w="480"/>
        <w:gridCol w:w="480"/>
        <w:gridCol w:w="481"/>
        <w:gridCol w:w="109"/>
        <w:gridCol w:w="109"/>
        <w:gridCol w:w="109"/>
        <w:gridCol w:w="339"/>
        <w:gridCol w:w="339"/>
        <w:gridCol w:w="341"/>
        <w:gridCol w:w="109"/>
        <w:gridCol w:w="109"/>
        <w:gridCol w:w="109"/>
        <w:gridCol w:w="372"/>
        <w:gridCol w:w="372"/>
        <w:gridCol w:w="374"/>
        <w:gridCol w:w="109"/>
        <w:gridCol w:w="109"/>
        <w:gridCol w:w="109"/>
        <w:gridCol w:w="362"/>
        <w:gridCol w:w="362"/>
        <w:gridCol w:w="363"/>
        <w:gridCol w:w="109"/>
        <w:gridCol w:w="109"/>
        <w:gridCol w:w="109"/>
        <w:gridCol w:w="402"/>
        <w:gridCol w:w="402"/>
        <w:gridCol w:w="403"/>
        <w:gridCol w:w="109"/>
        <w:gridCol w:w="109"/>
        <w:gridCol w:w="109"/>
        <w:gridCol w:w="392"/>
        <w:gridCol w:w="328"/>
        <w:gridCol w:w="477"/>
      </w:tblGrid>
      <w:tr>
        <w:trPr/>
        <w:tc>
          <w:tcPr>
            <w:tcW w:w="42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 Covered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Amount</w:t>
            </w:r>
          </w:p>
        </w:tc>
      </w:tr>
      <w:tr>
        <w:trPr/>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13,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$220,913</w:t>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Quarter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$238,465</w:t>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$208,873</w:t>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$220,743</w:t>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for the three and six months ended June 30, 2026, dividend payments were made to GLPI restricted stock award holders in the amount of $0.1 million and $0.3 million. For the three and six months ended June 30, 2025, dividend payments were made to GLPI restricted stock award holders in the amount of $0.2 million and $0.4 million.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Stock-Based Compensation</w:t>
      </w:r>
    </w:p>
    <w:p>
      <w:pPr>
        <w:pStyle w:val="TextBody"/>
        <w:bidi w:val="0"/>
        <w:spacing w:before="0" w:after="0"/>
        <w:jc w:val="left"/>
        <w:rPr/>
      </w:pPr>
      <w:r>
        <w:rPr/>
      </w:r>
    </w:p>
    <w:p>
      <w:pPr>
        <w:pStyle w:val="TextBody"/>
        <w:bidi w:val="0"/>
        <w:spacing w:lineRule="auto" w:line="276" w:before="0" w:after="0"/>
        <w:jc w:val="left"/>
        <w:rPr/>
      </w:pPr>
      <w:r>
        <w:rPr>
          <w:color w:val="000000"/>
        </w:rPr>
        <w:t>     </w:t>
      </w:r>
      <w:r>
        <w:rPr>
          <w:rFonts w:ascii="Times New Roman;serif" w:hAnsi="Times New Roman;serif"/>
          <w:b w:val="false"/>
          <w:color w:val="000000"/>
          <w:sz w:val="20"/>
        </w:rPr>
        <w:t xml:space="preserve">The Company accounts for stock compensation under ASC 718 - </w:t>
      </w:r>
      <w:r>
        <w:rPr>
          <w:rFonts w:ascii="Times New Roman;serif" w:hAnsi="Times New Roman;serif"/>
          <w:b w:val="false"/>
          <w:i/>
          <w:color w:val="000000"/>
          <w:sz w:val="20"/>
        </w:rPr>
        <w:t xml:space="preserve">Compensation - Stock Compensation, </w:t>
      </w:r>
      <w:r>
        <w:rPr>
          <w:rFonts w:ascii="Times New Roman;serif" w:hAnsi="Times New Roman;serif"/>
          <w:b w:val="false"/>
          <w:color w:val="000000"/>
          <w:sz w:val="20"/>
        </w:rPr>
        <w:t xml:space="preserve">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and time-based LTIP awards are equivalent to the closing stock price on the day prior to grant. The Company utilizes a third party valuation firm to measure the fair value of performance-based restricted stock awards and performance-based LTIP awards at the grant date using a Monte Carlo simulation model.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$4.1 million of total unrecognized compensation cost for time-based restricted stock awards that will be recognized over the grants' remaining weighted average vesting period of 1.55 years. For the three and six months ended June 30, 2026, the Company recognized $1.0 million and $3.1 million of compensation expense associated with these awards, compared to $2.2 million and $4.4 million for the three and six months ended June 30, 2025, within general and administrative expenses on the Company's Condensed Consolidated Statements of Income and Comprehensive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on time-based restricted stock award activity for the six months ended June 30, 2026:</w:t>
      </w:r>
    </w:p>
    <w:tbl>
      <w:tblPr>
        <w:tblW w:w="4520" w:type="dxa"/>
        <w:jc w:val="center"/>
        <w:tblInd w:w="0" w:type="dxa"/>
        <w:tblLayout w:type="fixed"/>
        <w:tblCellMar>
          <w:top w:w="28" w:type="dxa"/>
          <w:left w:w="28" w:type="dxa"/>
          <w:bottom w:w="28" w:type="dxa"/>
          <w:right w:w="28" w:type="dxa"/>
        </w:tblCellMar>
      </w:tblPr>
      <w:tblGrid>
        <w:gridCol w:w="1065"/>
        <w:gridCol w:w="935"/>
        <w:gridCol w:w="940"/>
        <w:gridCol w:w="475"/>
        <w:gridCol w:w="475"/>
        <w:gridCol w:w="47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Award</w:t>
              <w:br/>
              <w:t>Shares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217,234 </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126,946 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(145,195)</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9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198,985 </w:t>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Performance-based restricted stock awards have a three-year cliff vesting schedule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June 30, 2026, there was $8.7 million of total unrecognized compensation cost, which will be recognized over the performance-based restricted stock awards' remaining weighted average vesting period of 1.58 years.  For the three and six months ended June 30, 2026, the Company recognized $2.0 million and $4.0 million of compensation expense associated with these awards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97205"/>
                <wp:effectExtent l="0" t="0" r="0" b="0"/>
                <wp:wrapNone/>
                <wp:docPr id="30" name="Frame3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on the Company's Condensed Consolidated Statements of Income and Comprehensive Income compared to $3.1 million and $6.2 million for the corresponding periods in the prior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on performance-based restricted stock award activity for the six months ended June 30, 2026:</w:t>
      </w:r>
    </w:p>
    <w:p>
      <w:pPr>
        <w:pStyle w:val="TextBody"/>
        <w:bidi w:val="0"/>
        <w:spacing w:before="0" w:after="0"/>
        <w:ind w:left="0" w:right="0" w:firstLine="720"/>
        <w:jc w:val="left"/>
        <w:rPr/>
      </w:pPr>
      <w:r>
        <w:rPr/>
      </w:r>
    </w:p>
    <w:p>
      <w:pPr>
        <w:pStyle w:val="TextBody"/>
        <w:bidi w:val="0"/>
        <w:spacing w:before="0" w:after="0"/>
        <w:jc w:val="center"/>
        <w:rPr/>
      </w:pPr>
      <w:r>
        <w:rPr/>
      </w:r>
    </w:p>
    <w:tbl>
      <w:tblPr>
        <w:tblW w:w="6559" w:type="dxa"/>
        <w:jc w:val="center"/>
        <w:tblInd w:w="0" w:type="dxa"/>
        <w:tblLayout w:type="fixed"/>
        <w:tblCellMar>
          <w:top w:w="28" w:type="dxa"/>
          <w:left w:w="28" w:type="dxa"/>
          <w:bottom w:w="28" w:type="dxa"/>
          <w:right w:w="28" w:type="dxa"/>
        </w:tblCellMar>
      </w:tblPr>
      <w:tblGrid>
        <w:gridCol w:w="1065"/>
        <w:gridCol w:w="935"/>
        <w:gridCol w:w="940"/>
        <w:gridCol w:w="1154"/>
        <w:gridCol w:w="1154"/>
        <w:gridCol w:w="1157"/>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Performance-Based Award Shares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23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1,162,000 </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141,000 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2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(179,557)</w:t>
            </w:r>
          </w:p>
        </w:tc>
        <w:tc>
          <w:tcPr>
            <w:tcW w:w="1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Canceled</w:t>
            </w:r>
            <w:r>
              <w:rPr>
                <w:color w:val="000000"/>
              </w:rPr>
              <w:t xml:space="preserve"> </w:t>
            </w:r>
          </w:p>
        </w:tc>
        <w:tc>
          <w:tcPr>
            <w:tcW w:w="2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(274,443)</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23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849,000 </w:t>
            </w:r>
          </w:p>
        </w:tc>
        <w:tc>
          <w:tcPr>
            <w:tcW w:w="1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$1.9 million of total unrecognized compensation cost for time-based LTIP awards that will be recognized over the grants' remaining weighted average vesting period of 2.32 years. For the three and six months ended June 30, 2026, the Company recognized $0.2 million and $2.9 million of compensation expense associated with these awards within general and administrative expenses on the Company's Condensed Consolidated Statements of Income and Comprehensive Income compared to $0.1 million and $2.9 million for the corresponding periods in the prior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on time-based LTIP award activity for the six months ended June 30, 2026:</w:t>
      </w:r>
    </w:p>
    <w:tbl>
      <w:tblPr>
        <w:tblW w:w="5884" w:type="dxa"/>
        <w:jc w:val="left"/>
        <w:tblInd w:w="0" w:type="dxa"/>
        <w:tblLayout w:type="fixed"/>
        <w:tblCellMar>
          <w:top w:w="28" w:type="dxa"/>
          <w:left w:w="28" w:type="dxa"/>
          <w:bottom w:w="28" w:type="dxa"/>
          <w:right w:w="28" w:type="dxa"/>
        </w:tblCellMar>
      </w:tblPr>
      <w:tblGrid>
        <w:gridCol w:w="1065"/>
        <w:gridCol w:w="935"/>
        <w:gridCol w:w="940"/>
        <w:gridCol w:w="929"/>
        <w:gridCol w:w="929"/>
        <w:gridCol w:w="932"/>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Time-Based LTIP Awards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96,000 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(23,334)</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85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142,666 </w:t>
            </w:r>
          </w:p>
        </w:tc>
        <w:tc>
          <w:tcPr>
            <w:tcW w:w="9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Performance-based LTIP awards have a three-year cliff vesting with the amount of LTIP awards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June 30, 2026, there was $11.7 million of total unrecognized compensation cost, which will be recognized over the performance-based LTIP awards' remaining weighted average vesting period of 2.18 years.  For the three and six months ended June 30, 2026, the Company recognized $1.4 million and $2.8 million of compensation expense associated with these awards within general and administrative expenses on the Company's Condensed Consolidated Statements of Income and Comprehensive Income compared to $0.7 million and $1.5 million for the corresponding periods in the prior year.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on performance-based LTIP award activity for the six months ended June 30, 2026:</w:t>
      </w:r>
    </w:p>
    <w:p>
      <w:pPr>
        <w:pStyle w:val="TextBody"/>
        <w:bidi w:val="0"/>
        <w:spacing w:before="0" w:after="0"/>
        <w:ind w:left="0" w:right="0" w:firstLine="720"/>
        <w:jc w:val="left"/>
        <w:rPr/>
      </w:pPr>
      <w:r>
        <w:rPr/>
      </w:r>
    </w:p>
    <w:p>
      <w:pPr>
        <w:pStyle w:val="TextBody"/>
        <w:bidi w:val="0"/>
        <w:spacing w:before="0" w:after="0"/>
        <w:jc w:val="center"/>
        <w:rPr/>
      </w:pPr>
      <w:r>
        <w:rPr/>
      </w:r>
    </w:p>
    <w:tbl>
      <w:tblPr>
        <w:tblW w:w="6514" w:type="dxa"/>
        <w:jc w:val="center"/>
        <w:tblInd w:w="0" w:type="dxa"/>
        <w:tblLayout w:type="fixed"/>
        <w:tblCellMar>
          <w:top w:w="28" w:type="dxa"/>
          <w:left w:w="28" w:type="dxa"/>
          <w:bottom w:w="28" w:type="dxa"/>
          <w:right w:w="28" w:type="dxa"/>
        </w:tblCellMar>
      </w:tblPr>
      <w:tblGrid>
        <w:gridCol w:w="1065"/>
        <w:gridCol w:w="935"/>
        <w:gridCol w:w="940"/>
        <w:gridCol w:w="1139"/>
        <w:gridCol w:w="1139"/>
        <w:gridCol w:w="1142"/>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Performance-Based LTIP Awards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22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280,000 </w:t>
            </w:r>
          </w:p>
        </w:tc>
        <w:tc>
          <w:tcPr>
            <w:tcW w:w="1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384,000 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4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4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22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664,000 </w:t>
            </w:r>
          </w:p>
        </w:tc>
        <w:tc>
          <w:tcPr>
            <w:tcW w:w="1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97205"/>
                <wp:effectExtent l="0" t="0" r="0" b="0"/>
                <wp:wrapNone/>
                <wp:docPr id="31" name="Frame3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Supplemental Disclosures of Cash Flow Information and Noncash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 are as follows:</w:t>
      </w:r>
    </w:p>
    <w:tbl>
      <w:tblPr>
        <w:tblW w:w="9690" w:type="dxa"/>
        <w:jc w:val="left"/>
        <w:tblInd w:w="0" w:type="dxa"/>
        <w:tblLayout w:type="fixed"/>
        <w:tblCellMar>
          <w:top w:w="28" w:type="dxa"/>
          <w:left w:w="28" w:type="dxa"/>
          <w:bottom w:w="28" w:type="dxa"/>
          <w:right w:w="28" w:type="dxa"/>
        </w:tblCellMar>
      </w:tblPr>
      <w:tblGrid>
        <w:gridCol w:w="1555"/>
        <w:gridCol w:w="1365"/>
        <w:gridCol w:w="1370"/>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income taxes, net of refunds received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Noncash Investing and Financing Activities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 period ended June 30, 2026, 108,000 OP units were converted into an equal number of common shares which resulted in the reclassification of $4.8 million from noncontrolling interests to common stock and additional paid-in capital on the Company's Condensed Consolidated Balance Sheet.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11, 2026, as partial consideration for the acquisition of the real property assets of Bally's Lincoln, the Company’s operating partnership issued 332,890 newly-issued OP units to an affiliate of Bally's which were valued at $15.4 million for accounting purposes at closing.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Acquisitions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The Company accounts for its acquisitions of real estate assets as asset acquisitions under ASC 805 -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Under asset acquisition accounting, incremental transaction costs incurred to acquire the purchased assets are also included as part of the asset cost.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in Note 1, on February 11, 2026, the Company completed the purchase of the real property assets of Bally’s Lincoln and the properties were leased back to Bally's subject to the terms of the Bally's Master Lease II. The Company paid cash of $688.0 million and issued 332,890 OP Units valued at $15.4 million based on the Company's closing stock price at the acquisition date. The purchase price allocation of these assets based on their fair values at the acquisition date are summarized below (in thousands).</w:t>
      </w:r>
    </w:p>
    <w:p>
      <w:pPr>
        <w:pStyle w:val="TextBody"/>
        <w:bidi w:val="0"/>
        <w:spacing w:before="0" w:after="0"/>
        <w:ind w:left="0" w:right="0" w:firstLine="720"/>
        <w:jc w:val="both"/>
        <w:rPr/>
      </w:pPr>
      <w:r>
        <w:rPr/>
      </w:r>
    </w:p>
    <w:tbl>
      <w:tblPr>
        <w:tblW w:w="3590" w:type="dxa"/>
        <w:jc w:val="left"/>
        <w:tblInd w:w="0" w:type="dxa"/>
        <w:tblLayout w:type="fixed"/>
        <w:tblCellMar>
          <w:top w:w="28" w:type="dxa"/>
          <w:left w:w="28" w:type="dxa"/>
          <w:bottom w:w="28" w:type="dxa"/>
          <w:right w:w="28" w:type="dxa"/>
        </w:tblCellMar>
      </w:tblPr>
      <w:tblGrid>
        <w:gridCol w:w="869"/>
        <w:gridCol w:w="763"/>
        <w:gridCol w:w="767"/>
        <w:gridCol w:w="211"/>
        <w:gridCol w:w="82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97205"/>
                <wp:effectExtent l="0" t="0" r="0" b="0"/>
                <wp:wrapNone/>
                <wp:docPr id="32" name="Frame3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the financial position and operating results of Gaming and Leisure Properties, Inc. for the three and six months ended June 30, 2026 should be read in conjunction with the Financial Statements and related notes thereto and other financial information contained elsewhere in this Quarterly Report on Form 10-Q and the audited consolidated financial statements and related notes for the year ended December 31, 2025. All defined terms included herein have the same meaning as those set forth in the Notes to the Consolidated Financial Statements contained within this Quarterly Report on Form 10-Q.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document are subject to known and unknown risks, uncertainties and other factors that may cause actual results, performance or achievements of Gaming and Leisure Properties, Inc. ("GLPI") and its subsidiaries (collectively with GLPI, the "Company") to be materially different from any future results, performance or achievements expressed or implied by such forward-looking statements. Forward-looking statements include information concerning the Company’s business strategy, plans, goals and objectives.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or our partner’s ability to successfully complete construction of various casino projects currently under development for which we have agreed to provide construction development funding, including Bally’s Chicago, and the ability and willingness of our partners to meet and/or perform their respective obligations under the applicable construction financing and/or development documents;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that higher inflation rates and interest rates and uncertainty with respect to the future state of the economy could have on discretionary consumer spending, including the casino operations of our tenants;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unforeseen consequences related to United States ("U.S.") government, economic, monetary or trade policies and stimulus packages on inflation rates, interest rates and economic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geopolitical events, including recent conflicts in the Middle East, and their potential impact on U.S. Treasury yields and inflation rates;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our tenants to maintain the financial strength and liquidity necessary to satisfy their respective obligations and liabilities to third parties, including, without limitation, to satisfy obligations under their existing credit facilities and other indebtedness;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and the ability to identify suitable and attractive acquisition and development opportunities and the ability to acquire and lease the respective properties on favorable terms;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degree and nature of our competition;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receive, or delays in obtaining, the regulatory approvals required to own and/or operate our properties, or other delays or impediments to completing our planned acquisitions or projects;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potential of a new pandemic or similar national health crisis, including its effect on the ability or desire of people to gather in large groups (including in casinos), which could impact our financial results, operations, outlooks, plans, goals, growth, cash flows, liquidity, and stock price;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maintain our status as a real estate investment trust ("REIT"), given the highly technical and complex Internal Revenue Code (the "Code") provisions for which only limited judicial and administrative authorities exist,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7205"/>
                <wp:effectExtent l="0" t="0" r="0" b="0"/>
                <wp:wrapNone/>
                <wp:docPr id="33" name="Frame3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where even a technical or inadvertent violation could jeopardize REIT qualification and where requirements may depend in part on the actions of third parties over which the Company has no control or only limited influence;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satisfaction of certain asset, income, organizational, distribution, shareholder ownership and other requirements on a continuing basis in order for the Company to maintain its REIT status;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our tenants to comply with laws, rules and regulations in the operation of our properties, to deliver high quality services, to attract and retain qualified personnel and to attract customers;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generate sufficient cash flows to service and comply with financial covenants under our outstanding indebtedness;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access capital through debt and equity markets in amounts and at rates and costs acceptable to GLPI, including for the satisfaction of our funding commitments to the extent drawn by our partners, acquisitions or refinancings due to maturities;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our tenants to decline our funding commitments by seeking alternative financing solutions and/or if our tenants do elect to utilize our funding commitments, the amounts drawn and the timing of these draws may be different than what the Company assumed;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changes in our credit rating;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qualified personnel and our ability to retain our key management personnel;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U.S. tax law and other federal, state or local laws, whether or not specific to real estate, REITs or the gaming, lodging or hospitality industries;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accounting standards;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weather or climate events or conditions, natural disasters, acts of terrorism and other international hostilities, war (including the current conflict between Russia and Ukraine and conflicts in the Middle East) or political instability;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the historical financial statements included herein do not reflect what the business, financial position or results of operations of GLPI may be in the future;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risks inherent in the real estate business, including potential liability relating to environmental matters and illiquidity of real estate investments;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factors as discussed in the Company’s Annual Report on Form 10-K for the year ended December 31, 2025 (the "Annual Report"), in this Quarterly Report on Form 10-Q and Current Reports on Form 8-K as filed with the United States Securities and Exchange Commission.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Other unknown or unpredictable factors may also cause actual results to differ materially from those projected by the forward-looking statements. Most of these factors are difficult to anticipate and are generally beyond the control of the Company.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7205"/>
                <wp:effectExtent l="0" t="0" r="0" b="0"/>
                <wp:wrapNone/>
                <wp:docPr id="34" name="Frame3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GLPI is a self-administered and self-managed REIT headquartered in Wyomissing, Pennsylvania. GLPI was incorporated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 </w:t>
      </w:r>
    </w:p>
    <w:p>
      <w:pPr>
        <w:pStyle w:val="TextBody"/>
        <w:bidi w:val="0"/>
        <w:spacing w:before="160" w:after="283"/>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2021, the Company has been structured as an umbrella partnership REIT under which substantially all of our business is conducted through GLP Capital, the day-to-day management of which is exclusively controlled by GLPI. GLPI has no material assets other than its investment in GLP Capital. GLPI issues equity from time to time and is obligated to contribute the net proceeds from those offerings to GLP Capital. As of June 30, 2026, GLPI holds a 96.9% controlling financial interest in the operating partnership.</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Strategy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seek to provide an opportunity to invest in the growth opportunities afforded by the gaming industry, with the stability and cash flow opportunities of a REIT. Our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The Company also extends loans that produce fixed or variable returns which may convert into leased rent upon project completion or stabilization.</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Property and lease information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disclosed the following key terms of its master leases and single-property leases in the tables below, along with the properties within each lease at June 30, 2026. We believe the following key terms are important for users of our financial statements to understand. </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Coverage ratio is a defined term in each respective lease agreement with our tenants and represents the ratio of Adjusted EBITDAR to rent expense for the properties contained within each lease. Adjusted EBITDAR is defined in each respective lease but is generally consistent with the Company's definition of Adjusted EBITDA as described in the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 xml:space="preserve">section of this </w:t>
      </w:r>
      <w:r>
        <w:rPr>
          <w:rFonts w:ascii="Times New Roman;serif" w:hAnsi="Times New Roman;serif"/>
          <w:b w:val="false"/>
          <w:i/>
          <w:color w:val="000000"/>
          <w:sz w:val="20"/>
        </w:rPr>
        <w:t>Management's Discussion and Analysis</w:t>
      </w:r>
      <w:r>
        <w:rPr>
          <w:rFonts w:ascii="Times New Roman;serif" w:hAnsi="Times New Roman;serif"/>
          <w:b w:val="false"/>
          <w:color w:val="000000"/>
          <w:sz w:val="20"/>
        </w:rPr>
        <w:t>, plus rent expense paid to GLPI.</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Certain leases have a minimum escalator coverage ratio governor as disclosed below. Before a rent escalation of up to 2% on the building base rent component of each lease can occur, the minimum coverage ratio for these leases needs to be 1.8 to 1 for the applicable lease year.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reported coverage ratios below with respect to our tenants' rent coverage over the trailing twelve months were provided by our tenants for the most recently available time period. GLPI has not independently verified the accuracy of the tenants' information and therefore makes no representation as to its accuracy. Rent coverage ratios are not reported for ground leases and development projects nor on leases that have been in effect for less than twelve months.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Amended PENN Master Lease, the Amended Pinnacle Master Lease, the Boyd Master Lease, and the Belterra Park Lease each include (i) a fixed rent component, a portion of which escalates annually by up to 2% if specified rent coverage thresholds are met, and (ii) a percentage rent component tied to property performance. The percentage rent component is recalculated periodically, every five years for the Amended PENN Master Lease and every two years for the other leases, based on 4% of the average annual net revenues of the applicable facilities in excess of a contractually defined baseline, subject to certain floors.</w:t>
      </w:r>
    </w:p>
    <w:p>
      <w:pPr>
        <w:pStyle w:val="TextBody"/>
        <w:bidi w:val="0"/>
        <w:spacing w:before="0" w:after="0"/>
        <w:jc w:val="both"/>
        <w:rPr/>
      </w:pPr>
      <w:r>
        <w:rPr/>
      </w:r>
    </w:p>
    <w:p>
      <w:pPr>
        <w:pStyle w:val="TextBody"/>
        <w:bidi w:val="0"/>
        <w:spacing w:before="16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7205"/>
                <wp:effectExtent l="0" t="0" r="0" b="0"/>
                <wp:wrapNone/>
                <wp:docPr id="35" name="Frame3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160" w:after="283"/>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894"/>
        <w:gridCol w:w="782"/>
        <w:gridCol w:w="800"/>
        <w:gridCol w:w="648"/>
        <w:gridCol w:w="648"/>
        <w:gridCol w:w="630"/>
        <w:gridCol w:w="404"/>
        <w:gridCol w:w="387"/>
        <w:gridCol w:w="345"/>
        <w:gridCol w:w="748"/>
        <w:gridCol w:w="748"/>
        <w:gridCol w:w="1611"/>
        <w:gridCol w:w="453"/>
        <w:gridCol w:w="453"/>
        <w:gridCol w:w="654"/>
      </w:tblGrid>
      <w:tr>
        <w:trPr/>
        <w:tc>
          <w:tcPr>
            <w:tcW w:w="89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r>
      <w:tr>
        <w:trPr/>
        <w:tc>
          <w:tcPr>
            <w:tcW w:w="2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 2023 Master Lease</w:t>
            </w:r>
          </w:p>
        </w:tc>
        <w:tc>
          <w:tcPr>
            <w:tcW w:w="4667"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Amended Penn Master Lease</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30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w:t>
            </w:r>
          </w:p>
        </w:tc>
        <w:tc>
          <w:tcPr>
            <w:tcW w:w="46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Aurora</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Aurora, IL</w:t>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Lawrenceburg</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Lawrenceburg, IN</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Joliet</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Joliet, IL</w:t>
            </w:r>
          </w:p>
        </w:tc>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Argosy Casino Alton</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Alton, IL</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Toledo</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Toledo, OH</w:t>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Charles Town Races</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Charles Town, WV</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Columbus</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Columbus, OH</w:t>
            </w:r>
          </w:p>
        </w:tc>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Penn National Race Course</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Grantville, PA</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Resort</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Henderson, NV</w:t>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Bangor</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Bangor, ME</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the Meadows</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 PA</w:t>
            </w:r>
          </w:p>
        </w:tc>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Zia Park Casino</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Hobbs, NM</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Perryville</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Perryville, MD</w:t>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Gulf Coast</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Bay St. Louis, MS</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Argosy Casino Riverside</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Riverside, MO</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Tunica</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MS</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Biloxi</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Biloxi, MS</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St. Louis</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Heights, MO</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Casino at Dayton Raceway</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Dayton, OH</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Casino at Mahoning Valley Race Track</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Youngstown, OH</w:t>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1st Jackpot Casino</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MS</w:t>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1/1/2023</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11/1/2013</w:t>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10/31/2033</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10/31/2033</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(3x5 years)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(3x5 years)</w:t>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(1)</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w:t>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years</w:t>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2028</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In addition to the annual escalation, a one-time annualized increase of $1.4 million occurs on November 1, 2027. </w:t>
      </w:r>
    </w:p>
    <w:p>
      <w:pPr>
        <w:pStyle w:val="TextBody"/>
        <w:bidi w:val="0"/>
        <w:spacing w:before="160" w:after="283"/>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7205"/>
                <wp:effectExtent l="0" t="0" r="0" b="0"/>
                <wp:wrapNone/>
                <wp:docPr id="36" name="Frame3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0"/>
        <w:gridCol w:w="787"/>
        <w:gridCol w:w="805"/>
        <w:gridCol w:w="665"/>
        <w:gridCol w:w="585"/>
        <w:gridCol w:w="1226"/>
        <w:gridCol w:w="460"/>
        <w:gridCol w:w="403"/>
        <w:gridCol w:w="335"/>
        <w:gridCol w:w="954"/>
        <w:gridCol w:w="954"/>
        <w:gridCol w:w="958"/>
        <w:gridCol w:w="340"/>
        <w:gridCol w:w="340"/>
        <w:gridCol w:w="493"/>
      </w:tblGrid>
      <w:tr>
        <w:trPr/>
        <w:tc>
          <w:tcPr>
            <w:tcW w:w="90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r>
      <w:tr>
        <w:trPr/>
        <w:tc>
          <w:tcPr>
            <w:tcW w:w="2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Amended Pinnacle Master Lease</w:t>
            </w:r>
          </w:p>
        </w:tc>
        <w:tc>
          <w:tcPr>
            <w:tcW w:w="4039"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 Master Lease</w:t>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36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w:t>
            </w:r>
          </w:p>
        </w:tc>
        <w:tc>
          <w:tcPr>
            <w:tcW w:w="403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Black Hawk</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CO</w:t>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Evansville</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Evansville, IN</w:t>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East Chicago</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Chicago, IN</w:t>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Dover Casino Resort</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Dover, DE</w:t>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Council Bluffs</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Council Bluffs, IA</w:t>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(Black Hawk North, West and East casinos)</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CO</w:t>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Baton Rouge</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LA</w:t>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Quad Cities Casino &amp; Hotel</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Rock Island, IL</w:t>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Bossier City</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Bossier City, LA</w:t>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Tiverton Hotel &amp; Casino</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Tiverton, RI</w:t>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Lake Charles</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Lake Charles, LA</w:t>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Hard Rock Casino and Hotel Biloxi</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Biloxi, MS</w:t>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New Orleans</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Orleans, LA</w:t>
            </w:r>
          </w:p>
        </w:tc>
        <w:tc>
          <w:tcPr>
            <w:tcW w:w="2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Vicksburg</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Vicksburg, MS</w:t>
            </w:r>
          </w:p>
        </w:tc>
        <w:tc>
          <w:tcPr>
            <w:tcW w:w="2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 City Casino &amp; Hotel</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Louis, MO</w:t>
            </w:r>
          </w:p>
        </w:tc>
        <w:tc>
          <w:tcPr>
            <w:tcW w:w="2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Jackpot Properties (Cactus Petes and Horseshu)</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Jackpot, NV</w:t>
            </w:r>
          </w:p>
        </w:tc>
        <w:tc>
          <w:tcPr>
            <w:tcW w:w="2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Plainridge Park Casino</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Plainridge, MA</w:t>
            </w:r>
          </w:p>
        </w:tc>
        <w:tc>
          <w:tcPr>
            <w:tcW w:w="2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286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2492" w:type="dxa"/>
            <w:gridSpan w:val="3"/>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286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2492" w:type="dxa"/>
            <w:gridSpan w:val="3"/>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286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4/28/2016</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6/3/2021</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4/30/2031</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6/2/2036</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(1)</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(3)</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years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 2028</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If the tenant's parent's net leverage is greater than 5.5 to 1, then the adjusted revenue to rent coverage for the last two consecutive test periods must be at least 1.35. If the tenant's parent's net leverage is equal to or less than 5.5 to 1, then the ratio shall be reduced to 1.2. </w:t>
      </w:r>
    </w:p>
    <w:p>
      <w:pPr>
        <w:pStyle w:val="TextBody"/>
        <w:bidi w:val="0"/>
        <w:spacing w:lineRule="auto" w:line="276" w:before="160" w:after="283"/>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Coverage ratio for escalation purposes excludes adjusted revenue and rent attributable to the Plainridge Park facility as well as certain other fixed rent amounts. </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7205"/>
                <wp:effectExtent l="0" t="0" r="0" b="0"/>
                <wp:wrapNone/>
                <wp:docPr id="37" name="Frame3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tbl>
      <w:tblPr>
        <w:tblW w:w="10205" w:type="dxa"/>
        <w:jc w:val="left"/>
        <w:tblInd w:w="0" w:type="dxa"/>
        <w:tblLayout w:type="fixed"/>
        <w:tblCellMar>
          <w:top w:w="28" w:type="dxa"/>
          <w:left w:w="28" w:type="dxa"/>
          <w:bottom w:w="28" w:type="dxa"/>
          <w:right w:w="28" w:type="dxa"/>
        </w:tblCellMar>
      </w:tblPr>
      <w:tblGrid>
        <w:gridCol w:w="1133"/>
        <w:gridCol w:w="991"/>
        <w:gridCol w:w="1014"/>
        <w:gridCol w:w="974"/>
        <w:gridCol w:w="970"/>
        <w:gridCol w:w="967"/>
        <w:gridCol w:w="439"/>
        <w:gridCol w:w="438"/>
        <w:gridCol w:w="433"/>
        <w:gridCol w:w="496"/>
        <w:gridCol w:w="496"/>
        <w:gridCol w:w="492"/>
        <w:gridCol w:w="397"/>
        <w:gridCol w:w="397"/>
        <w:gridCol w:w="568"/>
      </w:tblGrid>
      <w:tr>
        <w:trPr/>
        <w:tc>
          <w:tcPr>
            <w:tcW w:w="113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r>
      <w:tr>
        <w:trPr/>
        <w:tc>
          <w:tcPr>
            <w:tcW w:w="3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1"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 Master Lease II</w:t>
            </w:r>
          </w:p>
        </w:tc>
        <w:tc>
          <w:tcPr>
            <w:tcW w:w="2846"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Casino Queen Master Lease</w:t>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42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c>
          <w:tcPr>
            <w:tcW w:w="28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Kansas City</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City, MO</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Marquette</w:t>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Marquette, IA</w:t>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Shreveport Casino &amp; Hotel</w:t>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Shreveport, LA</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Baton Rouge</w:t>
            </w:r>
          </w:p>
        </w:tc>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LA</w:t>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Draft Kings at Casino Queen (4)</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St. Louis, IL</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Queen Baton Rouge (4)</w:t>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LA</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Twin River Lincoln Casino Resort</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Lincoln, RI</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12/16/2024</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12/17/2021</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12/15/2039</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12/31/2036</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(1)</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(1)</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2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(6)</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2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If the tenant's parent's net leverage is greater than 5.5 to 1, then the adjusted revenue to rent coverage for the last two consecutive test periods must be at least 1.35. If the tenant's parent's net leverage is equal to or less than 5.5 to 1, then the ratio shall be reduced to 1.2. For the Casino Queen Master Lease the test begins on the first anniversary after both development projects are completed and open to the public. </w:t>
      </w:r>
    </w:p>
    <w:p>
      <w:pPr>
        <w:pStyle w:val="TextBody"/>
        <w:bidi w:val="0"/>
        <w:spacing w:lineRule="auto" w:line="276" w:before="160" w:after="283"/>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Rent increases by 0.5% for the first six years. Beginning in the seventh lease year through the remainder of the lease term, if the CPI increases by at least 0.25% for any lease year then annual rent shall be increased by 1.25%, and if the CPI is less than 0.25% then rent will remain unchanged for such lease year. </w:t>
      </w:r>
    </w:p>
    <w:p>
      <w:pPr>
        <w:pStyle w:val="TextBody"/>
        <w:bidi w:val="0"/>
        <w:spacing w:lineRule="auto" w:line="276" w:before="160" w:after="283"/>
        <w:ind w:left="0" w:right="0" w:hanging="720"/>
        <w:jc w:val="both"/>
        <w:rPr/>
      </w:pPr>
      <w:r>
        <w:rPr>
          <w:rFonts w:ascii="Times New Roman;serif" w:hAnsi="Times New Roman;serif"/>
          <w:b w:val="false"/>
          <w:color w:val="000000"/>
          <w:sz w:val="13"/>
        </w:rPr>
        <w:t>(4)    </w:t>
      </w:r>
      <w:r>
        <w:rPr>
          <w:rFonts w:ascii="Times New Roman;serif" w:hAnsi="Times New Roman;serif"/>
          <w:b w:val="false"/>
          <w:color w:val="000000"/>
          <w:sz w:val="20"/>
        </w:rPr>
        <w:t xml:space="preserve">Effective July 1, 2025, these properties were transferred to Bally's Master Lease II and the associated annual rental income of $28.9 million was reallocated from the Casino Queen Master Lease to Bally's Master Lease II. The Bally's Master Lease II rent coverage ratio has been restated on a pro forma basis. </w:t>
      </w:r>
    </w:p>
    <w:p>
      <w:pPr>
        <w:pStyle w:val="TextBody"/>
        <w:bidi w:val="0"/>
        <w:spacing w:lineRule="auto" w:line="268" w:before="160" w:after="283"/>
        <w:ind w:left="0" w:right="0" w:hanging="720"/>
        <w:jc w:val="both"/>
        <w:rPr/>
      </w:pPr>
      <w:r>
        <w:rPr>
          <w:rFonts w:ascii="Times New Roman;serif" w:hAnsi="Times New Roman;serif"/>
          <w:b w:val="false"/>
          <w:color w:val="000000"/>
          <w:sz w:val="13"/>
        </w:rPr>
        <w:t>(5)    </w:t>
      </w:r>
      <w:r>
        <w:rPr>
          <w:rFonts w:ascii="Times New Roman;serif" w:hAnsi="Times New Roman;serif"/>
          <w:b w:val="false"/>
          <w:color w:val="000000"/>
          <w:sz w:val="20"/>
        </w:rPr>
        <w:t xml:space="preserve">If a default were to occur under the Casino Queen Master Lease, the Company has the right under the terms of the lease to elect to amend Bally’s Master Lease II and place the assets into it, which carries a corporate guarantee. </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13"/>
        </w:rPr>
        <w:t>(6)    </w:t>
      </w:r>
      <w:r>
        <w:rPr>
          <w:rFonts w:ascii="Times New Roman;serif" w:hAnsi="Times New Roman;serif"/>
          <w:b w:val="false"/>
          <w:color w:val="000000"/>
          <w:sz w:val="20"/>
        </w:rPr>
        <w:t>Coverage ratio above is pro forma for the acquisition of the real estate assets of Bally's Twin River Lincoln Casino Resort which closed on February 11,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7205"/>
                <wp:effectExtent l="0" t="0" r="0" b="0"/>
                <wp:wrapNone/>
                <wp:docPr id="38" name="Frame3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tbl>
      <w:tblPr>
        <w:tblW w:w="9679" w:type="dxa"/>
        <w:jc w:val="left"/>
        <w:tblInd w:w="0" w:type="dxa"/>
        <w:tblLayout w:type="fixed"/>
        <w:tblCellMar>
          <w:top w:w="28" w:type="dxa"/>
          <w:left w:w="28" w:type="dxa"/>
          <w:bottom w:w="28" w:type="dxa"/>
          <w:right w:w="28" w:type="dxa"/>
        </w:tblCellMar>
      </w:tblPr>
      <w:tblGrid>
        <w:gridCol w:w="1148"/>
        <w:gridCol w:w="1004"/>
        <w:gridCol w:w="1027"/>
        <w:gridCol w:w="388"/>
        <w:gridCol w:w="388"/>
        <w:gridCol w:w="859"/>
        <w:gridCol w:w="424"/>
        <w:gridCol w:w="424"/>
        <w:gridCol w:w="427"/>
        <w:gridCol w:w="487"/>
        <w:gridCol w:w="487"/>
        <w:gridCol w:w="1080"/>
        <w:gridCol w:w="450"/>
        <w:gridCol w:w="450"/>
        <w:gridCol w:w="636"/>
      </w:tblGrid>
      <w:tr>
        <w:trPr/>
        <w:tc>
          <w:tcPr>
            <w:tcW w:w="114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9679" w:type="dxa"/>
            <w:gridSpan w:val="15"/>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r>
      <w:tr>
        <w:trPr/>
        <w:tc>
          <w:tcPr>
            <w:tcW w:w="3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Boyd Master Lease</w:t>
            </w:r>
          </w:p>
        </w:tc>
        <w:tc>
          <w:tcPr>
            <w:tcW w:w="3590"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Caesars Amended and Restated Master Lease</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291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Boyd</w:t>
            </w:r>
          </w:p>
        </w:tc>
        <w:tc>
          <w:tcPr>
            <w:tcW w:w="35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Caesars</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Belterra Casino Resort</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Florence, IN</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Tropicana Atlantic City</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Atlantic City, NJ</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Kansas City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City, MO</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Tropicana Laughlin</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Laughlin, NV</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St. Charles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Charles, MO</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Trop Casino Greenville</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Greenville, MS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Isle Casino Hotel Bettendorf</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Bettendorf, IA</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Isle Casino Hotel Waterloo</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Waterloo, IA</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10/15/2018</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10/1/2018</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4/30/2031</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9/30/2038</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October</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years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 2028</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hanging="720"/>
        <w:jc w:val="both"/>
        <w:rPr/>
      </w:pPr>
      <w:r>
        <w:rPr/>
      </w:r>
    </w:p>
    <w:p>
      <w:pPr>
        <w:pStyle w:val="TextBody"/>
        <w:bidi w:val="0"/>
        <w:spacing w:before="160" w:after="283"/>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7205"/>
                <wp:effectExtent l="0" t="0" r="0" b="0"/>
                <wp:wrapNone/>
                <wp:docPr id="39" name="Frame3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tbl>
      <w:tblPr>
        <w:tblW w:w="10205" w:type="dxa"/>
        <w:jc w:val="left"/>
        <w:tblInd w:w="0" w:type="dxa"/>
        <w:tblLayout w:type="fixed"/>
        <w:tblCellMar>
          <w:top w:w="28" w:type="dxa"/>
          <w:left w:w="28" w:type="dxa"/>
          <w:bottom w:w="28" w:type="dxa"/>
          <w:right w:w="28" w:type="dxa"/>
        </w:tblCellMar>
      </w:tblPr>
      <w:tblGrid>
        <w:gridCol w:w="996"/>
        <w:gridCol w:w="871"/>
        <w:gridCol w:w="891"/>
        <w:gridCol w:w="536"/>
        <w:gridCol w:w="525"/>
        <w:gridCol w:w="1096"/>
        <w:gridCol w:w="399"/>
        <w:gridCol w:w="399"/>
        <w:gridCol w:w="406"/>
        <w:gridCol w:w="931"/>
        <w:gridCol w:w="928"/>
        <w:gridCol w:w="888"/>
        <w:gridCol w:w="402"/>
        <w:gridCol w:w="402"/>
        <w:gridCol w:w="535"/>
      </w:tblGrid>
      <w:tr>
        <w:trPr/>
        <w:tc>
          <w:tcPr>
            <w:tcW w:w="9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r>
      <w:tr>
        <w:trPr/>
        <w:tc>
          <w:tcPr>
            <w:tcW w:w="27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Pennsylvania Live! Master Lease</w:t>
            </w:r>
          </w:p>
        </w:tc>
        <w:tc>
          <w:tcPr>
            <w:tcW w:w="4086"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Gaming Leases (1)</w:t>
            </w:r>
          </w:p>
        </w:tc>
      </w:tr>
      <w:tr>
        <w:trPr/>
        <w:tc>
          <w:tcPr>
            <w:tcW w:w="2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33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Cordish</w:t>
            </w:r>
          </w:p>
        </w:tc>
        <w:tc>
          <w:tcPr>
            <w:tcW w:w="40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w:t>
            </w:r>
          </w:p>
        </w:tc>
      </w:tr>
      <w:tr>
        <w:trPr/>
        <w:tc>
          <w:tcPr>
            <w:tcW w:w="2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Live! Casino &amp; Hotel Philadelphia</w:t>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Silverado Franklin Hotel &amp; Gaming Complex</w:t>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Deadwood, SD</w:t>
            </w:r>
          </w:p>
        </w:tc>
      </w:tr>
      <w:tr>
        <w:trPr/>
        <w:tc>
          <w:tcPr>
            <w:tcW w:w="2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Live! Casino Pittsburgh</w:t>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Greensburg, PA</w:t>
            </w:r>
          </w:p>
        </w:tc>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Deadwood Mountain Grand Casino</w:t>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Deadwood, SD</w:t>
            </w:r>
          </w:p>
        </w:tc>
      </w:tr>
      <w:tr>
        <w:trPr/>
        <w:tc>
          <w:tcPr>
            <w:tcW w:w="2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Baldini's Casino</w:t>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Sparks, NV</w:t>
            </w:r>
          </w:p>
        </w:tc>
      </w:tr>
      <w:tr>
        <w:trPr/>
        <w:tc>
          <w:tcPr>
            <w:tcW w:w="2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Sunland Park Race Track &amp; Casino</w:t>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Sunland Park, NM</w:t>
            </w:r>
          </w:p>
        </w:tc>
      </w:tr>
      <w:tr>
        <w:trPr/>
        <w:tc>
          <w:tcPr>
            <w:tcW w:w="2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3/1/2022</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5/16/2024</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2/28/2061</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5/31/2049</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(1x11 years, 1x10 years)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(2x10 years)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(2)</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2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(2)</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(3)</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2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8" w:type="dxa"/>
            <w:gridSpan w:val="3"/>
            <w:tcBorders/>
            <w:vAlign w:val="center"/>
          </w:tcPr>
          <w:p>
            <w:pPr>
              <w:pStyle w:val="TableContents"/>
              <w:bidi w:val="0"/>
              <w:spacing w:before="0" w:after="283"/>
              <w:jc w:val="left"/>
              <w:rPr>
                <w:sz w:val="4"/>
                <w:szCs w:val="4"/>
              </w:rPr>
            </w:pPr>
            <w:r>
              <w:rPr>
                <w:sz w:val="4"/>
                <w:szCs w:val="4"/>
              </w:rPr>
            </w:r>
          </w:p>
        </w:tc>
        <w:tc>
          <w:tcPr>
            <w:tcW w:w="215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274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2758" w:type="dxa"/>
            <w:gridSpan w:val="3"/>
            <w:tcBorders/>
            <w:vAlign w:val="center"/>
          </w:tcPr>
          <w:p>
            <w:pPr>
              <w:pStyle w:val="TableContents"/>
              <w:bidi w:val="0"/>
              <w:spacing w:before="0" w:after="283"/>
              <w:jc w:val="left"/>
              <w:rPr>
                <w:sz w:val="4"/>
                <w:szCs w:val="4"/>
              </w:rPr>
            </w:pPr>
            <w:r>
              <w:rPr>
                <w:sz w:val="4"/>
                <w:szCs w:val="4"/>
              </w:rPr>
            </w:r>
          </w:p>
        </w:tc>
        <w:tc>
          <w:tcPr>
            <w:tcW w:w="215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274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2758" w:type="dxa"/>
            <w:gridSpan w:val="3"/>
            <w:tcBorders/>
            <w:vAlign w:val="center"/>
          </w:tcPr>
          <w:p>
            <w:pPr>
              <w:pStyle w:val="TableContents"/>
              <w:bidi w:val="0"/>
              <w:spacing w:before="0" w:after="283"/>
              <w:jc w:val="left"/>
              <w:rPr>
                <w:sz w:val="4"/>
                <w:szCs w:val="4"/>
              </w:rPr>
            </w:pPr>
            <w:r>
              <w:rPr>
                <w:sz w:val="4"/>
                <w:szCs w:val="4"/>
              </w:rPr>
            </w:r>
          </w:p>
        </w:tc>
        <w:tc>
          <w:tcPr>
            <w:tcW w:w="215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274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2758" w:type="dxa"/>
            <w:gridSpan w:val="3"/>
            <w:tcBorders/>
            <w:vAlign w:val="center"/>
          </w:tcPr>
          <w:p>
            <w:pPr>
              <w:pStyle w:val="TableContents"/>
              <w:bidi w:val="0"/>
              <w:spacing w:before="0" w:after="283"/>
              <w:jc w:val="left"/>
              <w:rPr>
                <w:sz w:val="4"/>
                <w:szCs w:val="4"/>
              </w:rPr>
            </w:pPr>
            <w:r>
              <w:rPr>
                <w:sz w:val="4"/>
                <w:szCs w:val="4"/>
              </w:rPr>
            </w:r>
          </w:p>
        </w:tc>
        <w:tc>
          <w:tcPr>
            <w:tcW w:w="215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274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2758" w:type="dxa"/>
            <w:gridSpan w:val="3"/>
            <w:tcBorders/>
            <w:vAlign w:val="center"/>
          </w:tcPr>
          <w:p>
            <w:pPr>
              <w:pStyle w:val="TableContents"/>
              <w:bidi w:val="0"/>
              <w:spacing w:before="0" w:after="283"/>
              <w:jc w:val="left"/>
              <w:rPr>
                <w:sz w:val="4"/>
                <w:szCs w:val="4"/>
              </w:rPr>
            </w:pPr>
            <w:r>
              <w:rPr>
                <w:sz w:val="4"/>
                <w:szCs w:val="4"/>
              </w:rPr>
            </w:r>
          </w:p>
        </w:tc>
        <w:tc>
          <w:tcPr>
            <w:tcW w:w="215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274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2758" w:type="dxa"/>
            <w:gridSpan w:val="3"/>
            <w:tcBorders/>
            <w:vAlign w:val="center"/>
          </w:tcPr>
          <w:p>
            <w:pPr>
              <w:pStyle w:val="TableContents"/>
              <w:bidi w:val="0"/>
              <w:spacing w:before="0" w:after="283"/>
              <w:jc w:val="left"/>
              <w:rPr>
                <w:sz w:val="4"/>
                <w:szCs w:val="4"/>
              </w:rPr>
            </w:pPr>
            <w:r>
              <w:rPr>
                <w:sz w:val="4"/>
                <w:szCs w:val="4"/>
              </w:rPr>
            </w:r>
          </w:p>
        </w:tc>
        <w:tc>
          <w:tcPr>
            <w:tcW w:w="215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274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2758" w:type="dxa"/>
            <w:gridSpan w:val="3"/>
            <w:tcBorders/>
            <w:vAlign w:val="center"/>
          </w:tcPr>
          <w:p>
            <w:pPr>
              <w:pStyle w:val="TableContents"/>
              <w:bidi w:val="0"/>
              <w:spacing w:before="0" w:after="283"/>
              <w:jc w:val="left"/>
              <w:rPr>
                <w:sz w:val="4"/>
                <w:szCs w:val="4"/>
              </w:rPr>
            </w:pPr>
            <w:r>
              <w:rPr>
                <w:sz w:val="4"/>
                <w:szCs w:val="4"/>
              </w:rPr>
            </w:r>
          </w:p>
        </w:tc>
        <w:tc>
          <w:tcPr>
            <w:tcW w:w="215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274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2758" w:type="dxa"/>
            <w:gridSpan w:val="3"/>
            <w:tcBorders/>
            <w:vAlign w:val="center"/>
          </w:tcPr>
          <w:p>
            <w:pPr>
              <w:pStyle w:val="TableContents"/>
              <w:bidi w:val="0"/>
              <w:spacing w:before="0" w:after="283"/>
              <w:jc w:val="left"/>
              <w:rPr>
                <w:sz w:val="4"/>
                <w:szCs w:val="4"/>
              </w:rPr>
            </w:pPr>
            <w:r>
              <w:rPr>
                <w:sz w:val="4"/>
                <w:szCs w:val="4"/>
              </w:rPr>
            </w:r>
          </w:p>
        </w:tc>
        <w:tc>
          <w:tcPr>
            <w:tcW w:w="215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274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Consists of two leases that are cross collateralized and co-terminus with each other. </w:t>
      </w:r>
    </w:p>
    <w:p>
      <w:pPr>
        <w:pStyle w:val="TextBody"/>
        <w:bidi w:val="0"/>
        <w:spacing w:lineRule="auto" w:line="276" w:before="160" w:after="283"/>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The default adjusted revenue to rent coverage declines to 1.25 if the tenant's adjusted revenues total $75 million or more. Annual rent escalates at 2% beginning in year three of the lease and in year 11 escalates based on the greater of 2% or CPI, capped at 2.5%. </w:t>
      </w:r>
    </w:p>
    <w:p>
      <w:pPr>
        <w:pStyle w:val="TextBody"/>
        <w:bidi w:val="0"/>
        <w:spacing w:lineRule="auto" w:line="276" w:before="160" w:after="283"/>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Coverage ratio above is pro forma for the acquisition of the real estate assets of Sunland Park which closed on October 15, 2025. </w:t>
      </w:r>
    </w:p>
    <w:p>
      <w:pPr>
        <w:pStyle w:val="TextBody"/>
        <w:bidi w:val="0"/>
        <w:spacing w:before="160" w:after="283"/>
        <w:ind w:left="0" w:right="0" w:hanging="720"/>
        <w:jc w:val="both"/>
        <w:rPr/>
      </w:pPr>
      <w:r>
        <w:rPr/>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97205"/>
                <wp:effectExtent l="0" t="0" r="0" b="0"/>
                <wp:wrapNone/>
                <wp:docPr id="40" name="Frame4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1083"/>
        <w:gridCol w:w="946"/>
        <w:gridCol w:w="968"/>
        <w:gridCol w:w="1043"/>
        <w:gridCol w:w="1042"/>
        <w:gridCol w:w="1021"/>
        <w:gridCol w:w="610"/>
        <w:gridCol w:w="610"/>
        <w:gridCol w:w="612"/>
        <w:gridCol w:w="662"/>
        <w:gridCol w:w="662"/>
        <w:gridCol w:w="946"/>
      </w:tblGrid>
      <w:tr>
        <w:trPr/>
        <w:tc>
          <w:tcPr>
            <w:tcW w:w="108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Single Property Leases</w:t>
            </w:r>
          </w:p>
        </w:tc>
      </w:tr>
      <w:tr>
        <w:trPr/>
        <w:tc>
          <w:tcPr>
            <w:tcW w:w="2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Belterra Park Lease</w:t>
            </w:r>
          </w:p>
        </w:tc>
        <w:tc>
          <w:tcPr>
            <w:tcW w:w="1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Horseshoe St Louis Lease</w:t>
            </w:r>
          </w:p>
        </w:tc>
        <w:tc>
          <w:tcPr>
            <w:tcW w:w="2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Morgantown Lease</w:t>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3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Boyd</w:t>
            </w:r>
          </w:p>
        </w:tc>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Caesars</w:t>
            </w:r>
          </w:p>
        </w:tc>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w:t>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Belterra Park Gaming &amp; Entertainment Center</w:t>
            </w:r>
          </w:p>
        </w:tc>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Horseshoe St. Louis</w:t>
            </w:r>
          </w:p>
        </w:tc>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Hollywood Casino Morgantown</w:t>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Cincinnati, OH</w:t>
            </w:r>
          </w:p>
        </w:tc>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 Louis, MO</w:t>
            </w:r>
          </w:p>
        </w:tc>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Morgantown, PA</w:t>
            </w:r>
          </w:p>
        </w:tc>
      </w:tr>
      <w:tr>
        <w:trPr/>
        <w:tc>
          <w:tcPr>
            <w:tcW w:w="2997" w:type="dxa"/>
            <w:gridSpan w:val="3"/>
            <w:tcBorders/>
            <w:vAlign w:val="center"/>
          </w:tcPr>
          <w:p>
            <w:pPr>
              <w:pStyle w:val="TableContents"/>
              <w:bidi w:val="0"/>
              <w:spacing w:before="0" w:after="283"/>
              <w:jc w:val="left"/>
              <w:rPr>
                <w:sz w:val="4"/>
                <w:szCs w:val="4"/>
              </w:rPr>
            </w:pPr>
            <w:r>
              <w:rPr>
                <w:sz w:val="4"/>
                <w:szCs w:val="4"/>
              </w:rPr>
            </w:r>
          </w:p>
        </w:tc>
        <w:tc>
          <w:tcPr>
            <w:tcW w:w="3106"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2270" w:type="dxa"/>
            <w:gridSpan w:val="3"/>
            <w:tcBorders/>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10/15/2018</w:t>
            </w:r>
          </w:p>
        </w:tc>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9/29/2020</w:t>
            </w:r>
          </w:p>
        </w:tc>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10/1/2020</w:t>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3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04/30/2031</w:t>
            </w:r>
          </w:p>
        </w:tc>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10/31/2033</w:t>
            </w:r>
          </w:p>
        </w:tc>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10/31/2040</w:t>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 (6x5 years)</w:t>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3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3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3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1.75% </w:t>
            </w:r>
            <w:r>
              <w:rPr>
                <w:rFonts w:ascii="Times New Roman;serif" w:hAnsi="Times New Roman;serif"/>
                <w:b w:val="false"/>
                <w:color w:val="000000"/>
                <w:sz w:val="10"/>
              </w:rPr>
              <w:t>(1)</w:t>
            </w:r>
            <w:r>
              <w:rPr>
                <w:color w:val="000000"/>
              </w:rPr>
              <w:t xml:space="preserve"> </w:t>
            </w:r>
          </w:p>
        </w:tc>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1.25% </w:t>
            </w:r>
            <w:r>
              <w:rPr>
                <w:rFonts w:ascii="Times New Roman;serif" w:hAnsi="Times New Roman;serif"/>
                <w:b w:val="false"/>
                <w:color w:val="000000"/>
                <w:sz w:val="10"/>
              </w:rPr>
              <w:t>(2)</w:t>
            </w:r>
            <w:r>
              <w:rPr>
                <w:color w:val="000000"/>
              </w:rPr>
              <w:t xml:space="preserve"> </w:t>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3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2.92</w:t>
            </w:r>
          </w:p>
        </w:tc>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w:t>
            </w:r>
          </w:p>
        </w:tc>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3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w:t>
            </w:r>
          </w:p>
        </w:tc>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w:t>
            </w:r>
          </w:p>
        </w:tc>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w:t>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3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3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 years</w:t>
            </w:r>
          </w:p>
        </w:tc>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2028</w:t>
            </w:r>
          </w:p>
        </w:tc>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bl>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For the sixth and seventh lease years, after which time the annual escalation becomes 2% for the remaining term of the lease.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 rent for such lease year shall increase by 1.25% of rent as of the immediately preceding lease year, and if the CPI increase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7205"/>
                <wp:effectExtent l="0" t="0" r="0" b="0"/>
                <wp:wrapNone/>
                <wp:docPr id="41" name="Frame4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963"/>
        <w:gridCol w:w="841"/>
        <w:gridCol w:w="860"/>
        <w:gridCol w:w="673"/>
        <w:gridCol w:w="618"/>
        <w:gridCol w:w="611"/>
        <w:gridCol w:w="625"/>
        <w:gridCol w:w="625"/>
        <w:gridCol w:w="628"/>
        <w:gridCol w:w="1121"/>
        <w:gridCol w:w="1121"/>
        <w:gridCol w:w="1519"/>
      </w:tblGrid>
      <w:tr>
        <w:trPr/>
        <w:tc>
          <w:tcPr>
            <w:tcW w:w="96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Single Property Leases</w:t>
            </w:r>
          </w:p>
        </w:tc>
      </w:tr>
      <w:tr>
        <w:trPr/>
        <w:tc>
          <w:tcPr>
            <w:tcW w:w="2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MD Live! Lease</w:t>
            </w:r>
          </w:p>
        </w:tc>
        <w:tc>
          <w:tcPr>
            <w:tcW w:w="18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Tropicana Lease</w:t>
            </w:r>
          </w:p>
        </w:tc>
        <w:tc>
          <w:tcPr>
            <w:tcW w:w="37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Tioga Downs Lease</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Cordish</w:t>
            </w:r>
          </w:p>
        </w:tc>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American Racing and Entertainment</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Live! Casino &amp; Hotel Maryland</w:t>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Tropicana Las Vegas</w:t>
            </w:r>
          </w:p>
        </w:tc>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Tioga Downs</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Hanover, MD</w:t>
            </w:r>
          </w:p>
        </w:tc>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Las Vegas, NV</w:t>
            </w:r>
          </w:p>
        </w:tc>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Nichols, NY</w:t>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3761" w:type="dxa"/>
            <w:gridSpan w:val="3"/>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12/29/2021</w:t>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9/26/2022</w:t>
            </w:r>
          </w:p>
        </w:tc>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2/6/2024</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12/31/2060</w:t>
            </w:r>
          </w:p>
        </w:tc>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9/25/2072</w:t>
            </w:r>
          </w:p>
        </w:tc>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2/28/2054</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 (1x11 years, 1x10 years)</w:t>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 (1 x 24 years, 1 x 25 years)</w:t>
            </w:r>
          </w:p>
        </w:tc>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 years and 10 months (2x10 years, 1x12 years and 10 months)</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 (1)</w:t>
            </w:r>
          </w:p>
        </w:tc>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1.75%</w:t>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1.75% </w:t>
            </w:r>
            <w:r>
              <w:rPr>
                <w:rFonts w:ascii="Times New Roman;serif" w:hAnsi="Times New Roman;serif"/>
                <w:b w:val="false"/>
                <w:color w:val="000000"/>
                <w:sz w:val="10"/>
              </w:rPr>
              <w:t>(3)</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w:t>
            </w:r>
          </w:p>
        </w:tc>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w:t>
            </w:r>
          </w:p>
        </w:tc>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w:t>
            </w:r>
          </w:p>
        </w:tc>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664"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37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76" w:before="160" w:after="283"/>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If the tenant's parent's net leverage is greater than 5.5 to 1, then the adjusted revenue to rent coverage for the last two consecutive test periods must be at least 1.35. If the tenant's parent's net leverage is equal to or less than 5.5 to 1, then the ratio shall be reduced to 1.2.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2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Increases by 1.75% beginning with the first anniversary and increases to 2% beginning in year fifteen of the lease through the remainder of the initial lease term.</w:t>
      </w:r>
    </w:p>
    <w:p>
      <w:pPr>
        <w:pStyle w:val="TextBody"/>
        <w:bidi w:val="0"/>
        <w:spacing w:before="0" w:after="0"/>
        <w:ind w:left="0" w:right="0" w:hanging="720"/>
        <w:jc w:val="both"/>
        <w:rPr/>
      </w:pPr>
      <w:r>
        <w:rPr/>
      </w:r>
    </w:p>
    <w:p>
      <w:pPr>
        <w:pStyle w:val="TextBody"/>
        <w:bidi w:val="0"/>
        <w:spacing w:before="0" w:after="0"/>
        <w:ind w:left="0" w:right="0" w:hanging="36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7205"/>
                <wp:effectExtent l="0" t="0" r="0" b="0"/>
                <wp:wrapNone/>
                <wp:docPr id="42" name="Frame4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tbl>
      <w:tblPr>
        <w:tblW w:w="10203" w:type="dxa"/>
        <w:jc w:val="left"/>
        <w:tblInd w:w="0" w:type="dxa"/>
        <w:tblLayout w:type="fixed"/>
        <w:tblCellMar>
          <w:top w:w="28" w:type="dxa"/>
          <w:left w:w="28" w:type="dxa"/>
          <w:bottom w:w="28" w:type="dxa"/>
          <w:right w:w="28" w:type="dxa"/>
        </w:tblCellMar>
      </w:tblPr>
      <w:tblGrid>
        <w:gridCol w:w="1149"/>
        <w:gridCol w:w="1004"/>
        <w:gridCol w:w="1027"/>
        <w:gridCol w:w="689"/>
        <w:gridCol w:w="689"/>
        <w:gridCol w:w="692"/>
        <w:gridCol w:w="714"/>
        <w:gridCol w:w="714"/>
        <w:gridCol w:w="717"/>
        <w:gridCol w:w="883"/>
        <w:gridCol w:w="883"/>
        <w:gridCol w:w="888"/>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9" w:type="dxa"/>
            <w:gridSpan w:val="12"/>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Single Property Leases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Rockford Lease</w:t>
            </w:r>
          </w:p>
        </w:tc>
        <w:tc>
          <w:tcPr>
            <w:tcW w:w="21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 Chicago Lease</w:t>
            </w:r>
          </w:p>
        </w:tc>
        <w:tc>
          <w:tcPr>
            <w:tcW w:w="26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Virginia Live!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(managed by Hard Rock)</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Cordish</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Hard Rock Casino Rockford</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 Chicago Development</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Cordish Virginia Live! Development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Rockford, IL</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Chicago, IL</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Petersburg, Virginia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8/29/2023</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7/18/2025</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8/31/2122</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7/31/2040</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None</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(4 x 5 years)</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 (1x11 years, 1x10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 (1)</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If the tenant's parent's net leverage is greater than 5.5 to 1, then the adjusted revenue to rent coverage for the last two consecutive test periods must be at least 1.35. If the tenant's parent's net leverage is equal to or less than 5.5 to 1, then the ratio shall be reduced to 1.2.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During the construction period, amounts funded for the Virginia Live! development are accounted for as real estate loans because the lessee controls the underlying asset under construction. Upon completion of construction and when the facility is ready for its intended use, the Company will apply the sale and leaseback guidance to determine the appropriate lease classification. Pursuant to the lease agreement, the initial lease term expires on the last day of the calendar month in which the 39th anniversary of the facility's opening occurs, and annual rent escalations commence on the first anniversary of the facility's opening date. Accordingly, the lease expiration date and rent escalation anniversary date will be determined upon the facility's opening date.</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97205"/>
                <wp:effectExtent l="0" t="0" r="0" b="0"/>
                <wp:wrapNone/>
                <wp:docPr id="43" name="Frame4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Funding commitments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have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Condensed Consolidated Financial Statements for further details.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53"/>
        <w:gridCol w:w="1772"/>
        <w:gridCol w:w="1782"/>
        <w:gridCol w:w="109"/>
        <w:gridCol w:w="753"/>
        <w:gridCol w:w="753"/>
        <w:gridCol w:w="755"/>
        <w:gridCol w:w="652"/>
        <w:gridCol w:w="652"/>
        <w:gridCol w:w="924"/>
      </w:tblGrid>
      <w:tr>
        <w:trPr/>
        <w:tc>
          <w:tcPr>
            <w:tcW w:w="205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Commitment amount</w:t>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Amount funded at June 30, 2026</w:t>
            </w:r>
          </w:p>
        </w:tc>
      </w:tr>
      <w:tr>
        <w:trPr/>
        <w:tc>
          <w:tcPr>
            <w:tcW w:w="56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Relocation of Hollywood Casino Aurora</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 million</w:t>
            </w:r>
          </w:p>
        </w:tc>
        <w:tc>
          <w:tcPr>
            <w:tcW w:w="22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$225.0 million</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Funding associated with a landside move at Ameristar Casino Council Bluffs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million</w:t>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transaction at the former Tropicana Las Vegas site with Bally's</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million</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 million</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construction costs for Bally's Chicago</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$940 million</w:t>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$475.7 million</w:t>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 to fund a new casino development near Sacramento, California</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 million</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$98.9 million</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associated with the future site and construction for Live! Virginia Casino &amp; Hotel</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$467 million</w:t>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 million</w:t>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 for Dry Creek Rancheria Resort development</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 million</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(1) The Company has agreed to fund, if requested by PENN at their sole discretion, on or before March 31, 2029, construction improvements in an amount not to exceed the greater of (i) the hard costs associated with the project and (ii) $150.0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and real estate investments as critical accounting estimates, as they are the most important to our financial statement presentation and require difficult, subjective and complex judgments.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and six months ended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Financial Highlights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reported total revenues and income from operations of $430.5 million and $332.4 million, respectively, for the three months ended June 30, 2026, compared to $394.9 million and $242.1 million, respectively, for the corresponding period in the prior year. The Company reported total revenues and income from operations of $850.5 million and $665.7 million, respectively for the six months ended June 30, 2026 compared to $790.1 million and $500.9 million for the corresponding period in the prior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major factors affecting our results for the three and six months ended June 30, 2026, as compared to the three and six months ended June 30, 2025, were as follows: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Total income from real estate increased by $35.6 million to $430.5 million for the three months ended June 30, 2026 compared to $394.9 million for the corresponding period in the prior year. The reason for the increase was primarily due to our recent acquisitions which in the aggregate increased cash rental income by $38.7 million for the three months ended June 30, 2026. Additionally, the three months ended June 30, 2026 benefited by $4.5 million compared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97205"/>
                <wp:effectExtent l="0" t="0" r="0" b="0"/>
                <wp:wrapNone/>
                <wp:docPr id="44" name="Frame4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corresponding period in the prior year from escalations on our leases, higher ground rent revenue of $0.2 million and higher accretion of $0.5 million on our investment in leases partially offset by unfavorable straight-line rent adjustments of $7.9 million and lower percentage rents of $0.4 million compared to the corresponding period in the prior year.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Total income from real estate increased by $60.4 million to $850.5 million for the six months ended June 30, 2026 compared to $790.1 million for the corresponding period in the prior year. The reason for the increase was primarily due to our recent acquisitions which in the aggregate increased cash rental income by $67.0 million for the six months ended June 30, 2026. Additionally, the six months ended June 30, 2026 benefited by $8.9 million compared to the corresponding period in the prior year from escalations on our leases, higher ground rent revenue of $0.5 million and higher accretion of $1.0 million on our investment in leases. These items were partially offset by unfavorable straight-line rent adjustments of $16.8 million and lower percentage rents of $0.2 million compared to the corresponding period in the prior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Total operating expenses decreased by $54.7 million for the three months ended June 30, 2026 as compared to the corresponding period in the prior year. The primary reason for the decrease was due to a decrease in the provision for credit losses of $50.7 million during the three months ended June 30, 2026 compared to the corresponding period in the prior year. The provision decrease was due to the significant provision recorded in the prior year. This was due to a more pessimistic forward-looking economic forecast utilized at June 30, 2025 compared to March 31, 2025. Additionally, general and administrative expenses decreased by $2.7 million due primarily from lower stock-based compensation costs and deal costs. The Company also incurred lower depreciation expense of $2.7 million due to accelerated depreciation in the corresponding period in the prior year related to the historical Hollywood Casino Joliet and Hollywood Casino Aurora properties being redeveloped by PENN, partially offset by depreciation on recently acquired and developed assets. Partially offsetting these decreases was a $1.2 million writedown on land associated with the former Hollywood Casino Aurora property during the three months ended June 30, 2026.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Total operating expenses decreased by $104.5 million for the six months ended June 30, 2026 as compared to the corresponding period in the prior year. The primary reason for the decrease was due to a decrease in the provision for credit losses of $100.1 million during the six months ended June 30, 2026. The provision decrease was due to the significant provision recorded in the prior year. This was due to a more pessimistic forward-looking economic forecast at June 30, 2025 compared to what was utilized at December 31, 2024. Additionally, general and administrative expenses decreased by $3.4 million due primarily from lower stock-based compensation costs and deal costs. The Company also incurred lower depreciation expense of $2.6 million due to accelerated depreciation in the prior year related to the historical Hollywood Casino Joliet and Hollywood Casino Aurora properties being redeveloped by PENN, partially offset by depreciation on recently acquired and developed assets. Partially offsetting these decreases was the aforementioned $1.2 million land writedown associated with the former Hollywood Casino Aurora property and higher land rights and ground lease expense of $0.5 million due to the acquisition of the assets in Bally's Master Lease II.</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Other expenses increased by $11.5 million and $17.0 million for the three and six months ended June 30, 2026, primarily due to higher interest expense of $10.8 million and $9.4 million associated with the Company's increased borrowings to fund our recent acquisitions and lower interest income of $0.7 million and $7.3 million, respectively from lower cash on hand and investments.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Net income increased by $78.8 million and $147.8 million for the three and six months ended June 30, 2026, as compared to the corresponding periods in the prior year, primarily due to the variances explained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97205"/>
                <wp:effectExtent l="0" t="0" r="0" b="0"/>
                <wp:wrapNone/>
                <wp:docPr id="45" name="Frame4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are the most important factors and trends that contribute or may contribute to our operating performance:</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have announced or closed numerous transactions in recent years and expect to continue to grow our portfolio by pursuing opportunities to acquire additional gaming facilities (either existing facilities or new development facilities) to lease to gaming operators under prudent terms.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Several wholly-owned subsidiaries of PENN lease a substantial number of our properties and account for a significant portion of our revenue.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related to economic conditions, including volatility in the financial markets, high inflation levels and the effect of such conditions on consumer spending for leisure and gaming activities, which may negatively impact our gaming tenants and operators and the variable rent and certain annual rent escalators we receive from our tenants.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ability to refinance our significant levels of debt at attractive terms and obtain favorable funding in connection with future business opportunities.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fact that the rules and regulations of U.S. federal income taxation are constantly under review by legislators, the Internal Revenue Service and the U.S. Department of the Treasury. Changes to the tax laws or interpretations thereof, with or without retroactive application, could materially and adversely affect GLPI's investors or GLPI.</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results of operations for the three and six months ended June 30, 2026 and 2025 are summarized below:</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81"/>
        <w:gridCol w:w="1403"/>
        <w:gridCol w:w="141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81"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500,898 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327,628 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326,519 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the Operating Partnership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316,623 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FFO, AFFO and Adjusted EBITDA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and real estate depreciation. We define AFFO as FFO excluding, as applicable to the particular period, stock-based compensation expense; the amortization of debt issuance costs, bond premiums and original issuance discounts; other depreciation; amortization of land rights; accretion on investment in leases; non-cash adjustments to financing lease liabilities; straight-line rent and deferred rent adjustments; losses on debt extinguishment and other financing costs; severance charges; capitalized interest; and provision (benefit) for credit losses, net, reduced by capital maintenance expenditures. Finally, we define Adjusted EBITDA as net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97205"/>
                <wp:effectExtent l="0" t="0" r="0" b="0"/>
                <wp:wrapNone/>
                <wp:docPr id="46" name="Frame4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excluding, as applicable to the particular period, interest, net; income tax expense; real estate depreciation; other depreciation; (gains) or losses from dispositions of property; stock-based compensation expense; straight-line rent and deferred rent adjustments; amortization of land rights; accretion on investment in leases; non-cash adjustments to financing lease liabilities; losses on debt extinguishment and other financing costs; severance charges; and provision (benefit) for credit losses,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97205"/>
                <wp:effectExtent l="0" t="0" r="0" b="0"/>
                <wp:wrapNone/>
                <wp:docPr id="47" name="Frame4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The reconciliation of the Company’s net income per GAAP to FFO, AFFO, and Adjusted EBITDA for the three and six months ended June 30, 2026 and 2025 is as follows:                                                                                                                                </w:t>
      </w:r>
    </w:p>
    <w:tbl>
      <w:tblPr>
        <w:tblW w:w="10205" w:type="dxa"/>
        <w:jc w:val="left"/>
        <w:tblInd w:w="0" w:type="dxa"/>
        <w:tblLayout w:type="fixed"/>
        <w:tblCellMar>
          <w:top w:w="28" w:type="dxa"/>
          <w:left w:w="28" w:type="dxa"/>
          <w:bottom w:w="28" w:type="dxa"/>
          <w:right w:w="28" w:type="dxa"/>
        </w:tblCellMar>
      </w:tblPr>
      <w:tblGrid>
        <w:gridCol w:w="1608"/>
        <w:gridCol w:w="1292"/>
        <w:gridCol w:w="1306"/>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6"/>
      </w:tblGrid>
      <w:tr>
        <w:trPr/>
        <w:tc>
          <w:tcPr>
            <w:tcW w:w="160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w:t>
              <w:br/>
              <w:t> </w:t>
              <w:br/>
              <w:t>June 30,</w:t>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234,944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156,165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474,346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326,519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from dispositions of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Funds from operations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302,300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224,914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606,254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459,672</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Straight-line rent and deferred rent adjustments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credit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land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bond premiums and original issuance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debt extinguishment and other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investment in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 to financing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maintenance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funds from operations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303,976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276,057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601,115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548,053</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maintenance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bond premiums and original issuance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interest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405,491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361,483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798,498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721,601</w:t>
            </w:r>
            <w:r>
              <w:rPr>
                <w:color w:val="000000"/>
              </w:rPr>
              <w:t>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FFO, AFFO and Adjusted EBITDA were $234.9 million, $302.3 million, $304.0 million, and $405.5 million for the three months ended June 30, 2026, respectively. This compares to net income, FFO, AFFO and Adjusted EBITDA of $156.2 million, $224.9 million, $276.1 million and $361.5 million for the corresponding period in the prior year. The increase in net income of $78.8 million was primarily attributable to lower operating expenses of $54.7 million (which was driven by the decrease in provision for credit losses of $50.7 million) and an increase in total revenues of $35.6 million. This was partially offset by higher other expenses of $11.5 million driven by higher interest expense to partially finance our acquisitions.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FFO, AFFO and Adjusted EBITDA were $474.3 million, $606.3 million, $601.1 million, and $798.5 million for the six months ended June 30, 2026, respectively. This compares to net income, FFO, AFFO and Adjusted EBITDA of $326.5 million, $459.7 million, $548.1 million and $721.6 million for the corresponding period in the prior year. The increase in net income of $147.8 million was primarily attributable to lower operating expenses of $104.5 million (which was driven by a decline in the provision for credit losses of $100.1 million) and an increase in total revenues of $60.4 million. This was partially offset by higher other expenses of $17.0 million (driven by higher interest expense to partially finance our acquisitions and lower interest income earned on cash and investments)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increases in FFO for the three and six months ended June 30, 2026 were due to the items described above, excluding gains from dispositions of property and real estate depreciation. The increases in AFFO and Adjusted EBITDA were due to the items described above, as well as the adjustments mentioned in the tables above.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97205"/>
                <wp:effectExtent l="0" t="0" r="0" b="0"/>
                <wp:wrapNone/>
                <wp:docPr id="48" name="Frame4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the three and six months ended June 30, 2026 and 2025 were as follows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592"/>
        <w:gridCol w:w="1390"/>
        <w:gridCol w:w="1395"/>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7"/>
        <w:gridCol w:w="309"/>
        <w:gridCol w:w="571"/>
      </w:tblGrid>
      <w:tr>
        <w:trPr/>
        <w:tc>
          <w:tcPr>
            <w:tcW w:w="159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 in leases,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real estate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income from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148" w:type="dxa"/>
        <w:jc w:val="left"/>
        <w:tblInd w:w="0" w:type="dxa"/>
        <w:tblLayout w:type="fixed"/>
        <w:tblCellMar>
          <w:top w:w="28" w:type="dxa"/>
          <w:left w:w="28" w:type="dxa"/>
          <w:bottom w:w="28" w:type="dxa"/>
          <w:right w:w="28" w:type="dxa"/>
        </w:tblCellMar>
      </w:tblPr>
      <w:tblGrid>
        <w:gridCol w:w="1683"/>
        <w:gridCol w:w="1476"/>
        <w:gridCol w:w="149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7"/>
        <w:gridCol w:w="309"/>
        <w:gridCol w:w="569"/>
      </w:tblGrid>
      <w:tr>
        <w:trPr/>
        <w:tc>
          <w:tcPr>
            <w:tcW w:w="168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 in leases, financing receivables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real estate loans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from real estate</w:t>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Total income from real estate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 xml:space="preserve">Total income from real estate increased by $35.6 million to $430.5 million for the three months ended June 30, 2026 compared to $394.9 million for the corresponding period in the prior year. The reason for the increase was primarily due to our recent acquisitions which in the aggregate increased cash rental income by $38.7 million for the three months ended June 30, 2026. Additionally, the three months ended June 30, 2026 benefited by $4.5 million compared to the corresponding period in the prior year from escalations on our leases, higher ground rent revenue of $0.2 million and higher accretion of $0.5 million on its Investment in leases partially offset by unfavorable straight-line rent adjustments of $7.9 million and lower percentage rents of $0.4 million compared to the corresponding period in the prior year.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Total income from real estate increased by $60.4 million to $850.5 million for the six months ended June 30, 2026 compared to $790.1 million for the corresponding period in the prior year. The reason for the increase was primarily due to our recent acquisitions which in the aggregate increased cash rental income by $67.0 million for the six months ended June 30, 2026. Additionally, the six months ended June 30, 2026 benefited by $8.9 million compared to the corresponding period in the prior year from escalations on our leases, higher ground rent revenue of $0.5 million and higher accretion of $1.0 million on its Investment in leases. These items were partially offset by unfavorable straight-line rent adjustments of $16.8 million and lower percentage rents of $0.2 million compared to the corresponding period in the prior year.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97205"/>
                <wp:effectExtent l="0" t="0" r="0" b="0"/>
                <wp:wrapNone/>
                <wp:docPr id="49" name="Frame4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Details of the Company's income from real estate for the three and six months ended June 30, 2026 was as follows (in thousands)</w:t>
      </w:r>
    </w:p>
    <w:p>
      <w:pPr>
        <w:pStyle w:val="TextBody"/>
        <w:bidi w:val="0"/>
        <w:spacing w:before="0" w:after="0"/>
        <w:ind w:left="0" w:right="0" w:firstLine="720"/>
        <w:jc w:val="left"/>
        <w:rPr/>
      </w:pPr>
      <w:r>
        <w:rPr/>
      </w:r>
    </w:p>
    <w:tbl>
      <w:tblPr>
        <w:tblW w:w="10610" w:type="dxa"/>
        <w:jc w:val="left"/>
        <w:tblInd w:w="0" w:type="dxa"/>
        <w:tblLayout w:type="fixed"/>
        <w:tblCellMar>
          <w:top w:w="28" w:type="dxa"/>
          <w:left w:w="28" w:type="dxa"/>
          <w:bottom w:w="28" w:type="dxa"/>
          <w:right w:w="28" w:type="dxa"/>
        </w:tblCellMar>
      </w:tblPr>
      <w:tblGrid>
        <w:gridCol w:w="794"/>
        <w:gridCol w:w="210"/>
        <w:gridCol w:w="212"/>
        <w:gridCol w:w="211"/>
        <w:gridCol w:w="826"/>
        <w:gridCol w:w="109"/>
        <w:gridCol w:w="211"/>
        <w:gridCol w:w="721"/>
        <w:gridCol w:w="109"/>
        <w:gridCol w:w="211"/>
        <w:gridCol w:w="721"/>
        <w:gridCol w:w="109"/>
        <w:gridCol w:w="211"/>
        <w:gridCol w:w="616"/>
        <w:gridCol w:w="109"/>
        <w:gridCol w:w="211"/>
        <w:gridCol w:w="826"/>
        <w:gridCol w:w="109"/>
        <w:gridCol w:w="226"/>
        <w:gridCol w:w="677"/>
        <w:gridCol w:w="118"/>
        <w:gridCol w:w="211"/>
        <w:gridCol w:w="616"/>
        <w:gridCol w:w="109"/>
        <w:gridCol w:w="211"/>
        <w:gridCol w:w="616"/>
        <w:gridCol w:w="109"/>
        <w:gridCol w:w="211"/>
        <w:gridCol w:w="82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Three Months Ended June 30, 2026</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Building base rent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base rent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rent and other rental revenue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on real estate loans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income</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Straight-line rent and deferred rent adjustments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Ground rent in revenue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Accretion on leases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income from real estate</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PENN Master Lease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2023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Pinnacle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Morgantown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Horseshoe St. Louis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Boyd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Boyd Belterra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Master Lease II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 Live!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 Live!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Queen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Tropicana Las Vegas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Tioga Downs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Gaming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Chicago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Dry Creek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 Live!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430,519 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97205"/>
                <wp:effectExtent l="0" t="0" r="0" b="0"/>
                <wp:wrapNone/>
                <wp:docPr id="50" name="Frame5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tbl>
      <w:tblPr>
        <w:tblW w:w="10925" w:type="dxa"/>
        <w:jc w:val="left"/>
        <w:tblInd w:w="0" w:type="dxa"/>
        <w:tblLayout w:type="fixed"/>
        <w:tblCellMar>
          <w:top w:w="28" w:type="dxa"/>
          <w:left w:w="28" w:type="dxa"/>
          <w:bottom w:w="28" w:type="dxa"/>
          <w:right w:w="28" w:type="dxa"/>
        </w:tblCellMar>
      </w:tblPr>
      <w:tblGrid>
        <w:gridCol w:w="794"/>
        <w:gridCol w:w="210"/>
        <w:gridCol w:w="212"/>
        <w:gridCol w:w="211"/>
        <w:gridCol w:w="826"/>
        <w:gridCol w:w="109"/>
        <w:gridCol w:w="211"/>
        <w:gridCol w:w="721"/>
        <w:gridCol w:w="109"/>
        <w:gridCol w:w="211"/>
        <w:gridCol w:w="721"/>
        <w:gridCol w:w="109"/>
        <w:gridCol w:w="211"/>
        <w:gridCol w:w="721"/>
        <w:gridCol w:w="109"/>
        <w:gridCol w:w="211"/>
        <w:gridCol w:w="826"/>
        <w:gridCol w:w="109"/>
        <w:gridCol w:w="226"/>
        <w:gridCol w:w="677"/>
        <w:gridCol w:w="118"/>
        <w:gridCol w:w="211"/>
        <w:gridCol w:w="721"/>
        <w:gridCol w:w="109"/>
        <w:gridCol w:w="211"/>
        <w:gridCol w:w="721"/>
        <w:gridCol w:w="109"/>
        <w:gridCol w:w="211"/>
        <w:gridCol w:w="82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Six Months Ended June 30, 2026</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Building base rent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base rent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rent and other rental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on real estate loans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income</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Straight-line rent and deferred rent 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Ground rent in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Accretion on financing leases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income from real estate</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PENN Master Lease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2023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Pinnacle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Morgantown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Horseshoe St. Louis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Boyd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Boyd Belterra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Master Lease II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 Live!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 Live!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Queen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Tropicana Las Vegas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Tioga Downs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Gaming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Chicago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Dry Creek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 Live!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earnings on Investment in leases, financing receivables and Investment in leases, sales-type based on the effective yield method using the discount rate implicit in the leases. The amounts in the table above labeled accretion on leases represent earnings recognized in excess of cash received during the period.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97205"/>
                <wp:effectExtent l="0" t="0" r="0" b="0"/>
                <wp:wrapNone/>
                <wp:docPr id="51" name="Frame5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expenses for the three and six months ended June 30, 2026 and 2025 were as follows (in thousands):</w:t>
      </w:r>
    </w:p>
    <w:p>
      <w:pPr>
        <w:pStyle w:val="TextBody"/>
        <w:bidi w:val="0"/>
        <w:spacing w:before="0" w:after="0"/>
        <w:ind w:left="0" w:right="0" w:firstLine="720"/>
        <w:jc w:val="left"/>
        <w:rPr/>
      </w:pPr>
      <w:r>
        <w:rPr/>
      </w:r>
    </w:p>
    <w:tbl>
      <w:tblPr>
        <w:tblW w:w="8712" w:type="dxa"/>
        <w:jc w:val="left"/>
        <w:tblInd w:w="0" w:type="dxa"/>
        <w:tblLayout w:type="fixed"/>
        <w:tblCellMar>
          <w:top w:w="28" w:type="dxa"/>
          <w:left w:w="28" w:type="dxa"/>
          <w:bottom w:w="28" w:type="dxa"/>
          <w:right w:w="28" w:type="dxa"/>
        </w:tblCellMar>
      </w:tblPr>
      <w:tblGrid>
        <w:gridCol w:w="1152"/>
        <w:gridCol w:w="1010"/>
        <w:gridCol w:w="1018"/>
        <w:gridCol w:w="211"/>
        <w:gridCol w:w="721"/>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508"/>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and ground lease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from dispositions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201" w:type="dxa"/>
        <w:jc w:val="left"/>
        <w:tblInd w:w="0" w:type="dxa"/>
        <w:tblLayout w:type="fixed"/>
        <w:tblCellMar>
          <w:top w:w="28" w:type="dxa"/>
          <w:left w:w="28" w:type="dxa"/>
          <w:bottom w:w="28" w:type="dxa"/>
          <w:right w:w="28" w:type="dxa"/>
        </w:tblCellMar>
      </w:tblPr>
      <w:tblGrid>
        <w:gridCol w:w="1152"/>
        <w:gridCol w:w="1010"/>
        <w:gridCol w:w="1018"/>
        <w:gridCol w:w="531"/>
        <w:gridCol w:w="295"/>
        <w:gridCol w:w="230"/>
        <w:gridCol w:w="230"/>
        <w:gridCol w:w="230"/>
        <w:gridCol w:w="230"/>
        <w:gridCol w:w="531"/>
        <w:gridCol w:w="295"/>
        <w:gridCol w:w="230"/>
        <w:gridCol w:w="109"/>
        <w:gridCol w:w="109"/>
        <w:gridCol w:w="109"/>
        <w:gridCol w:w="448"/>
        <w:gridCol w:w="452"/>
        <w:gridCol w:w="256"/>
        <w:gridCol w:w="109"/>
        <w:gridCol w:w="109"/>
        <w:gridCol w:w="109"/>
        <w:gridCol w:w="418"/>
        <w:gridCol w:w="422"/>
        <w:gridCol w:w="569"/>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and ground lease expense</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27,947 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from dispositions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184,763 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289,213 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(104,450)</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Land rights and ground lease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Land rights and ground lease expense includes the amortization of land rights and rent expense related to the Company's long-term ground leases. Land rights and ground lease expense increased by $0.2 million and $0.5 million for the three and six months ended June 30, 2026, as compared to the corresponding period in the prior year due to the acquisition of the real estate assets in Bally's Master Lease II.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 and Administrative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items such as compensation costs (including stock-based compensation), professional services and costs associated with development activities. General and administrative expenses decreased by $2.7 million and $3.4 million for the three and six months ended June 30, 2026 as compared to the corresponding period in the prior year. This was due to lower stock-based compensation costs, deal and acquisition costs.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Losses (gains) from dispositions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three months and six months ended June 30, 2026 included a write-off of $1.2 million related to the land for the former Hollywood Casino Aurora property.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Depreciation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decreased by $2.7 million and $2.6 million for the three and six months ended June 30, 2026 as compared to the corresponding period in the prior year due to accelerated depreciation in the prior year related to the former Hollywood Casino Joliet and Hollywood Casino Aurora properties being redeveloped by PENN, partially offset by depreciation on recently acquired and developed assets. </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Provision for credit losses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a provision for credit losses of $3.0 million and a benefit of $7.2 million for the three and six months ended June 30, 2026 compared to a provision of $53.7 million and $93.0 million for the corresponding periods in the prior year. As described in Note 3, the Company follows ASC 326 “Credit Losses”, which requires that the Company measure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7205"/>
                <wp:effectExtent l="0" t="0" r="0" b="0"/>
                <wp:wrapNone/>
                <wp:docPr id="52" name="Frame5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record current expected credit losses, the scope of which includes our Investments in leases, financing receivables, net as well as the Company's real estate loans and loan commitments.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benefit recorded during the six months ended June 30, 2026 resulted primarily from an improvement in the estimated real estate values that will comprise the Company's real estate portfolio for the Virginia Live! development project partially offset by an increase in reserves associated with the Rockford Loan following the extension of its maturity date to December 31, 2029. The provisions during the three and six months ended June 30, 2025 were primarily driven by a sequential deterioration in the third-party forward-looking economic outlook used in the Company's CECL reserve calculations. The macroeconomic forecast as of March 31, 2025, was more pessimistic than the forecast used as of December 31, 2024, resulting in a provision during the three months ended March 31, 2025. The outlook further deteriorated as of June 30, 2025, leading to an additional provision during the three months ended June 30, 2025. Future changes in economic projections, probability factors, changes in the estimated value of our real estate property and earnings assumptions at the underlying facilities may result in non-cash provisions or recoveries in future periods that could materially impact our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income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(expenses) for the three and six months ended June 30, 2026 and 2025 were as follows (in thousands):</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7714" w:type="dxa"/>
        <w:jc w:val="left"/>
        <w:tblInd w:w="0" w:type="dxa"/>
        <w:tblLayout w:type="fixed"/>
        <w:tblCellMar>
          <w:top w:w="28" w:type="dxa"/>
          <w:left w:w="28" w:type="dxa"/>
          <w:bottom w:w="28" w:type="dxa"/>
          <w:right w:w="28" w:type="dxa"/>
        </w:tblCellMar>
      </w:tblPr>
      <w:tblGrid>
        <w:gridCol w:w="652"/>
        <w:gridCol w:w="571"/>
        <w:gridCol w:w="576"/>
        <w:gridCol w:w="109"/>
        <w:gridCol w:w="109"/>
        <w:gridCol w:w="109"/>
        <w:gridCol w:w="211"/>
        <w:gridCol w:w="901"/>
        <w:gridCol w:w="109"/>
        <w:gridCol w:w="109"/>
        <w:gridCol w:w="109"/>
        <w:gridCol w:w="109"/>
        <w:gridCol w:w="211"/>
        <w:gridCol w:w="796"/>
        <w:gridCol w:w="109"/>
        <w:gridCol w:w="109"/>
        <w:gridCol w:w="109"/>
        <w:gridCol w:w="109"/>
        <w:gridCol w:w="211"/>
        <w:gridCol w:w="796"/>
        <w:gridCol w:w="109"/>
        <w:gridCol w:w="109"/>
        <w:gridCol w:w="109"/>
        <w:gridCol w:w="109"/>
        <w:gridCol w:w="291"/>
        <w:gridCol w:w="294"/>
        <w:gridCol w:w="569"/>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26"/>
        <w:gridCol w:w="1337"/>
        <w:gridCol w:w="1346"/>
        <w:gridCol w:w="109"/>
        <w:gridCol w:w="109"/>
        <w:gridCol w:w="109"/>
        <w:gridCol w:w="211"/>
        <w:gridCol w:w="894"/>
        <w:gridCol w:w="109"/>
        <w:gridCol w:w="109"/>
        <w:gridCol w:w="109"/>
        <w:gridCol w:w="109"/>
        <w:gridCol w:w="211"/>
        <w:gridCol w:w="894"/>
        <w:gridCol w:w="109"/>
        <w:gridCol w:w="109"/>
        <w:gridCol w:w="109"/>
        <w:gridCol w:w="109"/>
        <w:gridCol w:w="211"/>
        <w:gridCol w:w="789"/>
        <w:gridCol w:w="109"/>
        <w:gridCol w:w="109"/>
        <w:gridCol w:w="109"/>
        <w:gridCol w:w="109"/>
        <w:gridCol w:w="289"/>
        <w:gridCol w:w="289"/>
        <w:gridCol w:w="573"/>
      </w:tblGrid>
      <w:tr>
        <w:trPr/>
        <w:tc>
          <w:tcPr>
            <w:tcW w:w="152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 and other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(190,234)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(173,270)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by $10.8 million and $9.4 million for the three and six months ended June 30, 2026, as compared to the corresponding period in the prior year. The increase was due to increased borrowings that partially funded our recent acquisitions.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 in the Operating Partnership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partial consideration for certain real estate acquisitions, the Company's operating partnership has issued OP Units.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net income or loss is allocated to noncontrolling interests based on the respective economic interests in the Operating Partnership associated with such noncontrolling interests and is removed from consolidated income or loss on the Condensed Consolidated Statements of Income in order to derive net income or loss attributable to common stockholders. The noncontrolling ownership percentage is calculated by dividing the economically participating LTIP Units and OP Units by the total economically participating units and shares outstanding.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97205"/>
                <wp:effectExtent l="0" t="0" r="0" b="0"/>
                <wp:wrapNone/>
                <wp:docPr id="53" name="Frame5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and capital resources are cash flow from operations, borrowings from banks, and proceeds from the issuance of debt and equity securities.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$619.8 million and $545.9 million during the six months ended June 30, 2026 and 2025, respectively. The increase in net cash provided by operating activities of $74.0 million for the six months ended June 30, 2026, as compared to the corresponding period in the prior year, was primarily comprised of an increase in cash receipts from customers of $75.6 million along with decreases in cash paid for operating expenses of $5.2 million and cash paid for interest of $13.9 million. This was offset by increases in cash paid for employees and cash paid for taxes of $2.2 million and $0.1 million, respectively, and a decrease in interest income of $18.3 million. The increase in cash receipts collected from our customers for the six months ended June 30, 2026, as compared to the corresponding period in the prior year, was due to the Company's recent acquisitions and lease escalations.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$18.3 million decline in cash collected from interest income was driven by two factors: (i) the non-recurrence of a zero-coupon bond maturity in the prior year and (ii) lower average earning balances in the current year. Upon maturity, the zero-coupon bond generated a one-time cash inflow of $10.8 million, representing the cumulative accretion of discount recognized as interest income over the life of the instrument. As no comparable maturity occurred in the current period, this resulted in a period-over-period decline in cash collections. The remaining variance is attributable to lower average earning balances, which reduced ongoing interest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decline in cash paid for interest expense relates to higher capitalized interest due to our continued development costs at Bally's Chicago, timing differences on bond interest payments due to our bond redemptions and issuances during the six months ended June 30, 2026, and lower market interest rates on our variable rate debt. The decrease in cash paid for operating expenses is primarily attributable to changes in working capital accounts and the increase in cash paid to employees is primarily attributable to a severance payment to a former executive.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Investing activities used cash of $1,262.8 million and provided cash of $500.4 million during the six months ended June 30, 2026 and 2025, respectively.  Net cash used by investing activities during the six months ended June 30, 2026 primarily consisted of $904.3 million for the acquisition of the real estate assets of Bally's Lincoln and PENN's Hollywood Casino Aurora landside development, additional loan fundings of $69.4 million, $296.2 million for real estate construction costs for Bally's Chicago and to a lesser extent Bally's Marquette and $9.1 million for expenditures of property and equipment and capital expenditures. This was partially offset by the principal payments on real estate loans of $16.2 million. The net cash provided by investing activities for the six months ended June 30, 2025 primarily consisted of the maturity of zero coupon U.S. Treasury Bills totaling $550.0 million, partially offset by $5.0 million for the acquisition of the real estate assets which were added to the Bally's Master Lease, capital expenditures of $34.1 million and loan fundings of $10.7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Financing activities provided cash of $737.6 million and used cash of $904.7 million during the six months ended June 30, 2026 and 2025, respectively. Net cash provided by financing activities for the six months ended June 30, 2026 primarily consisted of $2,156.9 million in proceeds from the issuance of long-term debt and $350.8 million in net proceeds from the issuance of common stock. This was partially offset by the repayment of long term debt of $1,280.8 million, dividend payments of $459.7 million, noncontrolling interest distributions of $14.1 million, and taxes paid related to shares withheld for tax purposes on restricted stock award vestings of $6.3 million, and new debt issuance costs of $9.1 million. Cash used in financing activities during the six months ended June 30, 2025 was driven by the repayment of long term debt of $850.1 million, dividend payments of $430.0 million, noncontrolling interest distributions of $12.8 million, and taxes paid related to shares withheld for tax purposes on restricted stock award vestings of $14.8 million, partially offset by $403.0 million of net proceeds from the issuance of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97205"/>
                <wp:effectExtent l="0" t="0" r="0" b="0"/>
                <wp:wrapNone/>
                <wp:docPr id="54" name="Frame5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spent approximately $296.2 million and $34.1 million, respectively, for capital expenditures. The majority of the capital expenditures in 2026 are related to the Chicago development project. The expenditures in 2025 were related to a land side and hotel development project at The Belle.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access to a $2.09 billion variable rate Revolver under its Credit Agreement, of which $330.0 million is outstanding as of June 30, 2026. Additionally, the Company was contingently obligated under letters of credit issued pursuant to the Credit Agreement with face amounts aggregating approximately $0.4 million, resulting in $1,759.6 million of available borrowing capacity under the Credit Agreement as of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$8.08 billion of debt outstanding with a weighted average maturity and interest rate of 6.9 years and 5.07%, respectively as of June 30, 2026. The majority of the Company's debt obligations have fixed interest rates from the issuance of its senior unsecured notes. During the six months ended June 30, 2026, the Company issued $800 million of 5.625% Senior Notes that will mature on March 1, 2036 at an issue price of 99.857% of the principal amount. The proceeds of the offering were utilized to repay borrowings under the 2022 Term Loan Credit Agreement and for working capital and general corporate purposes. During the six month period ended June 30, 2025, the Company redeemed its $850 million 5.250% note that was due in June 2025. See Note 7 for the future minimum repayments of the Company's debt obligations and additional discussion.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GLPI owns 96.9% of the outstanding units of GLP Capital and conducts all of its operations substantially through the operating partnership. Based on the amendments to Rule 3-10 of Regulation S-X that the SEC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pStyle w:val="TextBody"/>
        <w:bidi w:val="0"/>
        <w:spacing w:lineRule="auto" w:line="276"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 </w:t>
      </w:r>
    </w:p>
    <w:p>
      <w:pPr>
        <w:pStyle w:val="TextBody"/>
        <w:bidi w:val="0"/>
        <w:spacing w:before="160" w:after="283"/>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Distribution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Outlook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current level of operations and anticipated earnings, we believe that cash generated from operations and cash on hand, together with amounts available under our Credit Agreement and our ability to raise equity proceeds (including through the use of our 2025 ATM Program), will be adequate to meet our anticipated debt service requirements, funding commitments, capital expenditures, working capital needs and dividend requirements for the next twelve months and beyond.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97205"/>
                <wp:effectExtent l="0" t="0" r="0" b="0"/>
                <wp:wrapNone/>
                <wp:docPr id="55" name="Frame5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the majority of our future growth to come from funding commitments to our tenants and acquisitions of gaming and other properties to lease to third parties. If we consummate significant transactions in the future, our cash requirements may increase significantly and we would likely need to raise additional proceeds through a combination of either common equity, issuance of additional OP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the year ended December 31, 2025, for a discussion of the risk related to our capital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97205"/>
                <wp:effectExtent l="0" t="0" r="0" b="0"/>
                <wp:wrapNone/>
                <wp:docPr id="56" name="Frame5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GLPI’s primary market risk exposure is interest rate risk with respect to its indebtedness of $8,159.0 million at June 30, 2026. Furthermore, $7,150.0 million of our obligations at June 30, 2026 are the senior unsecured notes that have fixed interest rates with maturity dates ranging from June 2028 to September 2054.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at June 30, 2026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June 30, 2026.</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11743" w:type="dxa"/>
        <w:jc w:val="left"/>
        <w:tblInd w:w="0" w:type="dxa"/>
        <w:tblLayout w:type="fixed"/>
        <w:tblCellMar>
          <w:top w:w="28" w:type="dxa"/>
          <w:left w:w="28" w:type="dxa"/>
          <w:bottom w:w="28" w:type="dxa"/>
          <w:right w:w="28" w:type="dxa"/>
        </w:tblCellMar>
      </w:tblPr>
      <w:tblGrid>
        <w:gridCol w:w="326"/>
        <w:gridCol w:w="287"/>
        <w:gridCol w:w="288"/>
        <w:gridCol w:w="196"/>
        <w:gridCol w:w="556"/>
        <w:gridCol w:w="109"/>
        <w:gridCol w:w="109"/>
        <w:gridCol w:w="109"/>
        <w:gridCol w:w="109"/>
        <w:gridCol w:w="196"/>
        <w:gridCol w:w="55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07/01/26- 12/31/26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1/01/27- 12/31/27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1/01/28- 12/31/28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1/01/29- 12/31/29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1/01/30- 12/31/30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 6/30/2026</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Long-term debt:</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6,981,425 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interest rate </w:t>
            </w:r>
            <w:r>
              <w:rPr>
                <w:rFonts w:ascii="Times New Roman;serif" w:hAnsi="Times New Roman;serif"/>
                <w:b w:val="false"/>
                <w:color w:val="000000"/>
                <w:sz w:val="10"/>
              </w:rPr>
              <w:t>(1)</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(1) </w:t>
      </w:r>
      <w:r>
        <w:rPr>
          <w:color w:val="000000"/>
        </w:rPr>
        <w:t xml:space="preserve">          </w:t>
      </w:r>
      <w:r>
        <w:rPr>
          <w:rFonts w:ascii="Times New Roman;serif" w:hAnsi="Times New Roman;serif"/>
          <w:b w:val="false"/>
          <w:color w:val="000000"/>
          <w:sz w:val="18"/>
        </w:rPr>
        <w:t xml:space="preserve">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97205"/>
                <wp:effectExtent l="0" t="0" r="0" b="0"/>
                <wp:wrapNone/>
                <wp:docPr id="57" name="Frame5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Controls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June 30, 2026,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June 30, 2026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97205"/>
                <wp:effectExtent l="0" t="0" r="0" b="0"/>
                <wp:wrapNone/>
                <wp:docPr id="58" name="Frame5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in response to this Item is incorporated by reference to the information set forth in "Note 9: Commitments and Contingencies" in the Notes to the condensed consolidated financial statements in Part I of this Quarterly Report on Form 10-Q.</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to the risk factors disclosed in Part I, Item 1A. “Risk Factors” of our Annual Report on Form 10-K for the year ended December 31, 2025, except as set forth below.</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Geopolitical instability may drive interest rate and inflation volatility, increasing our cost of capital and adversely impacting tenant performance and rent growth</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Geopolitical events, including recent conflicts in the Middle East, have contributed to increased volatility in U.S. Treasury yields, including higher 10-year Treasury yields, which serve as a benchmark for our cost of capital and a key input in equity valuation for REITs. Sustained increases in interest rates could adversely affect our stock price, increase our borrowing costs, and reduce the attractiveness of real estate investments relative to other asset classes.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such geopolitical events may contribute to higher inflation, including through increases in energy prices, supply chain disruptions, and higher input costs. Elevated inflation may adversely affect our tenants' operating costs and profitability, as well as discretionary consumer spending at their properties, thereby reducing tenant cash flows. This, in turn, may reduce rent coverage ratios and limit rent growth under escalation provisions or percentage rent components in certain of our leases, and could impair our tenants’ ability to satisfy their obligations to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repurchase any shares of common stock or sell any unregistered securities during the three months ended June 30, 2026.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Insider Trading Arrangements and Policies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2026, Desiree Burke, the Company’s Chief Financial Officer and Treasurer, entered into a pre-arranged written stock sale plan in accordance with Rule 10b5-1 under the Exchange Act for the sale of shares of the Company’s common stock (the “Burke Rule 10b5-1 Plan”). The Burke Rule 10b5-1 Plan was entered into during an open trading window in accordance with the Company’s policies regarding transactions in the Company’s securities and is intended to satisfy the affirmative defense of Rule 10b5-1(c) under the Exchange Act. The Burke Rule 10b5-1 Plan provides for the potential sale of shares of the Company’s common stock, including shares received upon the vesting and settlement of restricted stock awards, between January 4, 2027 and December 31, 2027. The Burke Rule 10b5-1 Plan is a later-commencing plan and does not authorize any sales before January 4, 2027, after the scheduled expiration by its terms on December 31, 2026 of Ms. Burke’s previously adopted Rule 10b5-1 trading arrangement. Of the 109,612 shares described below, up to 19,612 shares are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97205"/>
                <wp:effectExtent l="0" t="0" r="0" b="0"/>
                <wp:wrapNone/>
                <wp:docPr id="59" name="Frame5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Ms. Burke’s prior trading arrangement and may be sold under that prior arrangement before its expiration upon satisfaction of pre-established market-price conditions; any such sales would reduce the number of shares available for sale under the Burke Rule 10b5-1 Plan. The aggregate number of shares of common stock that may be sold under the Burke Rule 10b5-1 Plan is not yet determinable because the number of shares underlying certain awards depends on the achievement of Company performance metrics and because shares received upon vesting and settlement of restricted stock awards will be reduced by shares withheld or sold to satisfy tax withholding obligations. As such, for purposes of this disclosure, the aggregate number of shares of common stock covered by the Burke Rule 10b5-1 Plan, before giving effect to any shares sold under Ms. Burke's prior trading arrangement and any shares withheld or sold to satisfy tax withholding obligations, is 109,612.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Burke Rule 10b5-1 Plan includes a representation from Ms. Burke to the broker administering the plan that she was not in possession of any material nonpublic information regarding the Company or the securities subject to the Burke Rule 10b5-1 Plan at the time it was entered into. A similar representation was made to the Company in connection with the adoption of the Burke Rule 10b5-1 Plan under the Company’s policies regarding transactions in the Company’s securities. Those representations were made as of the date of adoption of the Burke Rule 10b5-1 Plan, and speak only as of such date. In making those representations, there is no assurance with respect to any material nonpublic information of which Ms. Burke was unaware, or with respect to any material nonpublic information acquired by Ms. Burke or the Company after the date of the representation.</w:t>
      </w:r>
    </w:p>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97205"/>
                <wp:effectExtent l="0" t="0" r="0" b="0"/>
                <wp:wrapNone/>
                <wp:docPr id="60" name="Frame6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37"/>
        <w:gridCol w:w="207"/>
        <w:gridCol w:w="209"/>
        <w:gridCol w:w="109"/>
        <w:gridCol w:w="109"/>
        <w:gridCol w:w="109"/>
        <w:gridCol w:w="2701"/>
        <w:gridCol w:w="2701"/>
        <w:gridCol w:w="3823"/>
      </w:tblGrid>
      <w:tr>
        <w:trPr/>
        <w:tc>
          <w:tcPr>
            <w:tcW w:w="2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6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Articles of Incorporation of Gaming and Leisure Properties, Inc. (Incorporated by reference to Exhibit 3.1 to the Company's Current Report on Form 8-K filed on June 15, 2018).</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Second Amended and Restated Bylaws of Gaming and Leisure Properties, Inc. (Incorporated by reference to Exhibit 3.1 to the Company's Current Report on Form 8-K filed on December 13, 2023).</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6630ex221.htm">
              <w:r>
                <w:rPr>
                  <w:rStyle w:val="InternetLink"/>
                  <w:rFonts w:ascii="Times New Roman;serif" w:hAnsi="Times New Roman;serif"/>
                  <w:b w:val="false"/>
                  <w:color w:val="0000FF"/>
                  <w:sz w:val="20"/>
                  <w:u w:val="single"/>
                </w:rPr>
                <w:t>List of Subsidiary Issuers of Guaranteed Securities</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6630exhibit311.htm">
              <w:r>
                <w:rPr>
                  <w:rStyle w:val="InternetLink"/>
                  <w:rFonts w:ascii="Times New Roman;serif" w:hAnsi="Times New Roman;serif"/>
                  <w:b w:val="false"/>
                  <w:color w:val="0000FF"/>
                  <w:sz w:val="20"/>
                  <w:u w:val="single"/>
                </w:rPr>
                <w:t xml:space="preserve">Principal Executive Officer Certification pursuant to Rule 13a-14(a) or 15d-14(a) of the Securities Exchange Act of 1934. </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6630exhibit312.htm">
              <w:r>
                <w:rPr>
                  <w:rStyle w:val="InternetLink"/>
                  <w:rFonts w:ascii="Times New Roman;serif" w:hAnsi="Times New Roman;serif"/>
                  <w:b w:val="false"/>
                  <w:color w:val="0000FF"/>
                  <w:sz w:val="20"/>
                  <w:u w:val="single"/>
                </w:rPr>
                <w:t>Principal Financial Officer Certification pursuant to Rule 13a-14(a) or 15d-14(a) of the Securities Exchange Act of 1934.</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6630exhibit321.htm">
              <w:r>
                <w:rPr>
                  <w:rStyle w:val="InternetLink"/>
                  <w:rFonts w:ascii="Times New Roman;serif" w:hAnsi="Times New Roman;serif"/>
                  <w:b w:val="false"/>
                  <w:color w:val="0000FF"/>
                  <w:sz w:val="20"/>
                  <w:u w:val="single"/>
                </w:rPr>
                <w:t>Principal Executive Officer Certification pursuant to 18 U.S.C. Section 1350, as adopted pursuant to Section 906 of the Sarbanes-Oxley Act of 2002.</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6630exhibit322.htm">
              <w:r>
                <w:rPr>
                  <w:rStyle w:val="InternetLink"/>
                  <w:rFonts w:ascii="Times New Roman;serif" w:hAnsi="Times New Roman;serif"/>
                  <w:b w:val="false"/>
                  <w:color w:val="0000FF"/>
                  <w:sz w:val="20"/>
                  <w:u w:val="single"/>
                </w:rPr>
                <w:t>Principal Financial Officer Certification pursuant to 18 U.S.C. Section 1350, as adopted pursuant to Section 906 of the Sarbanes-Oxley Act of 2002.</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Gaming and Leisure Properties, Inc.'s Quarterly Report on Form 10-Q for the quarter ended June 30, 2026,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June 30, 2026, formatted in Inline XBRL and contained in Exhibit 101.</w:t>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18"/>
        </w:rPr>
        <w:t>*    </w:t>
      </w:r>
      <w:r>
        <w:rPr>
          <w:rFonts w:ascii="Times New Roman;serif" w:hAnsi="Times New Roman;serif"/>
          <w:b w:val="false"/>
          <w:color w:val="000000"/>
          <w:sz w:val="20"/>
        </w:rPr>
        <w:t>Filed herewith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97205"/>
                <wp:effectExtent l="0" t="0" r="0" b="0"/>
                <wp:wrapNone/>
                <wp:docPr id="61" name="Frame6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301" w:type="dxa"/>
        <w:jc w:val="left"/>
        <w:tblInd w:w="0" w:type="dxa"/>
        <w:tblLayout w:type="fixed"/>
        <w:tblCellMar>
          <w:top w:w="28" w:type="dxa"/>
          <w:left w:w="28" w:type="dxa"/>
          <w:bottom w:w="28" w:type="dxa"/>
          <w:right w:w="28" w:type="dxa"/>
        </w:tblCellMar>
      </w:tblPr>
      <w:tblGrid>
        <w:gridCol w:w="443"/>
        <w:gridCol w:w="390"/>
        <w:gridCol w:w="396"/>
        <w:gridCol w:w="601"/>
        <w:gridCol w:w="601"/>
        <w:gridCol w:w="601"/>
        <w:gridCol w:w="952"/>
        <w:gridCol w:w="952"/>
        <w:gridCol w:w="136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AND LEISURE PROPERTIES, INC.</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DESIREE A. BURKE</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Desiree A. Burke</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97205"/>
                <wp:effectExtent l="0" t="0" r="0" b="0"/>
                <wp:wrapNone/>
                <wp:docPr id="62" name="Frame6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4"/>
        </w:rPr>
      </w:pPr>
      <w:r>
        <w:rPr>
          <w:rFonts w:ascii="Times New Roman;serif" w:hAnsi="Times New Roman;serif"/>
          <w:b/>
          <w:color w:val="000000"/>
          <w:sz w:val="24"/>
        </w:rPr>
        <w:t>Exhibit 22.1</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List of Subsidiary Issuers of Guaranteed Securities</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The following subsidiaries of Gaming and Leisure Properties, Inc. (the “Company”) were, as of June 30, 2026, issuers of the (i) $975 million 5.375% senior unsecured notes due April 2026, (ii) $500 million 5.75% senior unsecured notes due June 2028, (iii) $750 million 5.30% senior unsecured notes due January 2029, (iv) $700 million 4.00% senior unsecured notes due January 2030, (v) $700 million 4.000% senior unsecured notes due January 2031, (vi) $800 million 3.25% senior unsecured notes due January 2032, (vii) $400 million 6.75% senior unsecured notes due December 2033, (viii) $800 million 5.625% senior unsecured notes due September 2034, and (ix) $400 million 6.25% senior unsecured notes due September 2054 each guaranteed by the Company:</w:t>
      </w:r>
    </w:p>
    <w:tbl>
      <w:tblPr>
        <w:tblW w:w="6793" w:type="dxa"/>
        <w:jc w:val="left"/>
        <w:tblInd w:w="0" w:type="dxa"/>
        <w:tblLayout w:type="fixed"/>
        <w:tblCellMar>
          <w:top w:w="28" w:type="dxa"/>
          <w:left w:w="28" w:type="dxa"/>
          <w:bottom w:w="28" w:type="dxa"/>
          <w:right w:w="28" w:type="dxa"/>
        </w:tblCellMar>
      </w:tblPr>
      <w:tblGrid>
        <w:gridCol w:w="826"/>
        <w:gridCol w:w="724"/>
        <w:gridCol w:w="729"/>
        <w:gridCol w:w="1320"/>
        <w:gridCol w:w="1320"/>
        <w:gridCol w:w="1874"/>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2" w:space="0" w:color="000000"/>
              <w:left w:val="single" w:sz="2"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Entity</w:t>
            </w:r>
          </w:p>
        </w:tc>
        <w:tc>
          <w:tcPr>
            <w:tcW w:w="4514" w:type="dxa"/>
            <w:gridSpan w:val="3"/>
            <w:tcBorders>
              <w:top w:val="single" w:sz="2" w:space="0" w:color="000000"/>
              <w:left w:val="single" w:sz="2" w:space="0" w:color="000000"/>
              <w:right w:val="single" w:sz="2"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Jurisdiction of Incorporation or Formation</w:t>
            </w:r>
          </w:p>
        </w:tc>
      </w:tr>
      <w:tr>
        <w:trPr/>
        <w:tc>
          <w:tcPr>
            <w:tcW w:w="2279" w:type="dxa"/>
            <w:gridSpan w:val="3"/>
            <w:tcBorders>
              <w:top w:val="single" w:sz="2" w:space="0" w:color="000000"/>
              <w:left w:val="single" w:sz="2"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GLP Capital, L.P.</w:t>
            </w:r>
          </w:p>
        </w:tc>
        <w:tc>
          <w:tcPr>
            <w:tcW w:w="4514" w:type="dxa"/>
            <w:gridSpan w:val="3"/>
            <w:tcBorders>
              <w:top w:val="single" w:sz="2" w:space="0" w:color="000000"/>
              <w:left w:val="single" w:sz="2" w:space="0" w:color="000000"/>
              <w:right w:val="single" w:sz="2"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Pennsylvania</w:t>
            </w:r>
          </w:p>
        </w:tc>
      </w:tr>
      <w:tr>
        <w:trPr/>
        <w:tc>
          <w:tcPr>
            <w:tcW w:w="2279" w:type="dxa"/>
            <w:gridSpan w:val="3"/>
            <w:tcBorders>
              <w:top w:val="single" w:sz="2" w:space="0" w:color="000000"/>
              <w:left w:val="single" w:sz="2" w:space="0" w:color="000000"/>
              <w:bottom w:val="single" w:sz="2"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GLP Financing II, Inc.</w:t>
            </w:r>
          </w:p>
        </w:tc>
        <w:tc>
          <w:tcPr>
            <w:tcW w:w="4514" w:type="dxa"/>
            <w:gridSpan w:val="3"/>
            <w:tcBorders>
              <w:top w:val="single" w:sz="2" w:space="0" w:color="000000"/>
              <w:left w:val="single" w:sz="2" w:space="0" w:color="000000"/>
              <w:bottom w:val="single" w:sz="2" w:space="0" w:color="000000"/>
              <w:right w:val="single" w:sz="2" w:space="0" w:color="000000"/>
            </w:tcBorders>
            <w:tcMar>
              <w:top w:w="5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Peter M. Carlino,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Gaming and Leisure Properties,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 </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622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03"/>
        <w:gridCol w:w="1303"/>
        <w:gridCol w:w="184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Peter M. Carlino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M. Carlino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Desiree A. Burke,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Gaming and Leisure Properties,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 </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7454"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663"/>
        <w:gridCol w:w="1663"/>
        <w:gridCol w:w="23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Desiree A. Burke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Desiree A. Burke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Gaming and Leisure Properties, Inc. (the “Company”) on Form 10-Q for the quarter ended June 30, 2026, as filed with the Securities and Exchange Commission on the date hereof (the “Report”), I, Peter M. Carlino, Chief Executive Officer and Principal Executive Officer of the Company, certify, pursuant to Section 906 of the Sarbanes-Oxley Act of 2002, 18 U.S.C. Section 1350,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249" w:type="dxa"/>
        <w:jc w:val="left"/>
        <w:tblInd w:w="0" w:type="dxa"/>
        <w:tblLayout w:type="fixed"/>
        <w:tblCellMar>
          <w:top w:w="28" w:type="dxa"/>
          <w:left w:w="28" w:type="dxa"/>
          <w:bottom w:w="28" w:type="dxa"/>
          <w:right w:w="28" w:type="dxa"/>
        </w:tblCellMar>
      </w:tblPr>
      <w:tblGrid>
        <w:gridCol w:w="200"/>
        <w:gridCol w:w="177"/>
        <w:gridCol w:w="178"/>
        <w:gridCol w:w="1372"/>
        <w:gridCol w:w="1372"/>
        <w:gridCol w:w="19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Peter M. Carlino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M. Carlino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Gaming and Leisure Properties, Inc. (the “Company”) on Form 10-Q for the quarter ended June 30, 2026, as filed with the Securities and Exchange Commission on the date hereof (the “Report”), I, Desiree A. Burke, Chief Financial Officer and Principal Financial Officer of the Company, certify, pursuant to Section 906 of the Sarbanes-Oxley Act of 2002, 18 U.S.C. Section 1350,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280" w:type="dxa"/>
        <w:jc w:val="left"/>
        <w:tblInd w:w="0" w:type="dxa"/>
        <w:tblLayout w:type="fixed"/>
        <w:tblCellMar>
          <w:top w:w="28" w:type="dxa"/>
          <w:left w:w="28" w:type="dxa"/>
          <w:bottom w:w="28" w:type="dxa"/>
          <w:right w:w="28" w:type="dxa"/>
        </w:tblCellMar>
      </w:tblPr>
      <w:tblGrid>
        <w:gridCol w:w="200"/>
        <w:gridCol w:w="177"/>
        <w:gridCol w:w="178"/>
        <w:gridCol w:w="1382"/>
        <w:gridCol w:w="1382"/>
        <w:gridCol w:w="19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Desiree A. Burke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Desiree A. Burke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5965/000157596518000016/glpiexhibit31amendedandres.htm" TargetMode="External"/><Relationship Id="rId3" Type="http://schemas.openxmlformats.org/officeDocument/2006/relationships/hyperlink" Target="https://www.sec.gov/Archives/edgar/data/1575965/000157596523000042/secondamendedandrestatedby.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30354</Words>
  <Characters>164452</Characters>
  <CharactersWithSpaces>194161</CharactersWithSpaces>
  <Paragraphs>4236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