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30"/>
        </w:rPr>
        <w:t>FORM 10-Q</w:t>
      </w: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          to        </w:t>
      </w:r>
      <w:r>
        <w:rPr>
          <w:color w:val="000000"/>
        </w:rPr>
        <w:t> </w:t>
      </w:r>
    </w:p>
    <w:p>
      <w:pPr>
        <w:pStyle w:val="TextBody"/>
        <w:bidi w:val="0"/>
        <w:spacing w:lineRule="auto" w:line="288" w:before="0" w:after="0"/>
        <w:jc w:val="center"/>
        <w:rPr/>
      </w:pPr>
      <w:r>
        <w:rPr>
          <w:rFonts w:ascii="Times New Roman;sans-serif" w:hAnsi="Times New Roman;sans-serif"/>
          <w:b/>
          <w:color w:val="000000"/>
          <w:sz w:val="20"/>
        </w:rPr>
        <w:t>Commission File Number:  001-36124</w:t>
      </w:r>
      <w:r>
        <w:rPr>
          <w:color w:val="000000"/>
        </w:rPr>
        <w:t xml:space="preserve">  </w:t>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 xml:space="preserve">Gaming and Leisure Properties, Inc.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w:t>
      </w:r>
    </w:p>
    <w:tbl>
      <w:tblPr>
        <w:tblW w:w="4555" w:type="dxa"/>
        <w:jc w:val="center"/>
        <w:tblInd w:w="0" w:type="dxa"/>
        <w:tblLayout w:type="fixed"/>
        <w:tblCellMar>
          <w:top w:w="28" w:type="dxa"/>
          <w:left w:w="28" w:type="dxa"/>
          <w:bottom w:w="28" w:type="dxa"/>
          <w:right w:w="28" w:type="dxa"/>
        </w:tblCellMar>
      </w:tblPr>
      <w:tblGrid>
        <w:gridCol w:w="935"/>
        <w:gridCol w:w="820"/>
        <w:gridCol w:w="824"/>
        <w:gridCol w:w="109"/>
        <w:gridCol w:w="109"/>
        <w:gridCol w:w="109"/>
        <w:gridCol w:w="481"/>
        <w:gridCol w:w="481"/>
        <w:gridCol w:w="687"/>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46-2116489</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19"/>
        </w:rPr>
        <w:t xml:space="preserve">845 Berkshire Blvd., Suite 200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Wyomissing, PA 19610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610-401-2900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color w:val="000000"/>
          <w:sz w:val="19"/>
        </w:rPr>
        <w:t>Not Applicable</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bidi w:val="0"/>
        <w:spacing w:lineRule="auto" w:line="288" w:before="120" w:after="283"/>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8392" w:type="dxa"/>
        <w:jc w:val="left"/>
        <w:tblInd w:w="0" w:type="dxa"/>
        <w:tblLayout w:type="fixed"/>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GLPI</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120" w:after="283"/>
        <w:ind w:left="0" w:right="0" w:firstLine="360"/>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360"/>
        <w:jc w:val="left"/>
        <w:rPr>
          <w:color w:val="000000"/>
        </w:rPr>
      </w:pPr>
      <w:r>
        <w:rPr>
          <w:color w:val="000000"/>
        </w:rPr>
        <w:t> </w:t>
      </w:r>
    </w:p>
    <w:tbl>
      <w:tblPr>
        <w:tblW w:w="4974"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 xml:space="preserve">No </w:t>
      </w: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4435" w:type="dxa"/>
        <w:jc w:val="left"/>
        <w:tblInd w:w="0" w:type="dxa"/>
        <w:tblLayout w:type="fixed"/>
        <w:tblCellMar>
          <w:top w:w="28" w:type="dxa"/>
          <w:left w:w="28" w:type="dxa"/>
          <w:bottom w:w="28" w:type="dxa"/>
          <w:right w:w="28" w:type="dxa"/>
        </w:tblCellMar>
      </w:tblPr>
      <w:tblGrid>
        <w:gridCol w:w="1070"/>
        <w:gridCol w:w="938"/>
        <w:gridCol w:w="961"/>
        <w:gridCol w:w="109"/>
        <w:gridCol w:w="109"/>
        <w:gridCol w:w="109"/>
        <w:gridCol w:w="332"/>
        <w:gridCol w:w="332"/>
        <w:gridCol w:w="475"/>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22, 2024</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274,391,465</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that higher inflation rates and uncertainty with respect to the future state of the economy could have on discretionary consumer spending, including the casino operations of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consequences related to United States ("U.S.") government monetary policies and stimulus packages on inflation rates and economic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consummate the announced transactions with Bally's Corporation (Bally's), including the ability of the parties to satisfy the various conditions to funding, including receipt of all required approvals and consents, or other delays or impediments to completing the proposed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degree and nature of our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receive, or delays in obtaining, the regulatory approvals required to own and/or operate our properties, or other delays or impediments to completing our planned acquisitions or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elevated interest rates and higher levels of inflation (which have been exacerbated by the armed conflict between Russia and Ukraine and may be further impacted by events in the Middle 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of a new pandemic, including its effect on the ability or desire of people to gather in large groups (including in casinos), which could impact our financial results, operations, outlooks, plans, goals, growth, cash flows, liquidity, and stock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certain asset, income, organizational, distribution, shareholder ownership and other requirements on a continuing basis in order for the Company to maintain its REIT status;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to comply with laws, rules and regulations in the operation of our properties, to deliver high quality services, to attract and retain qualified personnel and to attract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generate sufficient cash flows to service our outstanding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through debt and equity markets in amounts and at rates and costs acceptable to GLPI, including for acquisitions or refinancings due to maturities;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changes in our credit rating;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qualified personnel and our ability to retain our key management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U.S. tax law and other federal, state or local laws, whether or not specific to real estate, REITs or the gaming, lodging or hospitality industries;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weather or climate events or conditions, natural disasters, acts of terrorism and other international hostilities, war (including the current conflict between Russia and Ukraine and conflicts in the Middle East) or political instability;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the historical financial statements included herein do not reflect what the business, financial position or results of operations of GLPI may be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inherent in the real estate business, including potential liability relating to environmental matters and illiquidity of real estate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additional factors as discussed in the Company’s Annual Report on Form 10-K for the year ended December 31, 2023 (the "Annual Report"), in our Quarterly Report on Form 10-Q and Current Reports on Form 8-K as filed with the United States Securities and Exchange Commission.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the areas of risk described above, as well as those set forth in the "Risk Factors" section in the Company’s Annual Report and Quarterly Reports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33"/>
        <w:gridCol w:w="382"/>
        <w:gridCol w:w="386"/>
        <w:gridCol w:w="2876"/>
        <w:gridCol w:w="2876"/>
        <w:gridCol w:w="2879"/>
        <w:gridCol w:w="109"/>
        <w:gridCol w:w="109"/>
        <w:gridCol w:w="155"/>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3">
              <w:r>
                <w:rPr>
                  <w:rStyle w:val="InternetLink"/>
                  <w:rFonts w:ascii="Times New Roman;sans-serif" w:hAnsi="Times New Roman;sans-serif"/>
                  <w:b w:val="false"/>
                  <w:color w:val="0000FF"/>
                  <w:sz w:val="20"/>
                  <w:u w:val="single"/>
                </w:rPr>
                <w:t>PART 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3">
              <w:r>
                <w:rPr>
                  <w:rStyle w:val="InternetLink"/>
                  <w:rFonts w:ascii="Times New Roman;sans-serif" w:hAnsi="Times New Roman;sans-serif"/>
                  <w:b w:val="false"/>
                  <w:color w:val="0000FF"/>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3">
              <w:r>
                <w:rPr>
                  <w:rStyle w:val="InternetLink"/>
                  <w:rFonts w:ascii="Times New Roman;sans-serif" w:hAnsi="Times New Roman;sans-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6">
              <w:r>
                <w:rPr>
                  <w:rStyle w:val="InternetLink"/>
                  <w:rFonts w:ascii="Times New Roman;sans-serif" w:hAnsi="Times New Roman;sans-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6">
              <w:r>
                <w:rPr>
                  <w:rStyle w:val="InternetLink"/>
                  <w:rFonts w:ascii="Times New Roman;sans-serif" w:hAnsi="Times New Roman;sans-serif"/>
                  <w:b w:val="false"/>
                  <w:color w:val="0000FF"/>
                  <w:sz w:val="20"/>
                  <w:u w:val="single"/>
                </w:rPr>
                <w:t xml:space="preserve">FINANCIAL STATEMENTS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6">
              <w:r>
                <w:rPr>
                  <w:rStyle w:val="InternetLink"/>
                  <w:rFonts w:ascii="Times New Roman;sans-serif" w:hAnsi="Times New Roman;sans-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9">
              <w:r>
                <w:rPr>
                  <w:rStyle w:val="InternetLink"/>
                  <w:rFonts w:ascii="Times New Roman;sans-serif" w:hAnsi="Times New Roman;sans-serif"/>
                  <w:b w:val="false"/>
                  <w:color w:val="000080"/>
                  <w:sz w:val="20"/>
                  <w:u w:val="single"/>
                </w:rPr>
                <w:t xml:space="preserve">Condensed Consolidated Balance Sheets - </w:t>
              </w:r>
            </w:hyperlink>
            <w:hyperlink w:anchor="i2e22a83b3625491c8243207fddcbf680_19">
              <w:r>
                <w:rPr>
                  <w:rStyle w:val="InternetLink"/>
                  <w:rFonts w:ascii="Times New Roman;sans-serif" w:hAnsi="Times New Roman;sans-serif"/>
                  <w:b w:val="false"/>
                  <w:color w:val="000080"/>
                  <w:sz w:val="20"/>
                  <w:u w:val="single"/>
                </w:rPr>
                <w:t>Ju</w:t>
              </w:r>
            </w:hyperlink>
            <w:hyperlink w:anchor="i2e22a83b3625491c8243207fddcbf680_19">
              <w:r>
                <w:rPr>
                  <w:rStyle w:val="InternetLink"/>
                  <w:rFonts w:ascii="Times New Roman;sans-serif" w:hAnsi="Times New Roman;sans-serif"/>
                  <w:b w:val="false"/>
                  <w:color w:val="000080"/>
                  <w:sz w:val="20"/>
                  <w:u w:val="single"/>
                </w:rPr>
                <w:t>ne</w:t>
              </w:r>
            </w:hyperlink>
            <w:hyperlink w:anchor="i2e22a83b3625491c8243207fddcbf680_19">
              <w:r>
                <w:rPr>
                  <w:rStyle w:val="InternetLink"/>
                  <w:rFonts w:ascii="Times New Roman;sans-serif" w:hAnsi="Times New Roman;sans-serif"/>
                  <w:b w:val="false"/>
                  <w:color w:val="000080"/>
                  <w:sz w:val="20"/>
                  <w:u w:val="single"/>
                </w:rPr>
                <w:t xml:space="preserve"> 3</w:t>
              </w:r>
            </w:hyperlink>
            <w:hyperlink w:anchor="i2e22a83b3625491c8243207fddcbf680_19">
              <w:r>
                <w:rPr>
                  <w:rStyle w:val="InternetLink"/>
                  <w:rFonts w:ascii="Times New Roman;sans-serif" w:hAnsi="Times New Roman;sans-serif"/>
                  <w:b w:val="false"/>
                  <w:color w:val="000080"/>
                  <w:sz w:val="20"/>
                  <w:u w:val="single"/>
                </w:rPr>
                <w:t>0</w:t>
              </w:r>
            </w:hyperlink>
            <w:hyperlink w:anchor="i2e22a83b3625491c8243207fddcbf680_19">
              <w:r>
                <w:rPr>
                  <w:rStyle w:val="InternetLink"/>
                  <w:rFonts w:ascii="Times New Roman;sans-serif" w:hAnsi="Times New Roman;sans-serif"/>
                  <w:b w:val="false"/>
                  <w:color w:val="000080"/>
                  <w:sz w:val="20"/>
                  <w:u w:val="single"/>
                </w:rPr>
                <w:t>, 2024 and December 31, 202</w:t>
              </w:r>
            </w:hyperlink>
            <w:r>
              <w:rPr>
                <w:rFonts w:ascii="Times New Roman;sans-serif" w:hAnsi="Times New Roman;sans-serif"/>
                <w:b w:val="false"/>
                <w:color w:val="000000"/>
                <w:sz w:val="20"/>
              </w:rPr>
              <w:t>3</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9">
              <w:r>
                <w:rPr>
                  <w:rStyle w:val="InternetLink"/>
                  <w:rFonts w:ascii="Times New Roman;sans-serif" w:hAnsi="Times New Roman;sans-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22a83b3625491c8243207fddcbf680_22">
              <w:r>
                <w:rPr>
                  <w:rStyle w:val="InternetLink"/>
                  <w:rFonts w:ascii="Times New Roman;sans-serif" w:hAnsi="Times New Roman;sans-serif"/>
                  <w:b w:val="false"/>
                  <w:color w:val="000080"/>
                  <w:sz w:val="20"/>
                  <w:u w:val="single"/>
                </w:rPr>
                <w:t xml:space="preserve">Condensed Consolidated Statements of Income - </w:t>
              </w:r>
            </w:hyperlink>
            <w:hyperlink w:anchor="i2e22a83b3625491c8243207fddcbf680_22">
              <w:r>
                <w:rPr>
                  <w:rStyle w:val="InternetLink"/>
                  <w:rFonts w:ascii="Times New Roman;sans-serif" w:hAnsi="Times New Roman;sans-serif"/>
                  <w:b w:val="false"/>
                  <w:color w:val="000080"/>
                  <w:sz w:val="20"/>
                  <w:u w:val="single"/>
                </w:rPr>
                <w:t xml:space="preserve">Three and </w:t>
              </w:r>
            </w:hyperlink>
            <w:hyperlink w:anchor="i2e22a83b3625491c8243207fddcbf680_22">
              <w:r>
                <w:rPr>
                  <w:rStyle w:val="InternetLink"/>
                  <w:rFonts w:ascii="Times New Roman;sans-serif" w:hAnsi="Times New Roman;sans-serif"/>
                  <w:b w:val="false"/>
                  <w:color w:val="000080"/>
                  <w:sz w:val="20"/>
                  <w:u w:val="single"/>
                </w:rPr>
                <w:t>Six</w:t>
              </w:r>
            </w:hyperlink>
            <w:hyperlink w:anchor="i2e22a83b3625491c8243207fddcbf680_22">
              <w:r>
                <w:rPr>
                  <w:rStyle w:val="InternetLink"/>
                  <w:rFonts w:ascii="Times New Roman;sans-serif" w:hAnsi="Times New Roman;sans-serif"/>
                  <w:b w:val="false"/>
                  <w:color w:val="000080"/>
                  <w:sz w:val="20"/>
                  <w:u w:val="single"/>
                </w:rPr>
                <w:t xml:space="preserve"> Months Ended </w:t>
              </w:r>
            </w:hyperlink>
            <w:hyperlink w:anchor="i2e22a83b3625491c8243207fddcbf680_22">
              <w:r>
                <w:rPr>
                  <w:rStyle w:val="InternetLink"/>
                  <w:rFonts w:ascii="Times New Roman;sans-serif" w:hAnsi="Times New Roman;sans-serif"/>
                  <w:b w:val="false"/>
                  <w:color w:val="000080"/>
                  <w:sz w:val="20"/>
                  <w:u w:val="single"/>
                </w:rPr>
                <w:t xml:space="preserve">June </w:t>
              </w:r>
            </w:hyperlink>
            <w:hyperlink w:anchor="i2e22a83b3625491c8243207fddcbf680_22">
              <w:r>
                <w:rPr>
                  <w:rStyle w:val="InternetLink"/>
                  <w:rFonts w:ascii="Times New Roman;sans-serif" w:hAnsi="Times New Roman;sans-serif"/>
                  <w:b w:val="false"/>
                  <w:color w:val="000080"/>
                  <w:sz w:val="20"/>
                  <w:u w:val="single"/>
                </w:rPr>
                <w:t>30</w:t>
              </w:r>
            </w:hyperlink>
            <w:hyperlink w:anchor="i2e22a83b3625491c8243207fddcbf680_22">
              <w:r>
                <w:rPr>
                  <w:rStyle w:val="InternetLink"/>
                  <w:rFonts w:ascii="Times New Roman;sans-serif" w:hAnsi="Times New Roman;sans-serif"/>
                  <w:b w:val="false"/>
                  <w:color w:val="000080"/>
                  <w:sz w:val="20"/>
                  <w:u w:val="single"/>
                </w:rPr>
                <w:t>,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22">
              <w:r>
                <w:rPr>
                  <w:rStyle w:val="InternetLink"/>
                  <w:rFonts w:ascii="Times New Roman;sans-serif" w:hAnsi="Times New Roman;sans-serif"/>
                  <w:b w:val="false"/>
                  <w:color w:val="0000FF"/>
                  <w:sz w:val="20"/>
                  <w:u w:val="single"/>
                </w:rPr>
                <w:t>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22a83b3625491c8243207fddcbf680_25">
              <w:r>
                <w:rPr>
                  <w:rStyle w:val="InternetLink"/>
                  <w:rFonts w:ascii="Times New Roman;sans-serif" w:hAnsi="Times New Roman;sans-serif"/>
                  <w:b w:val="false"/>
                  <w:color w:val="000080"/>
                  <w:sz w:val="20"/>
                  <w:u w:val="single"/>
                </w:rPr>
                <w:t xml:space="preserve">Condensed Consolidated Statements of Changes in Equity - </w:t>
              </w:r>
            </w:hyperlink>
            <w:hyperlink w:anchor="i2e22a83b3625491c8243207fddcbf680_25">
              <w:r>
                <w:rPr>
                  <w:rStyle w:val="InternetLink"/>
                  <w:rFonts w:ascii="Times New Roman;sans-serif" w:hAnsi="Times New Roman;sans-serif"/>
                  <w:b w:val="false"/>
                  <w:color w:val="000080"/>
                  <w:sz w:val="20"/>
                  <w:u w:val="single"/>
                </w:rPr>
                <w:t xml:space="preserve">Three and </w:t>
              </w:r>
            </w:hyperlink>
            <w:hyperlink w:anchor="i2e22a83b3625491c8243207fddcbf680_25">
              <w:r>
                <w:rPr>
                  <w:rStyle w:val="InternetLink"/>
                  <w:rFonts w:ascii="Times New Roman;sans-serif" w:hAnsi="Times New Roman;sans-serif"/>
                  <w:b w:val="false"/>
                  <w:color w:val="000080"/>
                  <w:sz w:val="20"/>
                  <w:u w:val="single"/>
                </w:rPr>
                <w:t>Six</w:t>
              </w:r>
            </w:hyperlink>
            <w:hyperlink w:anchor="i2e22a83b3625491c8243207fddcbf680_25">
              <w:r>
                <w:rPr>
                  <w:rStyle w:val="InternetLink"/>
                  <w:rFonts w:ascii="Times New Roman;sans-serif" w:hAnsi="Times New Roman;sans-serif"/>
                  <w:b w:val="false"/>
                  <w:color w:val="000080"/>
                  <w:sz w:val="20"/>
                  <w:u w:val="single"/>
                </w:rPr>
                <w:t xml:space="preserve"> Months Ended </w:t>
              </w:r>
            </w:hyperlink>
            <w:hyperlink w:anchor="i2e22a83b3625491c8243207fddcbf680_25">
              <w:r>
                <w:rPr>
                  <w:rStyle w:val="InternetLink"/>
                  <w:rFonts w:ascii="Times New Roman;sans-serif" w:hAnsi="Times New Roman;sans-serif"/>
                  <w:b w:val="false"/>
                  <w:color w:val="000080"/>
                  <w:sz w:val="20"/>
                  <w:u w:val="single"/>
                </w:rPr>
                <w:t>June</w:t>
              </w:r>
            </w:hyperlink>
            <w:hyperlink w:anchor="i2e22a83b3625491c8243207fddcbf680_25">
              <w:r>
                <w:rPr>
                  <w:rStyle w:val="InternetLink"/>
                  <w:rFonts w:ascii="Times New Roman;sans-serif" w:hAnsi="Times New Roman;sans-serif"/>
                  <w:b w:val="false"/>
                  <w:color w:val="000080"/>
                  <w:sz w:val="20"/>
                  <w:u w:val="single"/>
                </w:rPr>
                <w:t xml:space="preserve"> 3</w:t>
              </w:r>
            </w:hyperlink>
            <w:hyperlink w:anchor="i2e22a83b3625491c8243207fddcbf680_25">
              <w:r>
                <w:rPr>
                  <w:rStyle w:val="InternetLink"/>
                  <w:rFonts w:ascii="Times New Roman;sans-serif" w:hAnsi="Times New Roman;sans-serif"/>
                  <w:b w:val="false"/>
                  <w:color w:val="000080"/>
                  <w:sz w:val="20"/>
                  <w:u w:val="single"/>
                </w:rPr>
                <w:t>0</w:t>
              </w:r>
            </w:hyperlink>
            <w:hyperlink w:anchor="i2e22a83b3625491c8243207fddcbf680_25">
              <w:r>
                <w:rPr>
                  <w:rStyle w:val="InternetLink"/>
                  <w:rFonts w:ascii="Times New Roman;sans-serif" w:hAnsi="Times New Roman;sans-serif"/>
                  <w:b w:val="false"/>
                  <w:color w:val="000080"/>
                  <w:sz w:val="20"/>
                  <w:u w:val="single"/>
                </w:rPr>
                <w:t>,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25">
              <w:r>
                <w:rPr>
                  <w:rStyle w:val="InternetLink"/>
                  <w:rFonts w:ascii="Times New Roman;sans-serif" w:hAnsi="Times New Roman;sans-serif"/>
                  <w:b w:val="false"/>
                  <w:color w:val="0000FF"/>
                  <w:sz w:val="20"/>
                  <w:u w:val="single"/>
                </w:rPr>
                <w:t>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22a83b3625491c8243207fddcbf680_28">
              <w:r>
                <w:rPr>
                  <w:rStyle w:val="InternetLink"/>
                  <w:rFonts w:ascii="Times New Roman;sans-serif" w:hAnsi="Times New Roman;sans-serif"/>
                  <w:b w:val="false"/>
                  <w:color w:val="000080"/>
                  <w:sz w:val="20"/>
                  <w:u w:val="single"/>
                </w:rPr>
                <w:t xml:space="preserve">Condensed Consolidated Statements of Cash Flows - </w:t>
              </w:r>
            </w:hyperlink>
            <w:hyperlink w:anchor="i2e22a83b3625491c8243207fddcbf680_28">
              <w:r>
                <w:rPr>
                  <w:rStyle w:val="InternetLink"/>
                  <w:rFonts w:ascii="Times New Roman;sans-serif" w:hAnsi="Times New Roman;sans-serif"/>
                  <w:b w:val="false"/>
                  <w:color w:val="000080"/>
                  <w:sz w:val="20"/>
                  <w:u w:val="single"/>
                </w:rPr>
                <w:t>Six</w:t>
              </w:r>
            </w:hyperlink>
            <w:hyperlink w:anchor="i2e22a83b3625491c8243207fddcbf680_28">
              <w:r>
                <w:rPr>
                  <w:rStyle w:val="InternetLink"/>
                  <w:rFonts w:ascii="Times New Roman;sans-serif" w:hAnsi="Times New Roman;sans-serif"/>
                  <w:b w:val="false"/>
                  <w:color w:val="000080"/>
                  <w:sz w:val="20"/>
                  <w:u w:val="single"/>
                </w:rPr>
                <w:t xml:space="preserve"> Months Ended </w:t>
              </w:r>
            </w:hyperlink>
            <w:hyperlink w:anchor="i2e22a83b3625491c8243207fddcbf680_28">
              <w:r>
                <w:rPr>
                  <w:rStyle w:val="InternetLink"/>
                  <w:rFonts w:ascii="Times New Roman;sans-serif" w:hAnsi="Times New Roman;sans-serif"/>
                  <w:b w:val="false"/>
                  <w:color w:val="000080"/>
                  <w:sz w:val="20"/>
                  <w:u w:val="single"/>
                </w:rPr>
                <w:t>June 30</w:t>
              </w:r>
            </w:hyperlink>
            <w:hyperlink w:anchor="i2e22a83b3625491c8243207fddcbf680_28">
              <w:r>
                <w:rPr>
                  <w:rStyle w:val="InternetLink"/>
                  <w:rFonts w:ascii="Times New Roman;sans-serif" w:hAnsi="Times New Roman;sans-serif"/>
                  <w:b w:val="false"/>
                  <w:color w:val="000080"/>
                  <w:sz w:val="20"/>
                  <w:u w:val="single"/>
                </w:rPr>
                <w:t>,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28">
              <w:r>
                <w:rPr>
                  <w:rStyle w:val="InternetLink"/>
                  <w:rFonts w:ascii="Times New Roman;sans-serif" w:hAnsi="Times New Roman;sans-serif"/>
                  <w:b w:val="false"/>
                  <w:color w:val="0000FF"/>
                  <w:sz w:val="20"/>
                  <w:u w:val="single"/>
                </w:rPr>
                <w:t>7</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31">
              <w:r>
                <w:rPr>
                  <w:rStyle w:val="InternetLink"/>
                  <w:rFonts w:ascii="Times New Roman;sans-serif" w:hAnsi="Times New Roman;sans-serif"/>
                  <w:b w:val="false"/>
                  <w:color w:val="0000FF"/>
                  <w:sz w:val="20"/>
                  <w:u w:val="single"/>
                </w:rPr>
                <w:t>Notes to the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31">
              <w:r>
                <w:rPr>
                  <w:rStyle w:val="InternetLink"/>
                  <w:rFonts w:ascii="Times New Roman;sans-serif" w:hAnsi="Times New Roman;sans-serif"/>
                  <w:b w:val="false"/>
                  <w:color w:val="0000FF"/>
                  <w:sz w:val="20"/>
                  <w:u w:val="single"/>
                </w:rPr>
                <w:t>8</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79">
              <w:r>
                <w:rPr>
                  <w:rStyle w:val="InternetLink"/>
                  <w:rFonts w:ascii="Times New Roman;sans-serif" w:hAnsi="Times New Roman;sans-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79">
              <w:r>
                <w:rPr>
                  <w:rStyle w:val="InternetLink"/>
                  <w:rFonts w:ascii="Times New Roman;sans-serif" w:hAnsi="Times New Roman;sans-serif"/>
                  <w:b w:val="false"/>
                  <w:color w:val="0000FF"/>
                  <w:sz w:val="20"/>
                  <w:u w:val="single"/>
                </w:rPr>
                <w:t>38</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97">
              <w:r>
                <w:rPr>
                  <w:rStyle w:val="InternetLink"/>
                  <w:rFonts w:ascii="Times New Roman;sans-serif" w:hAnsi="Times New Roman;sans-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97">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97">
              <w:r>
                <w:rPr>
                  <w:rStyle w:val="InternetLink"/>
                  <w:rFonts w:ascii="Times New Roman;sans-serif" w:hAnsi="Times New Roman;sans-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0">
              <w:r>
                <w:rPr>
                  <w:rStyle w:val="InternetLink"/>
                  <w:rFonts w:ascii="Times New Roman;sans-serif" w:hAnsi="Times New Roman;sans-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0">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00">
              <w:r>
                <w:rPr>
                  <w:rStyle w:val="InternetLink"/>
                  <w:rFonts w:ascii="Times New Roman;sans-serif" w:hAnsi="Times New Roman;sans-serif"/>
                  <w:b w:val="false"/>
                  <w:color w:val="0000FF"/>
                  <w:sz w:val="20"/>
                  <w:u w:val="single"/>
                </w:rPr>
                <w:t>60</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3">
              <w:r>
                <w:rPr>
                  <w:rStyle w:val="InternetLink"/>
                  <w:rFonts w:ascii="Times New Roman;sans-serif" w:hAnsi="Times New Roman;sans-serif"/>
                  <w:b w:val="false"/>
                  <w:color w:val="0000FF"/>
                  <w:sz w:val="20"/>
                  <w:u w:val="single"/>
                </w:rPr>
                <w:t>PART II.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3">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03">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6">
              <w:r>
                <w:rPr>
                  <w:rStyle w:val="InternetLink"/>
                  <w:rFonts w:ascii="Times New Roman;sans-serif" w:hAnsi="Times New Roman;sans-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6">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06">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9">
              <w:r>
                <w:rPr>
                  <w:rStyle w:val="InternetLink"/>
                  <w:rFonts w:ascii="Times New Roman;sans-serif" w:hAnsi="Times New Roman;sans-serif"/>
                  <w:b w:val="false"/>
                  <w:color w:val="0000FF"/>
                  <w:sz w:val="20"/>
                  <w:u w:val="single"/>
                </w:rPr>
                <w:t>ITEM 1A.</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09">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09">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12">
              <w:r>
                <w:rPr>
                  <w:rStyle w:val="InternetLink"/>
                  <w:rFonts w:ascii="Times New Roman;sans-serif" w:hAnsi="Times New Roman;sans-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12">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12">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15">
              <w:r>
                <w:rPr>
                  <w:rStyle w:val="InternetLink"/>
                  <w:rFonts w:ascii="Times New Roman;sans-serif" w:hAnsi="Times New Roman;sans-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15">
              <w:r>
                <w:rPr>
                  <w:rStyle w:val="InternetLink"/>
                  <w:rFonts w:ascii="Times New Roman;sans-serif" w:hAnsi="Times New Roman;sans-serif"/>
                  <w:b w:val="false"/>
                  <w:color w:val="0000FF"/>
                  <w:sz w:val="20"/>
                  <w:u w:val="single"/>
                </w:rPr>
                <w:t>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15">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18">
              <w:r>
                <w:rPr>
                  <w:rStyle w:val="InternetLink"/>
                  <w:rFonts w:ascii="Times New Roman;sans-serif" w:hAnsi="Times New Roman;sans-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18">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18">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21">
              <w:r>
                <w:rPr>
                  <w:rStyle w:val="InternetLink"/>
                  <w:rFonts w:ascii="Times New Roman;sans-serif" w:hAnsi="Times New Roman;sans-serif"/>
                  <w:b w:val="false"/>
                  <w:color w:val="0000FF"/>
                  <w:sz w:val="20"/>
                  <w:u w:val="single"/>
                </w:rPr>
                <w:t>ITEM 5.</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21">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21">
              <w:r>
                <w:rPr>
                  <w:rStyle w:val="InternetLink"/>
                  <w:rFonts w:ascii="Times New Roman;sans-serif" w:hAnsi="Times New Roman;sans-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24">
              <w:r>
                <w:rPr>
                  <w:rStyle w:val="InternetLink"/>
                  <w:rFonts w:ascii="Times New Roman;sans-serif" w:hAnsi="Times New Roman;sans-serif"/>
                  <w:b w:val="false"/>
                  <w:color w:val="0000FF"/>
                  <w:sz w:val="20"/>
                  <w:u w:val="single"/>
                </w:rPr>
                <w:t>ITEM 6.</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24">
              <w:r>
                <w:rPr>
                  <w:rStyle w:val="InternetLink"/>
                  <w:rFonts w:ascii="Times New Roman;sans-serif" w:hAnsi="Times New Roman;sans-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24">
              <w:r>
                <w:rPr>
                  <w:rStyle w:val="InternetLink"/>
                  <w:rFonts w:ascii="Times New Roman;sans-serif" w:hAnsi="Times New Roman;sans-serif"/>
                  <w:b w:val="false"/>
                  <w:color w:val="0000FF"/>
                  <w:sz w:val="20"/>
                  <w:u w:val="single"/>
                </w:rPr>
                <w:t>63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22a83b3625491c8243207fddcbf680_127">
              <w:r>
                <w:rPr>
                  <w:rStyle w:val="InternetLink"/>
                  <w:rFonts w:ascii="Times New Roman;sans-serif" w:hAnsi="Times New Roman;sans-serif"/>
                  <w:b w:val="false"/>
                  <w:color w:val="0000FF"/>
                  <w:sz w:val="20"/>
                  <w:u w:val="single"/>
                </w:rPr>
                <w:t>SIGNATURE</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2a83b3625491c8243207fddcbf680_127">
              <w:r>
                <w:rPr>
                  <w:rStyle w:val="InternetLink"/>
                  <w:rFonts w:ascii="Times New Roman;sans-serif" w:hAnsi="Times New Roman;sans-serif"/>
                  <w:b w:val="false"/>
                  <w:color w:val="0000FF"/>
                  <w:sz w:val="20"/>
                  <w:u w:val="single"/>
                </w:rPr>
                <w:t>64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27"/>
        <w:gridCol w:w="2192"/>
        <w:gridCol w:w="2210"/>
        <w:gridCol w:w="211"/>
        <w:gridCol w:w="1081"/>
        <w:gridCol w:w="109"/>
        <w:gridCol w:w="109"/>
        <w:gridCol w:w="109"/>
        <w:gridCol w:w="109"/>
        <w:gridCol w:w="211"/>
        <w:gridCol w:w="1081"/>
        <w:gridCol w:w="156"/>
      </w:tblGrid>
      <w:tr>
        <w:trPr/>
        <w:tc>
          <w:tcPr>
            <w:tcW w:w="262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to maturity investment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unamortized debt issuance costs, bond premiums and original issuance discounts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rental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7,297,704 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9)</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50,000,000 shares authorized, no shares issued or outstanding at June 30, 2024 and December 31, 2023)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500,000,000 shares authorized, 271,500,584 and 270,922,719 shares issued and outstanding at June 30, 2024 and December 31, 2023,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attributable to Gaming and Leisure Properties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4,156,905 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GLPI's Operating Partnership (8,087,630 units and 7,653,326 units outstanding at June 30, 2024 and December 31, 2023,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4,508,954 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11,806,658 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87"/>
        <w:gridCol w:w="1398"/>
        <w:gridCol w:w="14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investment in leases,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(benefit)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Losses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670" w:type="dxa"/>
        <w:jc w:val="center"/>
        <w:tblInd w:w="0" w:type="dxa"/>
        <w:tblLayout w:type="fixed"/>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270,922,719 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4,508,954 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($0.76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271,500,584 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4,497,817 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 $0.76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271,500,584 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370,614 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4,504,925 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670" w:type="dxa"/>
        <w:jc w:val="center"/>
        <w:tblInd w:w="0" w:type="dxa"/>
        <w:tblLayout w:type="fixed"/>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260,727,030 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($0.97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262,355,725 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352,964 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4,118,191 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284,453 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 $0.72 per common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160,137 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262,640,178 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351,962 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4,102,874 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614"/>
        <w:gridCol w:w="2287"/>
        <w:gridCol w:w="2312"/>
        <w:gridCol w:w="109"/>
        <w:gridCol w:w="109"/>
        <w:gridCol w:w="109"/>
        <w:gridCol w:w="211"/>
        <w:gridCol w:w="826"/>
        <w:gridCol w:w="109"/>
        <w:gridCol w:w="109"/>
        <w:gridCol w:w="109"/>
        <w:gridCol w:w="109"/>
        <w:gridCol w:w="211"/>
        <w:gridCol w:w="826"/>
        <w:gridCol w:w="155"/>
      </w:tblGrid>
      <w:tr>
        <w:trPr/>
        <w:tc>
          <w:tcPr>
            <w:tcW w:w="261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held to maturity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 and tenant improvement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Losses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project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contingent consideration from previous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of real estate,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Originations of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Acquisition of held to maturity investment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(445,877)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shares withheld for tax purposes on restricted stock award vestings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paid on senior unsecured note redemption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and Note 14 for supplemental cash flow information and noncash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Business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 ("</w:t>
      </w:r>
      <w:r>
        <w:rPr>
          <w:rFonts w:ascii="Times New Roman;sans-serif" w:hAnsi="Times New Roman;sans-serif"/>
          <w:b w:val="false"/>
          <w:color w:val="000000"/>
          <w:sz w:val="20"/>
        </w:rPr>
        <w:t>ASC 505"</w:t>
      </w:r>
      <w:r>
        <w:rPr>
          <w:rFonts w:ascii="Times New Roman;sans-serif" w:hAnsi="Times New Roman;sans-serif"/>
          <w:b w:val="false"/>
          <w:i/>
          <w:color w:val="000000"/>
          <w:sz w:val="20"/>
        </w:rPr>
        <w: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to Bally's.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There were 8,087,630 OP Units outstanding as of June 30,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business consists of acquiring, financing, and owning real estate property to be leased to gaming operators in triple-net lease arrangements. As of June 30, 2024, GLPI’s portfolio consisted of interests in 65 gaming and related facilities, including the real property associated with 34 gaming and related facilities operated by PENN, the real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6 gaming and related facilities operated by Caesars Entertainment Inc. (NASDAQ: CZR) ("Caesars"), the real property associated with 4 gaming and related facilities operated by Boyd Gaming Corporation (NYSE: BYD) ("Boyd"), the real property associated with 9 gaming and related facilities operated by Bally's, the real property associated with 3 gaming and related facilities operated by Cordish, the real property associated with 4 gaming and related facilities operated by Casino Queen, 1 gaming facility under construction that upon opening is intended to be managed by a subsidiary of Hard Rock International ("Hard Rock"), 3 gaming and related facilities operated by Strategic Gaming Management, LLC ("Strategic") and 1 gaming and related facility operated by American Racing. These facilities, including our corporate headquarters building, are geographically diversified across 20 states and contain approximately 29.3 million square feet. As of June 30, 2024, the Company's properties were 100% occupied. GLPI expects to continue growing its portfolio by pursuing opportunities to acquire additional gaming facilities to lease to gaming operators under prudent terms.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extending to October 31, 2048.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PENN 2023 Master Lease.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 extending to October 31, 2048.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Belle")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The Belle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November 13, 2023, the Company and Caesars amended and restated the Second Amended and Restated Caesars Master Lease (as amended and restated, the "Third Amended and Restated Caesars Master Lease") in connection with Caesars selling its interest in The Belle to Casino Queen with no change in rent obligation to the Company.</w:t>
      </w:r>
      <w:r>
        <w:rPr>
          <w:color w:val="000000"/>
        </w:rPr>
        <w:t xml:space="preserve">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an affiliate of Caesars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"Horseshoe St. Louis Lease") the initial term of which expires on October 31, 2033, with four separate renewal options of five years each, exercisable at the tenant's option. The Horseshoe St. Louis Lease was amended on December 1, 2021 to adjust the rent terms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the acquisitions of the real estate assets of Bally's Black Hawk and Bally's Quad Cities on April 1, 2022 and Bally's Biloxi and Bally's Tiverton on January 3, 2023. The existing Bally's Master Lease was amended to add these properties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$735.0 million, which has been reduced from $771.0 million and additional rent of $58.8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(the "Third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2024, the Company announced that it has agreed to fund and oversee a landside move and hotel renovation of The Belle for Casino Queen. GLPI has committed to provide up to approximately $111 million of funding for the project ($7.0 million of which has been funded as of June 30, 2024), which is expected to be completed by September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will continue to operate for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The annual rent for both leases has a 1.75% fixed yearly escalator on the entirety of rent commencing on the leases' second anniversary.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a subsidiary of Hard Rock, from an affiliate of 815 Entertainment, LLC ("815 Entertainment") for $100.0 million. Simultaneously with the land acquisition, an affiliate of GLPI entered into a ground lease with 815 Entertainment for a 99 year term. The initial annual rent for the ground lease is $8.0 million, subject to fixed 2% annual escalation beginning with the lease's first anniversary and for the entirety of its term (the "Rockford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("Hard Rock Casino Rockford") , which is expected in late August 2024. The Rockford Loan advances are subject to typical construction lending terms and conditions. As of June 30, 2024, $93 million was advanced and outstanding under the Rockford Loan. Additionally, the Company also received a right of first refusal on the building improvements of the Hard Rock Casino Rockford if there is a future decision to sell them once completed.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Tioga Downs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acquired the real estate assets of Tioga Downs in Nichols, NY from American Racing for $175.0 million. Simultaneous with the acquisition, an affiliate of GLPI and American Racing entered into a triple-net lease agreement for an initial 30 year term followed by two renewal options of 10 years each and a third renewal option of approximately 12 years and ten months. The initial annual rent is $14.5 million and is subject to annual fixed escalations of 1.75% beginning with the first anniversary which increases to 2% beginning in year fifteen of the lease through the remainder of its initial term (the "Tioga Downs Lease").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Gaming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16, 2024, the Company acquired the real estate assets of Silverado Franklin Hotel &amp; Gaming Complex ("Silverado"), the Deadwood Mountain Grand ("DMG") casino, and Baldini's Casino ("Baldini's") for $105 million, plus an additional $5 million that was funded at closing to reimburse Strategic for capital improvements. Simultaneous with the acquisition, GLPI and affiliates of Strategic entered into two cross-defaulted triple-net lease agreements, each for an initial 25-year term with two ten-year renewal periods. The initial aggregate annual cash rent for the new leases is $9.2 million and is subject to a fixed 2.0% annual escalation beginning in year three of the lease and a CPI-based annual escalation beginning in year 11 of the lease, at the greater of 2% or CPI capped at 2.5% (the "Strategic Gaming Leases").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transaction, the Company also secured a right of first refusal on the real estate related to future acquisitions until Strategic's adjusted EBITDAR related to GLPI's owned assets reaches $40 million annualized.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pPr>
      <w:r>
        <w:rPr>
          <w:rFonts w:ascii="Times New Roman;sans-serif" w:hAnsi="Times New Roman;sans-serif"/>
          <w:b/>
          <w:color w:val="000000"/>
          <w:sz w:val="20"/>
        </w:rPr>
        <w:t>2.    Basis of Presentation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six months ended June 30, 2024 are not necessarily indicative of the results that may be expected for the year ending December 31, 2024. The consolidated financial statements contained in our Annual Report on Form 10-K for the year ended December 31, 2023 (the "Annual Report") should be read in conjunction with these condensed consolidated financial statements. The December 31, 2023 financial information has been derived from the Company’s audited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other that what is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Held to maturity investment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the Company purchased zero coupon United States Treasury Bills which upon maturity in August 2024, will total $350 million. The Company has classified these debt securities as held to maturity in accordance with ASC 320, Investments-Debt Securities since these are fixed income investments that the Company has the intent and ability to hold until maturity. The securities are recorded at amortized cost on the balance sheet which approximated its fair value at June 30, 2024.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Investment in leases, financing receivables, net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leases are recorded as an Investment in leases, financing receivables, net, as the sale lease back transactions were accounted for as failed sale leasebacks due to the leases' significant initial lease terms. The following is a summary of the balances of the Company's Investment in leases, financing receivables, net.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7823" w:type="dxa"/>
        <w:jc w:val="left"/>
        <w:tblInd w:w="0" w:type="dxa"/>
        <w:tblLayout w:type="fixed"/>
        <w:tblCellMar>
          <w:top w:w="28" w:type="dxa"/>
          <w:left w:w="28" w:type="dxa"/>
          <w:bottom w:w="28" w:type="dxa"/>
          <w:right w:w="28" w:type="dxa"/>
        </w:tblCellMar>
      </w:tblPr>
      <w:tblGrid>
        <w:gridCol w:w="1760"/>
        <w:gridCol w:w="1547"/>
        <w:gridCol w:w="1552"/>
        <w:gridCol w:w="211"/>
        <w:gridCol w:w="976"/>
        <w:gridCol w:w="109"/>
        <w:gridCol w:w="109"/>
        <w:gridCol w:w="109"/>
        <w:gridCol w:w="109"/>
        <w:gridCol w:w="211"/>
        <w:gridCol w:w="97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lease payments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residual values of lease property (unguaranteed)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 financing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present value of the net investment in the lease payment receivable and unguaranteed residual value at June 30, 2024 was $2,278.9 million and $74.0 million compared to $1,991.4 million and $54.2 million at December 31, 2023. </w:t>
      </w:r>
    </w:p>
    <w:p>
      <w:pPr>
        <w:pStyle w:val="TextBody"/>
        <w:bidi w:val="0"/>
        <w:spacing w:before="160" w:after="283"/>
        <w:ind w:left="0" w:right="0" w:firstLine="720"/>
        <w:jc w:val="left"/>
        <w:rPr/>
      </w:pPr>
      <w:r>
        <w:rPr/>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minimum lease payments owed to us for each of the five succeeding years under the Company's financing receivables were as follows (in thousands):</w:t>
      </w:r>
    </w:p>
    <w:tbl>
      <w:tblPr>
        <w:tblW w:w="4695" w:type="dxa"/>
        <w:jc w:val="left"/>
        <w:tblInd w:w="0" w:type="dxa"/>
        <w:tblLayout w:type="fixed"/>
        <w:tblCellMar>
          <w:top w:w="28" w:type="dxa"/>
          <w:left w:w="28" w:type="dxa"/>
          <w:bottom w:w="28" w:type="dxa"/>
          <w:right w:w="28" w:type="dxa"/>
        </w:tblCellMar>
      </w:tblPr>
      <w:tblGrid>
        <w:gridCol w:w="766"/>
        <w:gridCol w:w="673"/>
        <w:gridCol w:w="676"/>
        <w:gridCol w:w="406"/>
        <w:gridCol w:w="1878"/>
        <w:gridCol w:w="29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Future Minimum Lease Payments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166,917 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172,851 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9,133,270 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9,887,845 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ASC 326 “Credit Losses”, which requires that the Company measure and record current expected credit losses (“CECL”), the scope of which includes our Investment in leases, financing receivables,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 data to estimate losses as the Company has no loss history to date on its lease portfolio. Our tenants were current on all of their rental obligations as of June 30, 2024 and December 31, 2023.</w:t>
      </w:r>
    </w:p>
    <w:p>
      <w:pPr>
        <w:pStyle w:val="TextBody"/>
        <w:bidi w:val="0"/>
        <w:spacing w:before="160" w:after="1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financing receivables is illustrated below (in thousands):</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783"/>
        <w:gridCol w:w="526"/>
        <w:gridCol w:w="530"/>
        <w:gridCol w:w="340"/>
        <w:gridCol w:w="1164"/>
        <w:gridCol w:w="175"/>
        <w:gridCol w:w="278"/>
        <w:gridCol w:w="952"/>
        <w:gridCol w:w="143"/>
        <w:gridCol w:w="370"/>
        <w:gridCol w:w="1266"/>
        <w:gridCol w:w="191"/>
        <w:gridCol w:w="282"/>
        <w:gridCol w:w="915"/>
        <w:gridCol w:w="145"/>
        <w:gridCol w:w="357"/>
        <w:gridCol w:w="1221"/>
        <w:gridCol w:w="184"/>
        <w:gridCol w:w="109"/>
        <w:gridCol w:w="109"/>
        <w:gridCol w:w="165"/>
      </w:tblGrid>
      <w:tr>
        <w:trPr/>
        <w:tc>
          <w:tcPr>
            <w:tcW w:w="7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Allowance</w:t>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 at March 31, 2024</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Allowance</w:t>
            </w:r>
          </w:p>
        </w:tc>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Lease</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Tioga Downs Lease</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Gaming Leases</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97"/>
        <w:gridCol w:w="549"/>
        <w:gridCol w:w="552"/>
        <w:gridCol w:w="353"/>
        <w:gridCol w:w="1206"/>
        <w:gridCol w:w="182"/>
        <w:gridCol w:w="289"/>
        <w:gridCol w:w="938"/>
        <w:gridCol w:w="149"/>
        <w:gridCol w:w="385"/>
        <w:gridCol w:w="1318"/>
        <w:gridCol w:w="198"/>
        <w:gridCol w:w="285"/>
        <w:gridCol w:w="974"/>
        <w:gridCol w:w="147"/>
        <w:gridCol w:w="364"/>
        <w:gridCol w:w="1246"/>
        <w:gridCol w:w="273"/>
      </w:tblGrid>
      <w:tr>
        <w:trPr/>
        <w:tc>
          <w:tcPr>
            <w:tcW w:w="79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Allowance</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 at March 31, 2023</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Allowance</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 at June 30, 2023</w:t>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41,523 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the Company's investment in leases, financing receivables by year of origination is shown below as of June 30, 2024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65"/>
        <w:gridCol w:w="408"/>
        <w:gridCol w:w="411"/>
        <w:gridCol w:w="109"/>
        <w:gridCol w:w="353"/>
        <w:gridCol w:w="1636"/>
        <w:gridCol w:w="182"/>
        <w:gridCol w:w="297"/>
        <w:gridCol w:w="1084"/>
        <w:gridCol w:w="153"/>
        <w:gridCol w:w="329"/>
        <w:gridCol w:w="1524"/>
        <w:gridCol w:w="170"/>
        <w:gridCol w:w="109"/>
        <w:gridCol w:w="109"/>
        <w:gridCol w:w="109"/>
        <w:gridCol w:w="590"/>
        <w:gridCol w:w="551"/>
        <w:gridCol w:w="1616"/>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in leases, financing receivables</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Amortized cost basis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as a percentage of outstanding financing receivable</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2,352,874 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2,312,021 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the Company recorded a benefit for credit losses, net and a provision for credit losses, net of $3.8 million and $19.5 million , respectively (inclusive of the reserve for real estate loans and reserves on the unfunded loan commitment, see Note 5 for details). The benefit in the three month period ended June 30, 2024 was due to probability weighting changes in economic forecast scenarios that we utilize from a third party. The provision for the six months ended June 30, 2024 was primarily due to a decline in the estimated real estate values underlying the Company's Investment in leases, financing receivables and, to a lesser extent, the Company's real estate loans and related loan commitment. These values are estimated based on the actual and long term projections of the Commercial Real Estate Price Index which, as of June 30, 2024 have declined relative to December 31, 2023. Commercial real estate prices are anticipated to remain at low levels for several quarters based on the third party economic forecast the Company utilizes to calculate its reserve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the Company recorded a provision for credit losses, net of $28.1 million and $22.4 million, respectively. The significant provision for credit losses recorded for the three months ended June 30, 2023 was the result of a decline in the estimated real estate values underlying the Company's Investment in leases, financing receivables. These values are estimated based on long term projections of the Commercial Real Estate Price Index which, as of June 30, 2023, declined and were anticipated to remain at depressed levels for several quarters based on the third party economic forecast the Company utilizes to calculate its reserve for credit losses.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reason for differences in the allowance as a percentage of outstanding financing receivable for leases originated in each calendar year in the table above depends on various factors for the leases such as expected rent coverage ratios and loan to value ratios. 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Real Estate Investments, Net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 represent investments in rental properties and the corporate headquarters building (excluding our investments in transactions accounted for as real estate loans and investment in leases, financing receivables that are described in Notes 5 and 3, respectively) and is summarized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tbl>
      <w:tblPr>
        <w:tblW w:w="5588" w:type="dxa"/>
        <w:jc w:val="left"/>
        <w:tblInd w:w="0" w:type="dxa"/>
        <w:tblLayout w:type="fixed"/>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primarily represents development funding on The Belle. See Note 1 for details on this project.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e22a83b3625491c8243207fddcbf680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Real estate loans,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 the Company entered into the Rockford Loan during 2023 and $93 million of the $150 million commitment was drawn as of June 30, 2024. The Rockford Loan has a 10% interest rate and a maximum outstanding period of up to 6 years (5-year initial term with a 1-year extension). The following is a summary of the balances of the Company's Real estate loans, net.</w:t>
      </w:r>
    </w:p>
    <w:p>
      <w:pPr>
        <w:pStyle w:val="TextBody"/>
        <w:bidi w:val="0"/>
        <w:spacing w:before="0" w:after="0"/>
        <w:ind w:left="0" w:right="0" w:firstLine="720"/>
        <w:jc w:val="left"/>
        <w:rPr/>
      </w:pPr>
      <w:r>
        <w:rPr/>
      </w:r>
    </w:p>
    <w:tbl>
      <w:tblPr>
        <w:tblW w:w="5267" w:type="dxa"/>
        <w:jc w:val="left"/>
        <w:tblInd w:w="0" w:type="dxa"/>
        <w:tblLayout w:type="fixed"/>
        <w:tblCellMar>
          <w:top w:w="28" w:type="dxa"/>
          <w:left w:w="28" w:type="dxa"/>
          <w:bottom w:w="28" w:type="dxa"/>
          <w:right w:w="28" w:type="dxa"/>
        </w:tblCellMar>
      </w:tblPr>
      <w:tblGrid>
        <w:gridCol w:w="999"/>
        <w:gridCol w:w="876"/>
        <w:gridCol w:w="885"/>
        <w:gridCol w:w="211"/>
        <w:gridCol w:w="721"/>
        <w:gridCol w:w="109"/>
        <w:gridCol w:w="109"/>
        <w:gridCol w:w="109"/>
        <w:gridCol w:w="109"/>
        <w:gridCol w:w="221"/>
        <w:gridCol w:w="757"/>
        <w:gridCol w:w="161"/>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Real estate loans is shown below (in thousands):</w:t>
      </w:r>
    </w:p>
    <w:p>
      <w:pPr>
        <w:pStyle w:val="TextBody"/>
        <w:bidi w:val="0"/>
        <w:spacing w:before="0" w:after="0"/>
        <w:ind w:left="0" w:right="0" w:firstLine="720"/>
        <w:jc w:val="left"/>
        <w:rPr/>
      </w:pPr>
      <w:r>
        <w:rPr/>
      </w:r>
    </w:p>
    <w:tbl>
      <w:tblPr>
        <w:tblW w:w="4318" w:type="dxa"/>
        <w:jc w:val="left"/>
        <w:tblInd w:w="0" w:type="dxa"/>
        <w:tblLayout w:type="fixed"/>
        <w:tblCellMar>
          <w:top w:w="28" w:type="dxa"/>
          <w:left w:w="28" w:type="dxa"/>
          <w:bottom w:w="28" w:type="dxa"/>
          <w:right w:w="28" w:type="dxa"/>
        </w:tblCellMar>
      </w:tblPr>
      <w:tblGrid>
        <w:gridCol w:w="1042"/>
        <w:gridCol w:w="916"/>
        <w:gridCol w:w="921"/>
        <w:gridCol w:w="287"/>
        <w:gridCol w:w="942"/>
        <w:gridCol w:w="210"/>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Rockford Loan</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March 31,2024</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June 30, 2024</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Rockford Loan is subject to CECL, which is described in Note 3. The Company recorded provision for credit losses of $0.9 million and $1.7 million for the three month and six months ended June 30, 2024 on the Rockford Loan. Additionally, the Company recorded a benefit of $1.4 million and $1.0 million during the three month and six month period ended June 30, 2024 on the unfunded loan commitment for the Rockford Loan. The reserve for the unfunded loan commitment was recorded in other liabilities on the Condensed Consolidated Balance Sheets and totaled $1.6 million at June 30, 2024. The borrower is current on its loan obligation as of June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Lease Assets and Lease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Land rights, net represent the Company's rights to land subject to long-term ground leases.</w:t>
      </w:r>
      <w:r>
        <w:rPr>
          <w:color w:val="000000"/>
        </w:rPr>
        <w:t xml:space="preserve"> </w:t>
      </w:r>
      <w:r>
        <w:rPr>
          <w:rFonts w:ascii="Times New Roman;sans-serif" w:hAnsi="Times New Roman;sans-serif"/>
          <w:b w:val="false"/>
          <w:color w:val="000000"/>
          <w:sz w:val="20"/>
        </w:rPr>
        <w:t xml:space="preserve">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acquired ground leases, the Company concluded that the ground leases were below market and were therefore required to be recorded as a definite lived asset (land rights) on its books.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Company's right-of use assets and land rights, net are detailed below (in thousands):</w:t>
      </w:r>
    </w:p>
    <w:tbl>
      <w:tblPr>
        <w:tblW w:w="6272" w:type="dxa"/>
        <w:jc w:val="left"/>
        <w:tblInd w:w="0" w:type="dxa"/>
        <w:tblLayout w:type="fixed"/>
        <w:tblCellMar>
          <w:top w:w="28" w:type="dxa"/>
          <w:left w:w="28" w:type="dxa"/>
          <w:bottom w:w="28" w:type="dxa"/>
          <w:right w:w="28" w:type="dxa"/>
        </w:tblCellMar>
      </w:tblPr>
      <w:tblGrid>
        <w:gridCol w:w="1178"/>
        <w:gridCol w:w="1035"/>
        <w:gridCol w:w="1042"/>
        <w:gridCol w:w="211"/>
        <w:gridCol w:w="826"/>
        <w:gridCol w:w="109"/>
        <w:gridCol w:w="109"/>
        <w:gridCol w:w="109"/>
        <w:gridCol w:w="109"/>
        <w:gridCol w:w="273"/>
        <w:gridCol w:w="1072"/>
        <w:gridCol w:w="199"/>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Right-of use assets - operating leases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835,524 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Land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land rights are amortized over the individual lease term of the related ground lease, including all renewal options, which ranged from 20 years to 92 years at their respective acquisition dates. Land rights net, consist of the following:</w:t>
      </w:r>
    </w:p>
    <w:tbl>
      <w:tblPr>
        <w:tblW w:w="5349" w:type="dxa"/>
        <w:jc w:val="left"/>
        <w:tblInd w:w="0" w:type="dxa"/>
        <w:tblLayout w:type="fixed"/>
        <w:tblCellMar>
          <w:top w:w="28" w:type="dxa"/>
          <w:left w:w="28" w:type="dxa"/>
          <w:bottom w:w="28" w:type="dxa"/>
          <w:right w:w="28" w:type="dxa"/>
        </w:tblCellMar>
      </w:tblPr>
      <w:tblGrid>
        <w:gridCol w:w="971"/>
        <w:gridCol w:w="850"/>
        <w:gridCol w:w="864"/>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Land rights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estimated future amortization expense related to the Company’s land rights by fiscal year is as follows (in thousands):</w:t>
      </w:r>
    </w:p>
    <w:tbl>
      <w:tblPr>
        <w:tblW w:w="3305" w:type="dxa"/>
        <w:jc w:val="center"/>
        <w:tblInd w:w="0" w:type="dxa"/>
        <w:tblLayout w:type="fixed"/>
        <w:tblCellMar>
          <w:top w:w="28" w:type="dxa"/>
          <w:left w:w="28" w:type="dxa"/>
          <w:bottom w:w="28" w:type="dxa"/>
          <w:right w:w="28" w:type="dxa"/>
        </w:tblCellMar>
      </w:tblPr>
      <w:tblGrid>
        <w:gridCol w:w="766"/>
        <w:gridCol w:w="672"/>
        <w:gridCol w:w="676"/>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payments under the Company's operating lease liabilities were as follows (in thousands):</w:t>
      </w:r>
    </w:p>
    <w:tbl>
      <w:tblPr>
        <w:tblW w:w="3920" w:type="dxa"/>
        <w:jc w:val="center"/>
        <w:tblInd w:w="0" w:type="dxa"/>
        <w:tblLayout w:type="fixed"/>
        <w:tblCellMar>
          <w:top w:w="28" w:type="dxa"/>
          <w:left w:w="28" w:type="dxa"/>
          <w:bottom w:w="28" w:type="dxa"/>
          <w:right w:w="28" w:type="dxa"/>
        </w:tblCellMar>
      </w:tblPr>
      <w:tblGrid>
        <w:gridCol w:w="986"/>
        <w:gridCol w:w="870"/>
        <w:gridCol w:w="873"/>
        <w:gridCol w:w="211"/>
        <w:gridCol w:w="82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value of lease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Lease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determinable at lease commencement, while short-term lease costs are costs for those operating leases with a term of 12 months or less.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7982" w:type="dxa"/>
        <w:jc w:val="center"/>
        <w:tblInd w:w="0" w:type="dxa"/>
        <w:tblLayout w:type="fixed"/>
        <w:tblCellMar>
          <w:top w:w="28" w:type="dxa"/>
          <w:left w:w="28" w:type="dxa"/>
          <w:bottom w:w="28" w:type="dxa"/>
          <w:right w:w="28" w:type="dxa"/>
        </w:tblCellMar>
      </w:tblPr>
      <w:tblGrid>
        <w:gridCol w:w="998"/>
        <w:gridCol w:w="877"/>
        <w:gridCol w:w="884"/>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cost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the land right intangibles, as well as variable lease costs and the Company's operating lease costs are recorded within land rights and ground lease expense in the condensed consolidated statements of income.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Disclosures Related to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operating leases was as follows:</w:t>
      </w:r>
    </w:p>
    <w:tbl>
      <w:tblPr>
        <w:tblW w:w="5940" w:type="dxa"/>
        <w:jc w:val="center"/>
        <w:tblInd w:w="0" w:type="dxa"/>
        <w:tblLayout w:type="fixed"/>
        <w:tblCellMar>
          <w:top w:w="28" w:type="dxa"/>
          <w:left w:w="28" w:type="dxa"/>
          <w:bottom w:w="28" w:type="dxa"/>
          <w:right w:w="28" w:type="dxa"/>
        </w:tblCellMar>
      </w:tblPr>
      <w:tblGrid>
        <w:gridCol w:w="1726"/>
        <w:gridCol w:w="1517"/>
        <w:gridCol w:w="1527"/>
        <w:gridCol w:w="342"/>
        <w:gridCol w:w="342"/>
        <w:gridCol w:w="486"/>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w:t>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50.37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operating leases was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008"/>
        <w:gridCol w:w="1760"/>
        <w:gridCol w:w="1770"/>
        <w:gridCol w:w="248"/>
        <w:gridCol w:w="549"/>
        <w:gridCol w:w="128"/>
        <w:gridCol w:w="128"/>
        <w:gridCol w:w="128"/>
        <w:gridCol w:w="128"/>
        <w:gridCol w:w="248"/>
        <w:gridCol w:w="549"/>
        <w:gridCol w:w="128"/>
        <w:gridCol w:w="109"/>
        <w:gridCol w:w="109"/>
        <w:gridCol w:w="109"/>
        <w:gridCol w:w="227"/>
        <w:gridCol w:w="504"/>
        <w:gridCol w:w="117"/>
        <w:gridCol w:w="117"/>
        <w:gridCol w:w="117"/>
        <w:gridCol w:w="117"/>
        <w:gridCol w:w="227"/>
        <w:gridCol w:w="504"/>
        <w:gridCol w:w="176"/>
      </w:tblGrid>
      <w:tr>
        <w:trPr/>
        <w:tc>
          <w:tcPr>
            <w:tcW w:w="200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Operating cash flows from operating leases </w:t>
            </w:r>
            <w:r>
              <w:rPr>
                <w:rFonts w:ascii="Times New Roman;sans-serif" w:hAnsi="Times New Roman;sans-serif"/>
                <w:b w:val="false"/>
                <w:color w:val="000000"/>
                <w:sz w:val="13"/>
              </w:rPr>
              <w:t>(1)</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Financing Lease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certain real property assets included in the Maryland Live! Lease and the Strategic Gaming Leases, the Company acquired the rights to land subject to a long-term ground lease which expire in June 2111 and April 2062, respectively. As these leases were accounted for as Investment in leases, financing receivables, the underlying ground leases were accounted for as financing lease obligations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5.14% to arrive at the initial lease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payments under the Company's financing lease liabilities were as follows (in thousands):</w:t>
      </w:r>
    </w:p>
    <w:p>
      <w:pPr>
        <w:pStyle w:val="TextBody"/>
        <w:bidi w:val="0"/>
        <w:spacing w:before="0" w:after="0"/>
        <w:ind w:left="0" w:right="0" w:firstLine="720"/>
        <w:jc w:val="left"/>
        <w:rPr/>
      </w:pPr>
      <w:r>
        <w:rPr/>
      </w:r>
    </w:p>
    <w:tbl>
      <w:tblPr>
        <w:tblW w:w="4520" w:type="dxa"/>
        <w:jc w:val="left"/>
        <w:tblInd w:w="0" w:type="dxa"/>
        <w:tblLayout w:type="fixed"/>
        <w:tblCellMar>
          <w:top w:w="28" w:type="dxa"/>
          <w:left w:w="28" w:type="dxa"/>
          <w:bottom w:w="28" w:type="dxa"/>
          <w:right w:w="28" w:type="dxa"/>
        </w:tblCellMar>
      </w:tblPr>
      <w:tblGrid>
        <w:gridCol w:w="1206"/>
        <w:gridCol w:w="1058"/>
        <w:gridCol w:w="1065"/>
        <w:gridCol w:w="211"/>
        <w:gridCol w:w="82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finance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is as follows:</w:t>
      </w: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9"/>
        <w:gridCol w:w="2307"/>
        <w:gridCol w:w="2314"/>
        <w:gridCol w:w="211"/>
        <w:gridCol w:w="976"/>
        <w:gridCol w:w="109"/>
        <w:gridCol w:w="109"/>
        <w:gridCol w:w="109"/>
        <w:gridCol w:w="109"/>
        <w:gridCol w:w="211"/>
        <w:gridCol w:w="976"/>
        <w:gridCol w:w="155"/>
      </w:tblGrid>
      <w:tr>
        <w:trPr/>
        <w:tc>
          <w:tcPr>
            <w:tcW w:w="261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Unsecured $1,750 million revolver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Credit Facility due September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3.350% senior unsecured notes due September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$850 million 5.250% senior unsecured notes due June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$975 million 5.375% senior unsecured notes due April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5.750% senior unsecured notes due June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$750 million 5.300% senior unsecured notes due January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$800 million 3.250% senior unsecured notes due January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6.750% senior unsecured notes due December 2033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6,675,434 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bond premiums and original issuance discounts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future minimum repayments of long-term debt as of June 30, 2024 (in thousands):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color w:val="000000"/>
        </w:rPr>
      </w:pPr>
      <w:r>
        <w:rPr>
          <w:color w:val="000000"/>
        </w:rPr>
        <w:t> </w:t>
      </w:r>
    </w:p>
    <w:tbl>
      <w:tblPr>
        <w:tblW w:w="3546" w:type="dxa"/>
        <w:jc w:val="center"/>
        <w:tblInd w:w="0" w:type="dxa"/>
        <w:tblLayout w:type="fixed"/>
        <w:tblCellMar>
          <w:top w:w="28" w:type="dxa"/>
          <w:left w:w="28" w:type="dxa"/>
          <w:bottom w:w="28" w:type="dxa"/>
          <w:right w:w="28" w:type="dxa"/>
        </w:tblCellMar>
      </w:tblPr>
      <w:tblGrid>
        <w:gridCol w:w="799"/>
        <w:gridCol w:w="701"/>
        <w:gridCol w:w="705"/>
        <w:gridCol w:w="211"/>
        <w:gridCol w:w="97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 to $60 million of transaction fees and costs incurred in connection with the Acquisition. There is currently no commitment in respect of such incremental loans and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June 30, 2024 was 6.73%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June 30, 2024, the Company was in compliance with all required financial covenants under the Term Loan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is guaranteed by GLPI.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no amounts were outstanding under the Amended Credit Agreement. Additionally, at June 30, 2024, the Company was contingently obligated under letters of credit issued pursuant to the Amended Credit Agreement with face amounts aggregating approximately $0.4 million, resulting in $1,749.6 million of available borrowing capacity under the Amended Credit Agreement as of June 30,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June 30, 2024, the Company was in compliance with all required financial covenants under the Amended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had $6,075.0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 right of payment with all of the Issuers' senior indebtedness, including the Amended Credit Agreement, and senior in right of payment to all of the Issuers' subordinated indebtedness, without giving effect to collateral arrangements.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was in compliance with all required financial covenants under its Senior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Fair Value of 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Observable inputs such as quoted prices in active markets for identical assets or liabilities.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that reflect the reporting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are used to estimate the fair value of each class of financial instruments for which it is practicable to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and cash equivalents approximates the carrying value of the Company’s cash and cash equivalents, due to the short maturity of the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 held to maturity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in February 2024, the Company purchased U.S. Treasury Bills that will mature in August 2024. The fair value of the investment (which approximated its carrying value) is disclosed below and is based on quoted prices in active markets and as such is a Level 1 measurement as defined in ASC 820.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leases, financing receivables,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investment in leases, financing receivables, net is based on the estimated value of the underlying real estate property the Company owns related to the applicable leases. The initial fair value was the price paid by the Company to acquire the real estate. This value is then adjusted for changes in the commercial real estate price index and as such is a Level 3 measurement as defined under ASC 820.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Compensation Plan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Loans, net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loans bear interest at a fixed rate. The fair value disclosed in the table below is estimated based on the present value of the loans' future cash flows using a discounted cash flow analysis. The fair value of the loans is subject to fluctuations from changes in market interest rates at each reporting period and the fair value measurement is considered a Level 3 measurement as defined in ASC 820.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Senior Notes are estimated based on quoted prices in active markets and as such is a Level 1 measurement as defined under ASC 820. The fair value of the obligations in our Amended Credit Agreement and Term Loan Credit Facility is based on indicative pricing from market information (Level 2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Company’s financial instruments are as follows (in thousands):</w:t>
      </w:r>
    </w:p>
    <w:tbl>
      <w:tblPr>
        <w:tblW w:w="10205" w:type="dxa"/>
        <w:jc w:val="left"/>
        <w:tblInd w:w="0" w:type="dxa"/>
        <w:tblLayout w:type="fixed"/>
        <w:tblCellMar>
          <w:top w:w="28" w:type="dxa"/>
          <w:left w:w="28" w:type="dxa"/>
          <w:bottom w:w="28" w:type="dxa"/>
          <w:right w:w="28" w:type="dxa"/>
        </w:tblCellMar>
      </w:tblPr>
      <w:tblGrid>
        <w:gridCol w:w="1719"/>
        <w:gridCol w:w="1495"/>
        <w:gridCol w:w="1502"/>
        <w:gridCol w:w="220"/>
        <w:gridCol w:w="756"/>
        <w:gridCol w:w="109"/>
        <w:gridCol w:w="109"/>
        <w:gridCol w:w="109"/>
        <w:gridCol w:w="109"/>
        <w:gridCol w:w="220"/>
        <w:gridCol w:w="756"/>
        <w:gridCol w:w="109"/>
        <w:gridCol w:w="109"/>
        <w:gridCol w:w="109"/>
        <w:gridCol w:w="109"/>
        <w:gridCol w:w="211"/>
        <w:gridCol w:w="826"/>
        <w:gridCol w:w="109"/>
        <w:gridCol w:w="109"/>
        <w:gridCol w:w="109"/>
        <w:gridCol w:w="109"/>
        <w:gridCol w:w="211"/>
        <w:gridCol w:w="826"/>
        <w:gridCol w:w="155"/>
      </w:tblGrid>
      <w:tr>
        <w:trPr/>
        <w:tc>
          <w:tcPr>
            <w:tcW w:w="171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 to maturity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Credit Agreement and Term Loan Credit Facility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5,816,919 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assets or liabilities measured at fair value on a nonrecurring basis during the six months ended June 30, 2024 and 2023.</w:t>
      </w:r>
    </w:p>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Funding commitments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agreed to a funding mechanism to support PENN's pursuit of relocation and development opportunities at several of the properties included in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the construction of a second hotel tower at the M Resort Spa Casino at then current market rates. The funding commitment expires on January 1, 2026.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for a discussion on the potential future funding commitments the Company may have in connection with the possible future transaction with Bally's and the Athletics at the Tropicana Site.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the Company has also committed to providing up to $150 million (of which $93 million was funded as of June 30, 2024) of development funding via the Rockford Loan. Any borrowings under the Rockford Loan will be subject to an interest rate of 10%. The Rockford Loan has a draw period of up to 1 year and a maximum outstanding period of up to 6 years (5-year initial term with a 1-year extension). The Rockford Loan is prepayable without penalty following the opening of the Hard Rock Casino Rockford which is expected in late August 2024. The Rockford Loan advances are subject to customary construction lending terms and conditions.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2024, the Company announced that it has agreed to fund and oversee a landside move and hotel renovation of The Belle for Casino Queen. GLPI has committed to provide up to approximately $111 million of funding for the project (of which $7 million has been funded as of June 30, 2024), which is expected to be completed by September 2025. The casino will continue to operate during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the Company has agreed and anticipates funding certain construction costs of a landside development project at Casino Queen Marquette for an amount not to exceed $12.5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Revenue Recognition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Real Estate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14 of the Company’s real estate investment properties were leased to a subsidiary of PENN under the Amended PENN Master Lease, 7 of the Company's real estate investment properties were leased to a subsidiary under the PENN 2023 Master Lease, 12 of the Company's real estate investment properties were leased to a subsidiary of PENN under the Amended Pinnacle Master Lease, 5 of the Company's real estate investment properties were leased to a subsidiary of Caesars under the Third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4 of the Company's real estate properties were leased to a subsidiary of Casino Queen under the Third Amended and Restated Casino Queen Master Lease and 3 of the Company's real estate investment properties were leased to subsidiaries of Strategic under the Strategic Gaming Leases. Additionally, the land under PENN's Hollywood Casino Morgantown is subject to the Morgantown Lease. Finally, the Company has single property triple net leases with Caesars under the Horseshoe St. Louis Lease, Boyd under the Belterra Park Lease, Cordish under the Maryland Live! Lease, Bally's under the Tropicana Las Vegas Lease, American Racing under the Tioga Downs Lease and 815 Entertainment under the Rockford Lease.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under the Amended PENN Master Lease, the PENN 2023 Master Lease and Amended Pinnacle Master Lease, as well as the Morgantown Lease, are guaranteed by PENN and, with respect to each lease, jointly and severally by PENN's subsidiaries that occupy and operate the facilities covered by such lease. Similarly, the obligations under the Third Amended and Restated Caesars Master Lease, the Horseshoe St. Louis Lease, the Third Amended and Restated Casino Queen Master Lease, the Bally's Master Lease, the Strategic Gaming Leases and the Tioga Downs Lease are each jointly and severally guaranteed by the applicable parent company and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the Pennsylvania Live! Master Lease, the Belterra Park Lease and the Rockford Lease are jointly and severally guaranteed by the subsidiaries that occupy and operate the facilities.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Rent</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five years to an amount equal to 4% of the average net revenues of all facilities under the Amended PENN Master Lease during the preceding five years in excess of a contractual baseline.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and November 13, 2023, amendments became effective to the Amended and Restated Caesars Master Lease and Second Amended and Restated Master Lease, respectively, as described more fully in Note 1. These modifications were each accounted for as a new lease which the Company concluded continued to meet the criteria for operating lease treatment. As a result, the existing deferred revenue at the time of the amendments are being recognized over the Amended and Restated Caesars Master Lease's new initial lease term, which expires in September 2038. The Company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Morgantown Lease became effective on October 1, 2020 whereby the Company is leasing the land under PENN's gaming facility and the initial rent on the opening date and on each anniversary thereafter for each of the following three lease years shall be increased by 1.5% annually (on a prorated basis for the remainder of the lease year in which the gaming facility opens), and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under the Third Amended and Restated Casino Queen Master Lease increases annually by 0.5% for lease years two through six. Beginning with the seventh lease year through the remainder of the lease term, if the CPI increases by at least 0.25% for any lease year then annual rent shall be increased by 1.25%, and if the CPI increase is less than 0.25%, rent will remain unchanged for such lease year. Additionally, the Company's landside development project at Casino Queen Baton Rouge was completed in late August 2023 and the rent was adjusted to reflect a yield of 8.25% on GLPI's project costs of $77 million. The Company also acquired the land and certain improvements at Casino Queen Marquette for $32.72 million as of September 6, 2023. The annual rent on the Third Amended and Restated Casino Queen Master Lease was increased by $2.7 million for this acquisition. Additionally, the Company anticipates funding certain construction costs for an amount not to exceed $12.5 million, for a landside development project at Casino Queen Marquette.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Bally's Master Lease became effective on June 3, 2021 and rent is subject to contractual escalations based on the CPI, with a 1% floor and a 2% ceiling, subject to the CPI meeting a 0.5% threshold. The Company completed the acquisitions of the real estate assets of Bally's Biloxi and Bally's Tiverton on January 3, 2023 and Bally's Black Hawk and Bally's Quad Cities on April 1, 2022. The existing Bally's Master Lease was amended to add these properties with annual rent increases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2021, the Maryland Live! Lease with Cordish became effective, with annual rent increasing by 1.75% upon the second anniversary of the lease commencement. The Pennsylvania Live! Master Lease with Cordish became effective March 1, 2022 with annual rent increasing by 1.75% upon the second anniversary of the lease commencement. These leases were accounted for as an Investment in leases, financing receivables. See Note 3 for the further information including the future annual cash payments to be received under these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development project in Rockford, IL. Simultaneously with the land acquisition, GLPI entered into the Rockford Lease which has a 99 year term and initial annual rent is subject to fixed 2% annual escalation beginning with the lease's first anniversary and for the entirety of its term.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announced it had acquired the real estate assets of Tioga Downs. Simultaneously with the acquisition, GLPI entered into the Tioga Downs Lease which has an initial lease term of 30 years and initial annual rent that is subject to annual fixed escalations of 1.75% beginning with the first anniversary which increases to 2% beginning in year fifteen of the lease through the remainder of its initial term.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16, 2024, the Company acquired the real estate assets of Silverado, DMG, and Baldini's. Simultaneous with the acquisition, GLPI and affiliates of Strategic entered into the Strategic Gaming Leases. The rent is subject to a fixed 2.0% annual escalation beginning in year three of the lease and a CPI-based annual escalation beginning in year 11 of the lease, at the greater of 2% or CPI capped at 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Company's master leases with percentage rent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the Amended Pinnacle Master Lease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went into effect at the November 1, 2023 reset.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ASC 842, the Company is required at lease inception (and if applicable at a lease reassessment date) to determine the term of the lease.</w:t>
      </w:r>
      <w:r>
        <w:rPr>
          <w:color w:val="000000"/>
        </w:rPr>
        <w:t xml:space="preserve"> </w:t>
      </w:r>
      <w:r>
        <w:rPr>
          <w:rFonts w:ascii="Times New Roman;sans-serif" w:hAnsi="Times New Roman;sans-serif"/>
          <w:b w:val="false"/>
          <w:color w:val="000000"/>
          <w:sz w:val="20"/>
        </w:rPr>
        <w:t>This requires concluding whether it is reasonably assured that our tenants will exercise their renewal options contained within the lease.</w:t>
      </w:r>
      <w:r>
        <w:rPr>
          <w:color w:val="000000"/>
        </w:rPr>
        <w:t xml:space="preserve"> </w:t>
      </w:r>
      <w:r>
        <w:rPr>
          <w:rFonts w:ascii="Times New Roman;sans-serif" w:hAnsi="Times New Roman;sans-serif"/>
          <w:b w:val="false"/>
          <w:color w:val="000000"/>
          <w:sz w:val="20"/>
        </w:rPr>
        <w:t>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Since the formation of the Company on November 1, 2013, the Company has amended or reassessed seven of its current leases.</w:t>
      </w:r>
      <w:r>
        <w:rPr>
          <w:color w:val="000000"/>
        </w:rPr>
        <w:t xml:space="preserve"> </w:t>
      </w:r>
      <w:r>
        <w:rPr>
          <w:rFonts w:ascii="Times New Roman;sans-serif" w:hAnsi="Times New Roman;sans-serif"/>
          <w:b w:val="false"/>
          <w:color w:val="000000"/>
          <w:sz w:val="20"/>
        </w:rPr>
        <w:t>All of these reassessments were the result of significant lease amendments and were completed during the initial lease terms and prior to any renewal options.</w:t>
      </w:r>
      <w:r>
        <w:rPr>
          <w:color w:val="000000"/>
        </w:rPr>
        <w:t xml:space="preserve"> </w:t>
      </w:r>
      <w:r>
        <w:rPr>
          <w:rFonts w:ascii="Times New Roman;sans-serif" w:hAnsi="Times New Roman;sans-serif"/>
          <w:b w:val="false"/>
          <w:color w:val="000000"/>
          <w:sz w:val="20"/>
        </w:rPr>
        <w:t>Additionally, Pinnacle sold its operations to PENN for fair value whose underlying real estate for the casino operations were leased from the Company.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three and six months ended June 30, 2024 was as follows (in thousands):</w:t>
      </w:r>
    </w:p>
    <w:tbl>
      <w:tblPr>
        <w:tblW w:w="8999" w:type="dxa"/>
        <w:jc w:val="center"/>
        <w:tblInd w:w="0" w:type="dxa"/>
        <w:tblLayout w:type="fixed"/>
        <w:tblCellMar>
          <w:top w:w="28" w:type="dxa"/>
          <w:left w:w="28" w:type="dxa"/>
          <w:bottom w:w="28" w:type="dxa"/>
          <w:right w:w="28" w:type="dxa"/>
        </w:tblCellMar>
      </w:tblPr>
      <w:tblGrid>
        <w:gridCol w:w="1222"/>
        <w:gridCol w:w="1072"/>
        <w:gridCol w:w="1080"/>
        <w:gridCol w:w="491"/>
        <w:gridCol w:w="1925"/>
        <w:gridCol w:w="254"/>
        <w:gridCol w:w="109"/>
        <w:gridCol w:w="109"/>
        <w:gridCol w:w="109"/>
        <w:gridCol w:w="455"/>
        <w:gridCol w:w="1784"/>
        <w:gridCol w:w="235"/>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 base rent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286,638 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569,296 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base rent</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rent and other rental revenue</w:t>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real estate loans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income</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693,161 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 rent in revenue</w:t>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from real estate</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380,626 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756,590 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720"/>
        <w:jc w:val="both"/>
        <w:rPr/>
      </w:pPr>
      <w:r>
        <w:rPr/>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future minimum rental income from the Company's rental properties under non-cancelable operating leases, including any reasonably assured renewal periods, was as follows (in thousands):</w:t>
      </w:r>
    </w:p>
    <w:tbl>
      <w:tblPr>
        <w:tblW w:w="10205" w:type="dxa"/>
        <w:jc w:val="center"/>
        <w:tblInd w:w="0" w:type="dxa"/>
        <w:tblLayout w:type="fixed"/>
        <w:tblCellMar>
          <w:top w:w="28" w:type="dxa"/>
          <w:left w:w="28" w:type="dxa"/>
          <w:bottom w:w="28" w:type="dxa"/>
          <w:right w:w="28" w:type="dxa"/>
        </w:tblCellMar>
      </w:tblPr>
      <w:tblGrid>
        <w:gridCol w:w="517"/>
        <w:gridCol w:w="454"/>
        <w:gridCol w:w="456"/>
        <w:gridCol w:w="278"/>
        <w:gridCol w:w="1427"/>
        <w:gridCol w:w="143"/>
        <w:gridCol w:w="109"/>
        <w:gridCol w:w="109"/>
        <w:gridCol w:w="109"/>
        <w:gridCol w:w="307"/>
        <w:gridCol w:w="1205"/>
        <w:gridCol w:w="159"/>
        <w:gridCol w:w="109"/>
        <w:gridCol w:w="109"/>
        <w:gridCol w:w="109"/>
        <w:gridCol w:w="320"/>
        <w:gridCol w:w="1254"/>
        <w:gridCol w:w="165"/>
        <w:gridCol w:w="109"/>
        <w:gridCol w:w="109"/>
        <w:gridCol w:w="109"/>
        <w:gridCol w:w="369"/>
        <w:gridCol w:w="1893"/>
        <w:gridCol w:w="277"/>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Rental Payments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Base Ground Rents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Income to be Recognized Related to Operating Leases</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662,483 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1,249,780 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1,319,842 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1,158,629 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1,220,565 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1,116,076 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1,170,345 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1,165,484 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5,906,870 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5,996,146 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11,174,923 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11,534,865 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Includes a $3.6 million tenant improvement allowance that is being amortized over the life of a tenant lease.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presents the cash rent the Company expects to receive from its tenants, including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financing receivables, net.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periodically loan funds to casino operators for the purchase or development of real estate. Interest income related to real estate loans is recorded as income from real estate within the Company's consolidated statements of income in the period earned. See Note 5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calculates earnings per share ("EPS") in accordance with ASC 260 -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("ASC 260"</w:t>
      </w:r>
      <w:r>
        <w:rPr>
          <w:rFonts w:ascii="Times New Roman;sans-serif" w:hAnsi="Times New Roman;sans-serif"/>
          <w:b w:val="false"/>
          <w:i/>
          <w:color w:val="000000"/>
          <w:sz w:val="20"/>
        </w:rPr>
        <w:t>)</w:t>
      </w:r>
      <w:r>
        <w:rPr>
          <w:rFonts w:ascii="Times New Roman;sans-serif" w:hAnsi="Times New Roman;sans-serif"/>
          <w:b w:val="false"/>
          <w:color w:val="000000"/>
          <w:sz w:val="20"/>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weighted-average common shares outstanding used in the calculation of basic EPS to the weighted-average common shares outstanding used in the calculation of diluted EPS for the three and six months ended June 30, 2024 and 2023: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61"/>
        <w:gridCol w:w="1397"/>
        <w:gridCol w:w="1395"/>
        <w:gridCol w:w="573"/>
        <w:gridCol w:w="253"/>
        <w:gridCol w:w="213"/>
        <w:gridCol w:w="213"/>
        <w:gridCol w:w="213"/>
        <w:gridCol w:w="213"/>
        <w:gridCol w:w="573"/>
        <w:gridCol w:w="253"/>
        <w:gridCol w:w="213"/>
        <w:gridCol w:w="109"/>
        <w:gridCol w:w="109"/>
        <w:gridCol w:w="109"/>
        <w:gridCol w:w="518"/>
        <w:gridCol w:w="308"/>
        <w:gridCol w:w="193"/>
        <w:gridCol w:w="193"/>
        <w:gridCol w:w="193"/>
        <w:gridCol w:w="193"/>
        <w:gridCol w:w="518"/>
        <w:gridCol w:w="308"/>
        <w:gridCol w:w="284"/>
      </w:tblGrid>
      <w:tr>
        <w:trPr/>
        <w:tc>
          <w:tcPr>
            <w:tcW w:w="166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7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shares: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262,490 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262,142 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performance-based restricted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272,065 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272,042 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263,029 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EPS for the Company’s common stock for the three and six months ended June 30, 2024 and 2023: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05"/>
        <w:gridCol w:w="1392"/>
        <w:gridCol w:w="13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0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basic EPS: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earnings per share purposes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diluted EPS: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Antidilutive securities excluded from the computation of diluted earnings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Equity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issuance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2022 ATM Program, the Company engaged a sales agent who may receive compensation of up to 2% of the gross sales price of the shares sold. Similarly, in the event the Company enters into a forward sale agreement,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will pay the relevant forward seller a commission of up to 2% of the sales price of all borrowed shares of common stock sold during the applicable selling period of the forward sale agreement. During the six months ended June 30, 2024, the Company sold 0.2 million shares of its common stock under the 2022 ATM Program which raised net proceeds of $9.0 million. As of June 30, 2024, the Company had $584.6 million remaining for issuance under the 2022 ATM Program. Subsequent to June 30, 2024, the Company sold 2.9 million shares of its common stock under the 2022 ATM Program which raised net proceeds of $139.4 million.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partial consideration for the closing of various real property assets over the past few years, the Company's operating partnership has issued OP Units. The OP Units are exchangeable for common shares of the Company on a one-for-one basis, subject to certain terms and conditions. As partial consideration for the closing of the real property assets under the Tioga Downs Lease that occurred on February 6, 2024, the Company’s operating partnership issued 434,304 newly-issued OP units to an affiliate of Tioga Downs which were valued at $19.6 million. As of June 30, 2024,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$6.2 million and $12.3 million in distributions to the non-controlling interest holders concurrently with the dividends paid to the Company's common shareholders, during the three and six month periods ended June 30, 2024, respectively. The Company paid $5.5 million and $12.9 million in distributions to the non-controlling interest holders concurrently with the dividends paid to the Company's common shareholders, during the three and six month periods ended June 30, 2023,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declared and paid by the Company during the six months ended June 30, 2024 and 2023:</w:t>
      </w:r>
    </w:p>
    <w:tbl>
      <w:tblPr>
        <w:tblW w:w="10205" w:type="dxa"/>
        <w:jc w:val="left"/>
        <w:tblInd w:w="0" w:type="dxa"/>
        <w:tblLayout w:type="fixed"/>
        <w:tblCellMar>
          <w:top w:w="28" w:type="dxa"/>
          <w:left w:w="28" w:type="dxa"/>
          <w:bottom w:w="28" w:type="dxa"/>
          <w:right w:w="28" w:type="dxa"/>
        </w:tblCellMar>
      </w:tblPr>
      <w:tblGrid>
        <w:gridCol w:w="425"/>
        <w:gridCol w:w="373"/>
        <w:gridCol w:w="376"/>
        <w:gridCol w:w="109"/>
        <w:gridCol w:w="109"/>
        <w:gridCol w:w="109"/>
        <w:gridCol w:w="480"/>
        <w:gridCol w:w="480"/>
        <w:gridCol w:w="481"/>
        <w:gridCol w:w="109"/>
        <w:gridCol w:w="109"/>
        <w:gridCol w:w="109"/>
        <w:gridCol w:w="339"/>
        <w:gridCol w:w="339"/>
        <w:gridCol w:w="341"/>
        <w:gridCol w:w="109"/>
        <w:gridCol w:w="109"/>
        <w:gridCol w:w="109"/>
        <w:gridCol w:w="372"/>
        <w:gridCol w:w="372"/>
        <w:gridCol w:w="374"/>
        <w:gridCol w:w="109"/>
        <w:gridCol w:w="109"/>
        <w:gridCol w:w="109"/>
        <w:gridCol w:w="362"/>
        <w:gridCol w:w="362"/>
        <w:gridCol w:w="363"/>
        <w:gridCol w:w="109"/>
        <w:gridCol w:w="109"/>
        <w:gridCol w:w="109"/>
        <w:gridCol w:w="402"/>
        <w:gridCol w:w="402"/>
        <w:gridCol w:w="403"/>
        <w:gridCol w:w="109"/>
        <w:gridCol w:w="109"/>
        <w:gridCol w:w="109"/>
        <w:gridCol w:w="392"/>
        <w:gridCol w:w="328"/>
        <w:gridCol w:w="477"/>
      </w:tblGrid>
      <w:tr>
        <w:trPr/>
        <w:tc>
          <w:tcPr>
            <w:tcW w:w="4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Amount</w:t>
            </w:r>
          </w:p>
        </w:tc>
      </w:tr>
      <w:tr>
        <w:trPr/>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$206,340</w:t>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$206,340</w:t>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$188,896</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$65,588</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$189,095</w:t>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the three and six months ended June 30, 2024 dividend payments were made to GLPI restricted stock award holders in the amount of $0.3 million and $0.5 million, respectively. In addition, for the three and six months ended June 30, 2023, dividend payments were made to GLPI restricted stock award holders in the amount of $0.2 million and $0.5 million, respectively. On February 22, 2023, the Company declared a first quarter dividend of $0.72 per share in addition to a special earnings and profit dividend related to the sale of the Tropicana Las Vegas building of $0.25 per share on the Company's common stock.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Stock-Based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accounts for stock compensation under ASC 718 - </w:t>
      </w:r>
      <w:r>
        <w:rPr>
          <w:rFonts w:ascii="Times New Roman;sans-serif" w:hAnsi="Times New Roman;sans-serif"/>
          <w:b w:val="false"/>
          <w:i/>
          <w:color w:val="000000"/>
          <w:sz w:val="20"/>
        </w:rPr>
        <w:t xml:space="preserve">Compensation - Stock Compensation, </w:t>
      </w:r>
      <w:r>
        <w:rPr>
          <w:rFonts w:ascii="Times New Roman;sans-serif" w:hAnsi="Times New Roman;sans-serif"/>
          <w:b w:val="false"/>
          <w:color w:val="000000"/>
          <w:sz w:val="20"/>
        </w:rPr>
        <w:t xml:space="preserve">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there was $7.3 million of total unrecognized compensation cost for restricted stock awards that will be recognized over the grants' remaining weighted average vesting period of 1.80 years. For the three and six months ended June 30, 2024, the Company recognized $1.6 million and $5.8 million of compensation expense associated with these awards, compared to $1.4 million and $5.7 million for the three and six months ended June 30, 2023, within general and administrative expenses on the condensed consolidated statements of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restricted stock award activity for the six months ended June 30, 2024:</w:t>
      </w:r>
    </w:p>
    <w:tbl>
      <w:tblPr>
        <w:tblW w:w="4449" w:type="dxa"/>
        <w:jc w:val="center"/>
        <w:tblInd w:w="0" w:type="dxa"/>
        <w:tblLayout w:type="fixed"/>
        <w:tblCellMar>
          <w:top w:w="28" w:type="dxa"/>
          <w:left w:w="28" w:type="dxa"/>
          <w:bottom w:w="28" w:type="dxa"/>
          <w:right w:w="28" w:type="dxa"/>
        </w:tblCellMar>
      </w:tblPr>
      <w:tblGrid>
        <w:gridCol w:w="1065"/>
        <w:gridCol w:w="935"/>
        <w:gridCol w:w="940"/>
        <w:gridCol w:w="450"/>
        <w:gridCol w:w="450"/>
        <w:gridCol w:w="6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Award</w:t>
              <w:br/>
              <w:t>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269,929 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263,328 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(215,685)</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317,572 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June 30, 2024, there was $23.5 million of total unrecognized compensation cost, which will be recognized over the performance-based restricted stock awards' remaining weighted average vesting period of 1.94 years.  For the three and six months ended June 30, 2024, the Company recognized $3.9 million and $7.8 million of compensation expense associated with these awards within general and administrative expenses on the condensed consolidated statements of income compared to $3.6 million and $7.1 million for the corresponding periods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performance-based restricted stock award activity for the six months ended June 30, 2024:</w:t>
      </w:r>
    </w:p>
    <w:p>
      <w:pPr>
        <w:pStyle w:val="TextBody"/>
        <w:bidi w:val="0"/>
        <w:spacing w:before="0" w:after="0"/>
        <w:ind w:left="0" w:right="0" w:firstLine="720"/>
        <w:jc w:val="left"/>
        <w:rPr/>
      </w:pPr>
      <w:r>
        <w:rPr/>
      </w:r>
    </w:p>
    <w:tbl>
      <w:tblPr>
        <w:tblW w:w="6450" w:type="dxa"/>
        <w:jc w:val="center"/>
        <w:tblInd w:w="0" w:type="dxa"/>
        <w:tblLayout w:type="fixed"/>
        <w:tblCellMar>
          <w:top w:w="28" w:type="dxa"/>
          <w:left w:w="28" w:type="dxa"/>
          <w:bottom w:w="28" w:type="dxa"/>
          <w:right w:w="28" w:type="dxa"/>
        </w:tblCellMar>
      </w:tblPr>
      <w:tblGrid>
        <w:gridCol w:w="1065"/>
        <w:gridCol w:w="935"/>
        <w:gridCol w:w="940"/>
        <w:gridCol w:w="1025"/>
        <w:gridCol w:w="1025"/>
        <w:gridCol w:w="146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Performance-Based Award 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2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1,492,000 </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523,000 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(478,000)</w:t>
            </w:r>
          </w:p>
        </w:tc>
        <w:tc>
          <w:tcPr>
            <w:tcW w:w="1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20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1,537,000 </w:t>
            </w:r>
          </w:p>
        </w:tc>
        <w:tc>
          <w:tcPr>
            <w:tcW w:w="14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Supplemental Disclosures of Cash Flow Information and Noncash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are as follows:</w:t>
      </w:r>
    </w:p>
    <w:tbl>
      <w:tblPr>
        <w:tblW w:w="9690" w:type="dxa"/>
        <w:jc w:val="left"/>
        <w:tblInd w:w="0" w:type="dxa"/>
        <w:tblLayout w:type="fixed"/>
        <w:tblCellMar>
          <w:top w:w="28" w:type="dxa"/>
          <w:left w:w="28" w:type="dxa"/>
          <w:bottom w:w="28" w:type="dxa"/>
          <w:right w:w="28" w:type="dxa"/>
        </w:tblCellMar>
      </w:tblPr>
      <w:tblGrid>
        <w:gridCol w:w="1555"/>
        <w:gridCol w:w="1365"/>
        <w:gridCol w:w="137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net of refunds received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as part of the consideration for the land and real estate assets of Bally's Biloxi and Bally's Tiverton, the Company issued 286,643 OP Units to affiliates of Bally's that were valued at $14.9 million for accounting purposes at closing. The Company also recognized a right of use asset and liability of $37.1 million on a ground lease which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was subsequently remeasured due to a renegotiation and reduced the right of use asset and lease liability to $18.4 million for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Company accounts for its acquisitions of real estate assets as asset acquisitions under ASC 805 -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Under asset acquisition accounting, incremental transaction costs incurred to acquire the purchased assets are also included as part of the asset cost.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Current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2024, the Company acquired the real estate assets of Silverado, the DMG Casino, and Baldini's for $105 million, plus an additional $5 million that was funded at closing to reimburse the tenant for capital improvements. Simultaneous with the acquisition, GLPI and affiliates of Strategic entered into two cross-defaulted triple-net lease agreements, each for an initial 25-year term with two ten-year renewal periods. The transaction was accounted for as a failed sale leaseback and the purchase price allocation of these assets and liabilities based on their respective fair values at the acquisition date are summarized below (in thousands).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4565" w:type="dxa"/>
        <w:jc w:val="left"/>
        <w:tblInd w:w="0" w:type="dxa"/>
        <w:tblLayout w:type="fixed"/>
        <w:tblCellMar>
          <w:top w:w="28" w:type="dxa"/>
          <w:left w:w="28" w:type="dxa"/>
          <w:bottom w:w="28" w:type="dxa"/>
          <w:right w:w="28" w:type="dxa"/>
        </w:tblCellMar>
      </w:tblPr>
      <w:tblGrid>
        <w:gridCol w:w="1298"/>
        <w:gridCol w:w="1142"/>
        <w:gridCol w:w="1145"/>
        <w:gridCol w:w="413"/>
        <w:gridCol w:w="413"/>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Company acquired the real estate assets of Tioga Downs, in Nichols, NY from American Racing for $175.0 million which comprised of cash, assumed debt that was repaid after closing, and OP Units. Simultaneously with the acquisition, GLPI entered into the Tioga Downs Lease. The transaction was accounted for as a failed sale leaseback and as such the purchase price, along with incremental transaction costs, was allocated to Investment in leases, financing receivables in the amount of $176.4 million.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Prior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the Company closed its previously announced acquisition from Bally's of the land and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3590" w:type="dxa"/>
        <w:jc w:val="left"/>
        <w:tblInd w:w="0" w:type="dxa"/>
        <w:tblLayout w:type="fixed"/>
        <w:tblCellMar>
          <w:top w:w="28" w:type="dxa"/>
          <w:left w:w="28" w:type="dxa"/>
          <w:bottom w:w="28" w:type="dxa"/>
          <w:right w:w="28" w:type="dxa"/>
        </w:tblCellMar>
      </w:tblPr>
      <w:tblGrid>
        <w:gridCol w:w="869"/>
        <w:gridCol w:w="763"/>
        <w:gridCol w:w="767"/>
        <w:gridCol w:w="211"/>
        <w:gridCol w:w="82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$771.0 million (subsequently updated to $735 million as discussed in Note 16) and additional annual rent of $58.8 million.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2023, the Company acquired the land associated with a development project in Rockford, IL, that upon opening is intended to be managed by a subsidiary of Hard Rock, from an affiliate of 815 Entertainment. Simultaneously with the land acquisition, GLPI entered into the Rockford Lease. The transaction was accounted for as a failed sale leaseback and as such the purchase price was allocated to Investment in leases, financing receivables in the amount of $100.2 million.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2023, the Company acquired the land and certain improvements at Casino Queen Marquette for $32.7 million. The property was added to the Casino Queen Master Lease and annual rent was increased by $2.7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tbl>
      <w:tblPr>
        <w:tblW w:w="3485" w:type="dxa"/>
        <w:jc w:val="left"/>
        <w:tblInd w:w="0" w:type="dxa"/>
        <w:tblLayout w:type="fixed"/>
        <w:tblCellMar>
          <w:top w:w="28" w:type="dxa"/>
          <w:left w:w="28" w:type="dxa"/>
          <w:bottom w:w="28" w:type="dxa"/>
          <w:right w:w="28" w:type="dxa"/>
        </w:tblCellMar>
      </w:tblPr>
      <w:tblGrid>
        <w:gridCol w:w="869"/>
        <w:gridCol w:w="763"/>
        <w:gridCol w:w="767"/>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12, 2024, the Company announced that it entered into a binding term sheet with Bally’s pursuant to which the Company intends to acquire the real property assets of Bally’s Kansas City Casino (“Bally’s Kansas City”) and Bally’s Shreveport Casino &amp; Hotel (“Bally’s Shreveport”) as well as the land under Bally’s planned permanent Chicago casino site, and fund the construction of certain real property improvements of the Bally’s Chicago Casino Resort (“Bally’s Chicago”) for aggregate consideration of approximately $1.585 billion, which would represent a blended 8.3% initial cash yield. In addition, GLPI secured adjustments to improve the purchase price and related cap rate related to the existing, previously announced, contingent purchase option for Bally’s Lincoln, as well as the addition of a right for GLPI to call the asset beginning on October 1, 2026. The term sheet represents a binding agreement between GLPI and Bally's unless or until superseded by long-form definitive documents reflecting mutually agreed transaction terms and conditions in further detail. No assurance can be given that the contemplated transactions will be completed on the proposed terms and/or timeline or at all.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GLPI intends to fund construction hard costs of up to $940.0 million at an 8.5% initial cash yield with the remainder to be funded by Bally’s with the sale leaseback proceeds related to Bally’s Kansas City and Bally’s Shreveport along with other funding sources such as Bally’s Chicago’s planned initial public offering and cash flows from operations. Funding is expected to occur from August 2024 through December 2026. GLPI would own all funded improvements, which would be leased to Bally’s with rent commencing at a rate of 8.5% as advances are made.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development funding of hard costs, GLPI also intends to acquire the Chicago land for approximately $250 million before development begins. Upon GLPI’s purchase of the Chicago land GLPI expects that rent will commence under a new lease carrying a 15 year initial term with an initial cash yield of 8.0%. The new lease will be cross-defaulted with the construction development funding agreement. Upon completion of the improvements and acquisition of the land, GLPI expects to own substantially all of the real estate land and improvements related to the Chicago casino and hotel for a total investment of $1.19 billion and blended initial cash investment yield of 8.4%.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GLPI intends to purchase the real property assets of both Bally’s Kansas City and Bally’s Shreveport for total consideration of $395 million. The two properties would be in a new Bally’s Master Lease that would be cross-defaulted with the existing Bally’s Master Lease with initial cash rent pursuant to the agreement for the two new properties of $32.2 million, representing an 8.2% initial cash capitalization rate. The Company expects to close on the proposed Bally’s Kansas City and Bally’s Shreveport sale leaseback transactions as early as the fourth quarter of 2024, subject to customary regulatory and other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total, the Chicago, Kansas City, and Shreveport transactions represent a blended 8.3% yield and are expected to be funded on a staggered basis with cash on hand, retained operational cash flow, availability from the Revolver, and proceeds from potential capital markets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transactions are subject to several conditions as well as certain third-party consents and regulatory approvals. Key conditions include but are not limited to: (a) valid assignment of the current ground lease to GLPI or acquisition by GLPI of the fee interest in Chicago; (b) the final structure and pro forma capitalization of Bally’s following the proposed acquisition of Bally's by Standard General, or similar transaction, in the event any agreement is reached with the board of directors of Bally’s; (c) completion of customary due diligence on the Chicago site; and (d) receipt of all necessary gaming regulatory and other third party approvals.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GLPI and Bally’s have further agreed to adjust GLPI’s existing contingent purchase option for Bally’s Lincoln to reflect a purchase price of $735 million, which has been reduced from $771 million. The purchase price adjustment results in the initial cash yield’s favorable adjustment from 7.6% to 8.0% based on $58.8 million initial cash rent. GLPI has also been granted a call right, subject only to regulatory approval, beginning on October 1, 2026 to ensure that GLPI has the opportunity to acquire the property prior to the expiration of the current option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GLPI is a self-administered and self-managed Pennsylvania REIT. GLPI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 ("</w:t>
      </w:r>
      <w:r>
        <w:rPr>
          <w:rFonts w:ascii="Times New Roman;sans-serif" w:hAnsi="Times New Roman;sans-serif"/>
          <w:b w:val="false"/>
          <w:color w:val="000000"/>
          <w:sz w:val="20"/>
        </w:rPr>
        <w:t>ASC 505"</w:t>
      </w:r>
      <w:r>
        <w:rPr>
          <w:rFonts w:ascii="Times New Roman;sans-serif" w:hAnsi="Times New Roman;sans-serif"/>
          <w:b w:val="false"/>
          <w:i/>
          <w:color w:val="000000"/>
          <w:sz w:val="20"/>
        </w:rPr>
        <w: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to Bally's.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There were 8,087,630 OP Units outstanding as of June 30,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business consists of acquiring, financing, and owning real estate property to be leased to gaming operators in triple-net lease arrangements. As of June 30, 2024, GLPI’s portfolio consisted of interests in 65 gaming and related facilities, including the real property associated with 34 gaming and related facilities operated by PENN, the real property associated with 6 gaming and related facilities operated by Caesars Entertainment, Inc. (NASDAQ: CZR) ("Caesars"), the real property associated with 4 gaming and related facilities operated by Boyd Gaming Corporation (NYSE: BYD) ("Boyd"), the real property associated with 9 gaming and related facilities operated by Bally's, the real property associated with 3 gaming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 facilities operated by Cordish, the real property associated with 4 gaming and related facilities operated by Casino Queen, 1 gaming facility under construction that upon opening is intended to be managed by a subsidiary of Hard Rock International ("Hard Rock"), 3 gaming and related facilities operated by Strategic Gaming Management, LLC ("Strategic") and 1 gaming and related facility operated by American Racing. These facilities, including our corporate headquarters building, are geographically diversified across 20 states and contain approximately 29.3 million square feet. As of June 30, 2024, the Company's properties were 100% occupied. GLPI expects to continue growing its portfolio by pursuing opportunities to acquire additional gaming facilities to lease to gaming operators under prudent terms.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earnings are the result of the rental revenues we receive from our triple-net master leases with PENN, Boyd, Bally's, Cordish, Casino Queen and Caesars.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accordance with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extending to October 31, 2048.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PENN 2023 Master Lease.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 extending to October 31, 2048.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Belle")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The Belle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November 13, 2023, the Company and Caesars amended and restated the Second Amended and Restated Caesars Master Lease (as amended and restated, the "Third Amended and Restated Caesars Master Lease") in connection with Caesars selling its interest in The Belle to Casino Queen with no change in rent obligation to the Company.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an affiliate of Caesars (the "Horseshoe St. Louis Lease") the initial term of which expires on October 31, 2033, with four separate renewal options of five years each, exercisable at the tenant's option. The Horseshoe St. Louis Lease was amended on December 1, 2021 to adjust the rent terms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the acquisitions of the real estate assets of Bally's Black Hawk and Bally's Quad Cities on April 1, 2022 and Bally's Biloxi and Bally's Tiverton on January 3, 2023. The existing Bally's Master Lease was amended to add these properties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$735.0 million, which has been reduced from $771.0 million and additional rent of $58.8 million. See Note 16 in the Notes to the Financial Statements for other developments with Bally's.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(the "Third Amended and Restated Casino Queen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2024, the Company announced that it has agreed to fund and oversee a landside move and hotel renovation of The Belle for Casino Queen. GLPI has committed to provide up to approximately $111 million of funding for the project (of which $7 million has been funded as of June 30, 2024), which is expected to be completed by September 2025. The casino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 to operate for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The annual rent for both leases has a 1.75% fixed yearly escalator on the entirety of rent commencing on the leases' second anniversary.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a subsidiary of Hard Rock, from an affiliate of 815 Entertainment, LLC ("815 Entertainment") for $100.0 million. Simultaneously with the land acquisition, an affiliate of GLPI entered into a ground lease with 815 Entertainment for a 99 year term. The initial annual rent for the ground lease is $8.0 million, subject to fixed 2% annual escalation beginning with the lease's first anniversary and for the entirety of its term (the "Rockford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("Hard Rock Casino Rockford"), which is expected in late August 2024. The Rockford Loan advances are subject to typical construction lending terms and conditions. As of June 30, 2024, $93 million was advanced and outstanding under the Rockford Loan. Additionally, the Company also received a right of first refusal on the building improvements of the Hard Rock Casino Rockford if there is a future decision to sell them once completed.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Tioga Downs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acquired the real estate assets of Tioga Downs in Nichols, NY from American Racing for $175.0 million. Simultaneous with the acquisition, an affiliate of GLPI and American Racing entered into a triple-net lease agreement for an initial 30 year term followed by two renewal options of 10 years each and a third renewal option of approximately 12 years and ten months. The initial annual rent is $14.5 million and is subject to annual fixed escalations of 1.75% beginning with the first anniversary which increases to 2% beginning in year fifteen of the lease through the remainder of its initial term (the "Tioga Downs Lease").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Gaming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16, 2024, the Company acquired the real estate assets of Silverado Franklin Hotel &amp; Gaming Complex ("Silverado"), the Deadwood Mountain Grand ("DMG") casino, and Baldini's Casino ("Baldini's") for $105 million, plus an additional $5 million that was funded at closing for reimbursement for capital improvements. Simultaneous with the acquisition, GLPI and affiliates of Strategic entered into two cross-defaulted triple-net lease agreements, each for an initial 25-year term with two ten-year renewal periods. The initial aggregate annual cash rent for the new leases is $9.2 million and is subject to a fixed 2.0% annual escalation beginning in year three of the lease and a CPI-based annual escalation beginning in year 11 of the lease, at the greater of 2% or CPI capped at 2.5% (the "Strategic Gaming Leases").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transaction, the Company also secured a right of first refusal on the real estate related to future acquisitions until Strategic's adjusted EBITDAR related to GLPI's owned assets reaches $40 million annualized.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total revenues and income from operations of $380.6 million and $293.4 million, respectively, for the three months ended June 30, 2024, compared to $356.6 million and $238.3 million, respectively, for the corresponding period in the prior year. We reported total revenues and income from operations of $756.6 million and $551.0 million, respectively, for the six months ended June 30, 2024, compared to $711.8 million and $505.1 million, respectively, for the corresponding period in the prior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 factors affecting our results for the three and six months ended June 30, 2024, as compared to the three and six months ended June 30, 2023, were as follows: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income from real estate increased by $24.0 million to $380.6 million for the three months ended June 30, 2024 compared to $356.6 million for the corresponding period in the prior year. The reason for the increase was primarily due to our recent acquisitions which in the aggregate increased cash rental income by $11.0 million for the three months ended June 30, 2024. Additionally, the three months ended June 30, 2024 benefited by $5.0 million compared to the corresponding period in the prior year from escalations on our leases. The Company also recognized higher accretion of $1.2 million on its Investment in leases, financing receivables and favorable straight-line rent adjustments of $7.0 million compared to the corresponding period in the prior year. Finally, the Company had unfavorable variable rents of $0.2 million for the three months ended June 30, 2024 compared to the corresponding period in the prior year primarily related to the trailing 5 year reset on the Amended PENN Master Lease that occurred on November 1, 2023 which was negatively impacted by the casino closures during the COVID-19 pandemic.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income from real estate increased by $44.8 million to $756.6 million for the six months ended June 30, 2024 compared to the corresponding period in the prior year. The reason for the increase was due to our recent acquisitions which in the aggregate increased cash rental income by $18.8 million for the six months ended June 30, 2024. Additionally, the six months ended June 30, 2024 benefited by $9.7 million compared to the corresponding period in the prior year from escalations on our leases. The Company also recognized higher accretion of $3.7 million on its Investments in leases, financing receivables and favorable straight-line rent adjustments of $14.1 million compared to the corresponding period in the prior year. Finally, the Company had unfavorable variable rent of $1.5 million for the six months ended June 30, 2024 compared to the corresponding period in the prior year primarily related to the trailing 5 year reset on the Amended PENN Master Lease that occurred on November 1, 2023 which was negatively impacted by the casino closures during the COVID-19 pandemic.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operating expenses decreased by $31.1 million for the three months ended June 30, 2024 as compared to the corresponding period in the prior year. The provision for credit losses, net, decreased by $31.8 million during the three months ended June 30, 2024. The provision decreased due to probability weighting changes in economic forecast scenarios that we utilize from a third party to calculate our reserves and a decline in the commercial real estate price index in the second quarter of 2023 which is utilized to estimate the value of our real estate in our Investment in leases, financing receivables. Additionally, general and administrative expenses increased by $1.2 million due primarily to higher franchise taxes and stock based compensation costs. Finally, depreciation expense decreased by $0.5 million for the three months ended June 30, 2024 as compared to the corresponding period in the prior year due to certain assets being fully depreciated.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operating expenses decreased by $1.1 million for the six months ended June 30, 2024 as compared to the corresponding period in the prior year. The provision for credit losses, net, decreased by $2.9 million during the six months ended June 30, 2024. The provision decreased due to probability weighting changes in economic forecast scenarios that we utilize from a third party to calculate our reserves. Additionally, general and administrative expenses increased by $2.6 million due primarily to higher franchise taxes, stock based compensation costs and transaction costs. Finally, depreciation expense decreased by $0.7 million for the six months ended June 30, 2024 as compared to the corresponding period in the prior year due to certain assets being fully depreciated.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expenses increased by $0.5 million for the three months ended June 30, 2024, primarily due to higher interest expense of $7.3 million associated with the Company's increased borrowings to fund our recent acquisitions. These items were partially offset by higher interest income of $6.8 million as compared to the corresponding period in the prior year because of higher variable market interest rates earned on our cash balances.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expenses increased by $0.3 million for the six months ended June 30, 2024, primarily due to higher interest expense of $12.6 million associated with the Company's increased borrowings to fund our recent acquisitions. These items were partially offset by higher interest income of $11.8 million as compared to the corresponding period in the prior year because of higher variable market interest rate earned on our cash balances. The six months ended June 30, 2023 also included debt extinguishment charges of $0.6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Net income increased by $54.3 million and $45.1 million for the three and six months ended June 30, 2024, as compared to the corresponding periods in the prior year, primarily due to the variances explained 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six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most important factors and trends that contribute or may contribute to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have announced or closed numerous transactions in recent years and expect to continue to grow our portfolio by pursuing opportunities to acquire additional gaming facilities to lease to gaming operators under prudent terms.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Several wholly-owned subsidiaries of PENN lease a substantial number of our properties and account for a significant portion of our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risks related to economic conditions, including stress in the banking sector, high inflation levels (that have been negatively impacted by the armed conflict between Russia and Ukraine as well as conflicts in the Middle East)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ability to refinance our significant levels of debt at attractive terms and obtain favorable funding in connection with future business opportunities.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 and its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for the three and six months ended June 30, 2024 and 2023 are summarized below:</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95"/>
        <w:gridCol w:w="1398"/>
        <w:gridCol w:w="14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FFO, AFFO and Adjusted EBITDA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property transfer tax recoveries and impairment charges; straight-line rent adjustments; losses on debt extinguishment; and provision (benefit)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adjustments; amortization of land rights; accretion on Investment in leases, financing receivables; non-cash adjustments to financing lease liabilities; property transfer tax recoveries and impairment charges; losses on debt extinguishment; and provision (benefit) for credit losses,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reconciliation of the Company’s net income per GAAP to FFO, AFFO, and Adjusted EBITDA for the three and six months ended June 30, 2024 and 2023 is as follows:                                                                                                                </w:t>
      </w:r>
    </w:p>
    <w:tbl>
      <w:tblPr>
        <w:tblW w:w="10205" w:type="dxa"/>
        <w:jc w:val="left"/>
        <w:tblInd w:w="0" w:type="dxa"/>
        <w:tblLayout w:type="fixed"/>
        <w:tblCellMar>
          <w:top w:w="28" w:type="dxa"/>
          <w:left w:w="28" w:type="dxa"/>
          <w:bottom w:w="28" w:type="dxa"/>
          <w:right w:w="28" w:type="dxa"/>
        </w:tblCellMar>
      </w:tblPr>
      <w:tblGrid>
        <w:gridCol w:w="1600"/>
        <w:gridCol w:w="1295"/>
        <w:gridCol w:w="1312"/>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60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w:t>
              <w:br/>
              <w:t>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 </w:t>
              <w:br/>
              <w:t>June 30,</w:t>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393,938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348,807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279,189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225,392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523,592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479,146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funds from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250,443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522,990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499,073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340,446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325,506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673,872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648,605</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Current year amount includes $0.1 million for the three months and six months ended June 30, 2024, respectively, of tenant improvement allowance amortization.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FFO, AFFO and Adjusted EBITDA were $214.4 million, $279.2 million, $264.4 million, and $340.4 million for the three months ended June 30, 2024, respectively. This compares to net income, FFO, AFFO and Adjusted EBITDA of $160.1 million, $225.4 million, $250.4 million and $325.5 million for the corresponding period in the prior year. The increase in net income of $54.3 million was primarily attributable to decreased operating expenses of $31.1 million (which was driven by the decrease in provision for credit losses of $31.8 million) and an increase in total revenues of $24.0 million partially offset by higher other expenses of $0.5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FFO, AFFO and Adjusted EBITDA were $393.9 million, $523.6 million, $523.0 million, and $673.9 million for the six months ended June 30, 2024, respectively. This compares to net income, FFO, AFFO and Adjusted EBITDA of $348.8 million, $479.1 million, $499.1 million and $648.6 million for the corresponding period in the prior year. The increase in net income of $45.1 million was primarily attributable to an increase in total revenues of $44.8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increases in FFO for the three months and six months ended June 30, 2024 were due to the items described above, excluding gains from dispositions of property and real estate depreciation. The increases in AFFO and Adjusted EBITDA were due to the items described above, as well as the adjustments mentioned in the tables above.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three and six months ended June 30, 2024 and 2023 were as follows (in thousands):</w:t>
      </w:r>
    </w:p>
    <w:p>
      <w:pPr>
        <w:pStyle w:val="TextBody"/>
        <w:bidi w:val="0"/>
        <w:spacing w:before="0" w:after="0"/>
        <w:ind w:left="0" w:right="0" w:firstLine="720"/>
        <w:jc w:val="left"/>
        <w:rPr/>
      </w:pPr>
      <w:r>
        <w:rPr/>
      </w:r>
    </w:p>
    <w:tbl>
      <w:tblPr>
        <w:tblW w:w="8840" w:type="dxa"/>
        <w:jc w:val="left"/>
        <w:tblInd w:w="0" w:type="dxa"/>
        <w:tblLayout w:type="fixed"/>
        <w:tblCellMar>
          <w:top w:w="28" w:type="dxa"/>
          <w:left w:w="28" w:type="dxa"/>
          <w:bottom w:w="28" w:type="dxa"/>
          <w:right w:w="28" w:type="dxa"/>
        </w:tblCellMar>
      </w:tblPr>
      <w:tblGrid>
        <w:gridCol w:w="1129"/>
        <w:gridCol w:w="990"/>
        <w:gridCol w:w="100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69"/>
      </w:tblGrid>
      <w:tr>
        <w:trPr/>
        <w:tc>
          <w:tcPr>
            <w:tcW w:w="112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from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40" w:type="dxa"/>
        <w:jc w:val="left"/>
        <w:tblInd w:w="0" w:type="dxa"/>
        <w:tblLayout w:type="fixed"/>
        <w:tblCellMar>
          <w:top w:w="28" w:type="dxa"/>
          <w:left w:w="28" w:type="dxa"/>
          <w:bottom w:w="28" w:type="dxa"/>
          <w:right w:w="28" w:type="dxa"/>
        </w:tblCellMar>
      </w:tblPr>
      <w:tblGrid>
        <w:gridCol w:w="1128"/>
        <w:gridCol w:w="994"/>
        <w:gridCol w:w="99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69"/>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Total income from real estate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Total income from real estate increased by $24.0 million to $380.6 million for the three months ended June 30, 2024 compared to $356.6 million for the corresponding period in the prior year. The reason for the increase was primarily due to our recent acquisitions which in the aggregate increased cash rental income by $11.0 million for the three months ended June 30, 2024. Additionally, the three months ended June 30, 2024 benefited by $5.0 million compared to the corresponding period in the prior year from escalations on our leases. The Company also recognized higher accretion of $1.2 million on its Investment in leases, financing receivables and favorable straight-line rent adjustments of $7.0 million compared to the corresponding period in the prior year. Finally, the Company had unfavorable variable rent of $0.2 million for the three months ended June 30, 2024 compared to the corresponding period in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Total income from real estate increased by $44.8 million to $756.6 million for the six months ended June 30, 2024 compared to $711.8 million for the corresponding period in the prior year. The reason for the increase was primarily due to our recent acquisitions which in the aggregate increased cash rental income by $18.8 million for the six months ended June 30, 2024. Additionally, the six months ended June 30, 2024 benefited by $9.7 million compared to the corresponding period in the prior year from escalations on our leases. The Company also recognized higher accretion of $3.7 million on its Investment in leases, financing receivables and favorable straight-line rent adjustments of $14.1 million compared to the corresponding period in the prior year. Finally, the Company had unfavorable variable rent of $1.5 million for the six months ended June 30, 2024 compared to the corresponding period in the prior year primarily related to the trailing 5 year reset on the Amended PENN Master Lease that occurred on November 1, 2023 which was negatively impacted by the casino closures during the COVID-19 pandemic. </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three and six months ended June 30, 2024 was as follows (in thousands)</w:t>
      </w:r>
    </w:p>
    <w:p>
      <w:pPr>
        <w:pStyle w:val="TextBody"/>
        <w:bidi w:val="0"/>
        <w:spacing w:before="0" w:after="0"/>
        <w:ind w:left="0" w:right="0" w:firstLine="720"/>
        <w:jc w:val="left"/>
        <w:rPr/>
      </w:pPr>
      <w:r>
        <w:rPr/>
      </w:r>
    </w:p>
    <w:tbl>
      <w:tblPr>
        <w:tblW w:w="10630" w:type="dxa"/>
        <w:jc w:val="left"/>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616"/>
        <w:gridCol w:w="109"/>
        <w:gridCol w:w="211"/>
        <w:gridCol w:w="826"/>
        <w:gridCol w:w="109"/>
        <w:gridCol w:w="211"/>
        <w:gridCol w:w="721"/>
        <w:gridCol w:w="109"/>
        <w:gridCol w:w="211"/>
        <w:gridCol w:w="616"/>
        <w:gridCol w:w="109"/>
        <w:gridCol w:w="211"/>
        <w:gridCol w:w="616"/>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 and other rental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 on real estate loans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PENN Master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 2023 Master Lease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Pinnacle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Morgantown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St. Louis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Belterra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Bally's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Current year amount includes $0.1 million of tenant improvement allowance amortization.</w:t>
      </w:r>
    </w:p>
    <w:tbl>
      <w:tblPr>
        <w:tblW w:w="10840" w:type="dxa"/>
        <w:jc w:val="left"/>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616"/>
        <w:gridCol w:w="109"/>
        <w:gridCol w:w="211"/>
        <w:gridCol w:w="826"/>
        <w:gridCol w:w="109"/>
        <w:gridCol w:w="211"/>
        <w:gridCol w:w="721"/>
        <w:gridCol w:w="109"/>
        <w:gridCol w:w="211"/>
        <w:gridCol w:w="721"/>
        <w:gridCol w:w="109"/>
        <w:gridCol w:w="211"/>
        <w:gridCol w:w="721"/>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 and other rental revenue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 on real estate loans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PENN Master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2023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Pinnacle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Morgantown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St. Louis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Belterra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Bally's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Tioga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Current year amount includes $0.1 million of tenant improvement allowance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and six months ended June 30, 2024 and 2023 were as follows (in thousands):</w:t>
      </w:r>
    </w:p>
    <w:p>
      <w:pPr>
        <w:pStyle w:val="TextBody"/>
        <w:bidi w:val="0"/>
        <w:spacing w:before="0" w:after="0"/>
        <w:ind w:left="0" w:right="0" w:firstLine="720"/>
        <w:jc w:val="left"/>
        <w:rPr/>
      </w:pPr>
      <w:r>
        <w:rPr/>
      </w:r>
    </w:p>
    <w:tbl>
      <w:tblPr>
        <w:tblW w:w="8816" w:type="dxa"/>
        <w:jc w:val="left"/>
        <w:tblInd w:w="0" w:type="dxa"/>
        <w:tblLayout w:type="fixed"/>
        <w:tblCellMar>
          <w:top w:w="28" w:type="dxa"/>
          <w:left w:w="28" w:type="dxa"/>
          <w:bottom w:w="28" w:type="dxa"/>
          <w:right w:w="28" w:type="dxa"/>
        </w:tblCellMar>
      </w:tblPr>
      <w:tblGrid>
        <w:gridCol w:w="1152"/>
        <w:gridCol w:w="1010"/>
        <w:gridCol w:w="1018"/>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343"/>
        <w:gridCol w:w="347"/>
        <w:gridCol w:w="508"/>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8801" w:type="dxa"/>
        <w:jc w:val="left"/>
        <w:tblInd w:w="0" w:type="dxa"/>
        <w:tblLayout w:type="fixed"/>
        <w:tblCellMar>
          <w:top w:w="28" w:type="dxa"/>
          <w:left w:w="28" w:type="dxa"/>
          <w:bottom w:w="28" w:type="dxa"/>
          <w:right w:w="28" w:type="dxa"/>
        </w:tblCellMar>
      </w:tblPr>
      <w:tblGrid>
        <w:gridCol w:w="1152"/>
        <w:gridCol w:w="1010"/>
        <w:gridCol w:w="1018"/>
        <w:gridCol w:w="531"/>
        <w:gridCol w:w="295"/>
        <w:gridCol w:w="230"/>
        <w:gridCol w:w="230"/>
        <w:gridCol w:w="230"/>
        <w:gridCol w:w="230"/>
        <w:gridCol w:w="531"/>
        <w:gridCol w:w="295"/>
        <w:gridCol w:w="230"/>
        <w:gridCol w:w="109"/>
        <w:gridCol w:w="109"/>
        <w:gridCol w:w="109"/>
        <w:gridCol w:w="211"/>
        <w:gridCol w:w="691"/>
        <w:gridCol w:w="109"/>
        <w:gridCol w:w="109"/>
        <w:gridCol w:w="109"/>
        <w:gridCol w:w="109"/>
        <w:gridCol w:w="291"/>
        <w:gridCol w:w="294"/>
        <w:gridCol w:w="56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31,737 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29,089 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Land rights and ground lease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Land rights and ground lease expense includes the amortization of land rights and rent expense related to the Company's long-term ground leases. Land rights and ground lease expense was relatively consistent for the three and six months ended June 30, 2024, as compared to the corresponding period in the prior year as illustrated in the table above.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items such as compensation costs (including stock based compensation), professional services and costs associated with development activities. General and administrative expenses increased by $1.2 million and $2.6 million for the three and six months ended June 30, 2024 as compared to the corresponding period in the prior year. The reason for the increases was primarily due to higher franchise taxes, stock based compensation costs and transaction costs.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Depreciation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decreased by $0.5 million and $0.7 million for the three and six months ended June 30, 2024 as compared to the corresponding period in the prior year due to certain assets being fully depreciated.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benefit for credit losses of $3.8 million for the three months ended June 30, 2024 compared to a provision for credit losses of $28.1 million for the corresponding period in the prior year. As described in Note 3, the Company follows ASC 326 “Credit Losses”, which requires that the Company measure and record current expected credit losses, the scope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includes our Investments in leases, - financing receivables, net as well as the Company's real estate loans and related loan commitment.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reason for the benefit during the three months ended June 30, 2024 was due to probability weighting changes from our third party forecast. The significant provision for the corresponding period in the prior year was due to a decline in the estimated real estate values underlying the Company's Investment in leases, financing receivables and, to a lesser extent, the Company's real estate loans and related loan commitment. These values are estimated based on long term projections of the Commercial Real Estate Price Index which, as of June 30, 2024, have declined relative to December 31, 2023. Commercial real estate prices are anticipated to remain at low levels for several quarters based on the third party economic forecast the Company utilizes to calculate its reserve for credit losses.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Company recorded a provision of $19.5 million compared to $22.4 million for the corresponding period in the prior year. The primary reason for these provisions was due to declines in the estimated real estate values underlying the Company's Investment in leases, financing receivables. These values are estimated based on long term projections of the Commercial Real Estate Price Index which, as of June 30, 2024 and June 30, 2023, have declined compared to the year end levels at December 31, 2023 and December 31, 2022, respectively, and are anticipated to remain at low levels for several quarters based on the third party economic forecast the Company utilizes to calculate its 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income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for the three and six months ended June 30, 2024 and 2023 were as follows (in thousands):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535" w:type="dxa"/>
        <w:jc w:val="left"/>
        <w:tblInd w:w="0" w:type="dxa"/>
        <w:tblLayout w:type="fixed"/>
        <w:tblCellMar>
          <w:top w:w="28" w:type="dxa"/>
          <w:left w:w="28" w:type="dxa"/>
          <w:bottom w:w="28" w:type="dxa"/>
          <w:right w:w="28" w:type="dxa"/>
        </w:tblCellMar>
      </w:tblPr>
      <w:tblGrid>
        <w:gridCol w:w="652"/>
        <w:gridCol w:w="571"/>
        <w:gridCol w:w="576"/>
        <w:gridCol w:w="109"/>
        <w:gridCol w:w="109"/>
        <w:gridCol w:w="10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8"/>
        <w:gridCol w:w="308"/>
        <w:gridCol w:w="569"/>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8764" w:type="dxa"/>
        <w:jc w:val="left"/>
        <w:tblInd w:w="0" w:type="dxa"/>
        <w:tblLayout w:type="fixed"/>
        <w:tblCellMar>
          <w:top w:w="28" w:type="dxa"/>
          <w:left w:w="28" w:type="dxa"/>
          <w:bottom w:w="28" w:type="dxa"/>
          <w:right w:w="28" w:type="dxa"/>
        </w:tblCellMar>
      </w:tblPr>
      <w:tblGrid>
        <w:gridCol w:w="956"/>
        <w:gridCol w:w="838"/>
        <w:gridCol w:w="845"/>
        <w:gridCol w:w="109"/>
        <w:gridCol w:w="109"/>
        <w:gridCol w:w="10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344"/>
        <w:gridCol w:w="346"/>
        <w:gridCol w:w="5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$7.3 million and $12.6 million for the three and six months ended June 30, 2024, as compared to the corresponding period in the prior year. The increase was due to increased borrowings that partially funded our recent acquisitions.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$6.8 million and $11.8 million for the three and six months ended June 30, 2024 as compared to the corresponding period in the prior year due to higher average cash deposits year over year.</w:t>
      </w:r>
    </w:p>
    <w:p>
      <w:pPr>
        <w:pStyle w:val="TextBody"/>
        <w:bidi w:val="0"/>
        <w:spacing w:before="0" w:after="0"/>
        <w:ind w:left="0" w:right="0" w:firstLine="72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Losses on debt extinguishmen</w:t>
      </w:r>
      <w:r>
        <w:rPr>
          <w:rFonts w:ascii="Times New Roman;sans-serif" w:hAnsi="Times New Roman;sans-serif"/>
          <w:b w:val="false"/>
          <w:color w:val="000000"/>
          <w:sz w:val="20"/>
        </w:rPr>
        <w:t>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redeemed its $500 million, 5.375% Senior Notes that were scheduled to mature in November 2023 during the six months ended June 30, 2023. In connection with this transaction, the Company wrote-off deferred issuance costs of $0.6 million.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 in the Operating Partnership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are cash flow from operations, borrowings from banks, and proceeds from the issuance of debt and equity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$510.0 million and $493.1 million during the six months ended June 30, 2024 and 2023, respectively. The increase in net cash provided by operating activities of $16.8 million for the six months ended June 30, 2024, as compared to the corresponding period in the prior year, was primarily comprised of an increase in cash receipts from customers of $27.1 million and an increase in interest income of $4.9 million. This was partially offset by increases in cash paid for employees of $1.5 million, cash paid for interest of $11.5 million, cash paid for operating expenses of $0.8 million and cash paid for taxes of $1.4 million The increase in cash receipts collected from our customers for the six months ended June 30, 2024, as compared to the corresponding period in the prior year, was due to increased rental income from the Company's recent acquisitions and lease escalations. The increase in interest income was due to higher average cash deposits in the current year.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cash of $604.8 million and $445.9 million during the six months ended June 30, 2024 and 2023, respectively.  Net cash used in investing activities during the six months ended June 30, 2024 primarily consisted of $1.5 million for the acquisition of the real estate for The Belle landside development project, the acquisition of the real estate assets contained within the Tioga Downs Lease and Strategic Gaming Leases which totaled $203.5 million and were accounted for as Investment in leases, financing receivables, Rockford Loan fundings of $53.0 million, the purchase of zero coupon U.S. Treasury Bills totaling $341.0 million, and capital expenditures of $7.6 million, partially offset by the proceeds from a tax refund related to a previous acquisition of $1.8 million. The net cash used in investing activities for the six months ended June 30, 2023 consisted primarily of $419.0 million for the acquisition of the real estate assets which were added to the Bally's Master Lease, and capital expenditures of $26.9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cash of $494.7 million and $276.9 million during the six months ended June 30, 2024 and 2023, respectively. Net cash used in financing activities during the six months ended June 30, 2024 was driven by the repayment of long term debt of $63.5 million, dividend payments of $413.2 million, non-controlling interest distributions of $12.3 million, and taxes paid related to shares withheld for tax purposes on restricted stock award vestings of $14.7 million which were partially offset by proceeds from the issuance of common stock, net of costs, totaling $9.0 million. Cash used in financing activities during the six months ended June 30, 2023 was driven by the repayment of long term debt of $560.1 million, dividend payments of $444.1 million, noncontrolling interest distributions of $12.9 million and taxes paid related to shares withheld for tax purposes on restricted stock award vestings of $13.4 million, partially offset by proceeds from the issuance of long term debt, net of costs of $675.0 million and proceeds from the issuance of common stock, net of costs of $78.7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and 2023, we spent approximately $7.6 million and $26.9 million, respectively, for capital expenditures. The majority of the capital expenditures in 2024 were related to a landside development project at The Belle and in 2023 the expenditures were related to a landside development project at Hollywood Casino Baton Rouge that was completed in August 2023.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closing of Bally's Biloxi and Bally's Tiverton.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June 30, 2024 was 6.73%.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June 30, 2024, the Company was in compliance with all required financial covenants under the Term Loan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obligations, if any, under the Initial Revolving Credit Facility and our Term Loan Credit Agreement. GLP Capital is the primary obligor under the Credit Agreement, which was guaranteed by GLPI.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No. 1 (the "Amendment") to the Credit Agreement (as amended, the "Amended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no amounts were outstanding under the Amended Credit Agreement. Additionally, at June 30, 2024, the Company was contingently obligated under letters of credit issued pursuant to the Amended Credit Agreement with face amounts aggregating approximately $0.4 million, resulting in $1,749.6 million of available borrowing capacity under the Amended Credit Agreement as of June 30,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June 30, 2024, the Company was in compliance with all required financial covenants under the Amended Credit Agreement.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had $6,075.0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in right of payment with all of the Issuers' senior indebtedness, including the Amended Credit Agreement, and senior in right of payment to all of the Issuers' subordinated indebtedness, without giving effect to collateral arrangements.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was in compliance with all required financial covenants under its Senior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level of operations and anticipated earnings, we believe that cash generated from operations and cash on hand, together with amounts available under our Revolver and potential sales of common shares, will be adequate to meet our anticipated debt service requirements, capital expenditures, working capital needs and dividend requirements.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late December 2022, the Company refreshed its ATM capacity to $1 billion (the "2022 ATM Program"). As of June 30, 2024, the Company had</w:t>
      </w:r>
      <w:r>
        <w:rPr>
          <w:color w:val="000000"/>
          <w:shd w:fill="FFFFFF" w:val="clear"/>
        </w:rPr>
        <w:t xml:space="preserve"> </w:t>
      </w:r>
      <w:r>
        <w:rPr>
          <w:rFonts w:ascii="Times New Roman;sans-serif" w:hAnsi="Times New Roman;sans-serif"/>
          <w:b w:val="false"/>
          <w:color w:val="000000"/>
          <w:sz w:val="20"/>
          <w:shd w:fill="FFFFFF" w:val="clear"/>
        </w:rPr>
        <w:t xml:space="preserve">$584.6 </w:t>
      </w:r>
      <w:r>
        <w:rPr>
          <w:rFonts w:ascii="Times New Roman;sans-serif" w:hAnsi="Times New Roman;sans-serif"/>
          <w:b w:val="false"/>
          <w:color w:val="000000"/>
          <w:sz w:val="20"/>
        </w:rPr>
        <w:t xml:space="preserve">million remaining for issuance under the 2022 ATM Program.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issuance of additional OP Units, and/or debt offerings. In addition, the Company intends to redeem its 3.350% senior unsecured notes which are due in September 2024.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2023, for a discussion of the risk related to our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market risk exposure is interest rate risk with respect to its indebtedness of $6,675.4 million at June 30, 2024. Furthermore, $6,075.0 million of our obligations at June 30, 2024 are the senior unsecured notes that have fixed interest rates with maturity dates ranging from approximately two months to nine and a 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at June 30, 2024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June 30, 2024.</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1968" w:type="dxa"/>
        <w:jc w:val="left"/>
        <w:tblInd w:w="0" w:type="dxa"/>
        <w:tblLayout w:type="fixed"/>
        <w:tblCellMar>
          <w:top w:w="28" w:type="dxa"/>
          <w:left w:w="28" w:type="dxa"/>
          <w:bottom w:w="28" w:type="dxa"/>
          <w:right w:w="28" w:type="dxa"/>
        </w:tblCellMar>
      </w:tblPr>
      <w:tblGrid>
        <w:gridCol w:w="326"/>
        <w:gridCol w:w="287"/>
        <w:gridCol w:w="28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07/01/24- 12/31/24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1/01/25- 12/31/25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1/01/26- 12/31/26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1/01/27- 12/31/27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1/01/28- 12/31/28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6/30/2024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6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Long-term debt: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5,803,095 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interest rate </w:t>
            </w:r>
            <w:r>
              <w:rPr>
                <w:rFonts w:ascii="Times New Roman;sans-serif" w:hAnsi="Times New Roman;sans-serif"/>
                <w:b w:val="false"/>
                <w:color w:val="000000"/>
                <w:sz w:val="10"/>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(1) </w:t>
      </w:r>
      <w:r>
        <w:rPr>
          <w:color w:val="000000"/>
        </w:rPr>
        <w:t xml:space="preserve">          </w:t>
      </w:r>
      <w:r>
        <w:rPr>
          <w:rFonts w:ascii="Times New Roman;sans-serif" w:hAnsi="Times New Roman;sans-serif"/>
          <w:b w:val="false"/>
          <w:color w:val="000000"/>
          <w:sz w:val="18"/>
        </w:rPr>
        <w:t xml:space="preserve">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2024,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2024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 response to this Item is incorporated by reference to the information set forth in "Note 9: Commitments and Contingencies" in the Notes to the condensed consolidated financial statements in Part I of this Quarterly Report on Form 10-Q.</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repurchase any shares of common stock or sell any unregistered securities during the three months ended June 30, 2024.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Insider Trading Arrangements and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20, 2024, Desiree Burke, the Company's Chief Financial Officer and Treasurer, entered into a pre-arranged written stock sale plan in accordance with Rule 10b5-1 (the “Burke Rule 10b5-1 Plan”) under the Exchange Act for the sale of shares of the Company’s common stock. The Burke Rule 10b5-1 Plan was entered into during an open trading window in accordance with the Company’s policies regarding transactions in the Company’s securities and is intended to satisfy the affirmative defense of Rule 10b5-1(c) under the Exchange Act. The Burke Rule 10b5-1 Plan provides for the potential sale of shares of the Company’s common stock, including upon the vesting and settlement of restricted stock awards, between January 2, 2025 and January 31, 2025. The aggregate number of shares of common stock that will be available for sale under the Burke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81,333.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Burke Rule 10b5-1 Plan includes a representation from Ms. Burke to the broker administering the plan that she was not in possession of any material nonpublic information regarding the Company or the securities subject to the Burke Rule 10b5-1 Plan at the time it was entered into. A similar representation was made to the Company in connection with the adoption of the Burke Rule 10b5-1 Plan under the Company’s policies regarding transactions in the Company’s securities. Those representations were made as of the date of adoption of the Burke Rule 10b5-1 Plan, and speak only as of such date. In making those representations, there is no assurance with respect to any material nonpublic information of which Ms. Burke was unaware, or with respect to any material nonpublic information acquired by Ms. Burke or the Company after the date of the representation.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24, 2024, Brandon Moore, the Company's Chief Operating Officer, General Counsel and Secretary, entered into a pre-arranged written stock sale plan in accordance with Rule 10b5-1 (the “Moore Rule 10b5-1 Plan”) under the Exchange Act for the sale of shares of the Company’s common stock. The Moore Rule 10b5-1 Plan was entered into during an open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trading window in accordance with the Company’s policies regarding transactions in the Company’s securities and is intended to satisfy the affirmative defense of Rule 10b5-1(c) under the Exchange Act. The Moore Rule 10b5-1 Plan provides for the potential sale of shares of the Company’s common stock, including upon the vesting and settlement of restricted stock awards, between August 22, 2024 and December 31, 2024. The aggregate number of shares of common stock that will be available for sale under the Moore Rule 10b5-1 Plan is not yet determinable because the awards will be net of shares sold to satisfy tax withholding obligations that arise in connection with the settlement of such restricted stock awards. As such, for purposes of this disclosure, the aggregate number of shares of common stock available for sale prior to tax withholding on vested shares is 30,900.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Moore Rule 10b5-1 Plan includes a representation from Mr. Moore to the broker administering the plan that he was not in possession of any material nonpublic information regarding the Company or the securities subject to the Moore Rule 10b5-1 Plan at the time it was entered into. A similar representation was made to the Company in connection with the adoption of the Moore Rule 10b5-1 Plan under the Company’s policies regarding transactions in the Company’s securities. Those representations were made as of the date of adoption of the Moore Rule 10b5-1 Plan, and speak only as of such date. In making those representations, there is no assurance with respect to any material nonpublic information of which Mr. Moore was unaware, or with respect to any material nonpublic information acquired by Mr. Moore or the Company after the date of the representation.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701"/>
        <w:gridCol w:w="2701"/>
        <w:gridCol w:w="3823"/>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glpi-2024630ex221.htm">
              <w:r>
                <w:rPr>
                  <w:rStyle w:val="InternetLink"/>
                  <w:rFonts w:ascii="Times New Roman;sans-serif" w:hAnsi="Times New Roman;sans-serif"/>
                  <w:b w:val="false"/>
                  <w:color w:val="0000FF"/>
                  <w:sz w:val="20"/>
                  <w:u w:val="single"/>
                </w:rPr>
                <w:t>List of Subsidiary Issuers of Guaranteed Securities</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630exhibit311.htm">
              <w:r>
                <w:rPr>
                  <w:rStyle w:val="InternetLink"/>
                  <w:rFonts w:ascii="Times New Roman;sans-serif" w:hAnsi="Times New Roman;sans-serif"/>
                  <w:b w:val="false"/>
                  <w:color w:val="0000FF"/>
                  <w:sz w:val="20"/>
                  <w:u w:val="single"/>
                </w:rPr>
                <w:t xml:space="preserve">Principal Executive Officer Certification pursuant to Rule 13a-14(a) or 15d-14(a) of the Securities Exchange Act of 1934. </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630exhibit312.htm">
              <w:r>
                <w:rPr>
                  <w:rStyle w:val="InternetLink"/>
                  <w:rFonts w:ascii="Times New Roman;sans-serif" w:hAnsi="Times New Roman;sans-serif"/>
                  <w:b w:val="false"/>
                  <w:color w:val="0000FF"/>
                  <w:sz w:val="20"/>
                  <w:u w:val="single"/>
                </w:rPr>
                <w:t>Principal Financial Officer Certification pursuant to Rule 13a-14(a) or 15d-14(a) of the Securities Exchange Act of 1934.</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630exhibit321.htm">
              <w:r>
                <w:rPr>
                  <w:rStyle w:val="InternetLink"/>
                  <w:rFonts w:ascii="Times New Roman;sans-serif" w:hAnsi="Times New Roman;sans-serif"/>
                  <w:b w:val="false"/>
                  <w:color w:val="0000FF"/>
                  <w:sz w:val="20"/>
                  <w:u w:val="single"/>
                </w:rPr>
                <w:t>Principal Executive Officer Certification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630exhibit322.htm">
              <w:r>
                <w:rPr>
                  <w:rStyle w:val="InternetLink"/>
                  <w:rFonts w:ascii="Times New Roman;sans-serif" w:hAnsi="Times New Roman;sans-serif"/>
                  <w:b w:val="false"/>
                  <w:color w:val="0000FF"/>
                  <w:sz w:val="20"/>
                  <w:u w:val="single"/>
                </w:rPr>
                <w:t>Principal Financial Officer Certification pursuant to 18 U.S.C. Section 1350, as adopted pursuant to Section 906 of the Sarbanes-Oxley Act of 2022.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Gaming and Leisure Properties, Inc.'s Quarterly Report on Form 10-Q for the quarter ended June 30, 2024,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June 30, 2024,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8"/>
        </w:rPr>
        <w:t>*    </w:t>
      </w:r>
      <w:r>
        <w:rPr>
          <w:rFonts w:ascii="Times New Roman;sans-serif" w:hAnsi="Times New Roman;sans-serif"/>
          <w:b w:val="false"/>
          <w:color w:val="000000"/>
          <w:sz w:val="20"/>
        </w:rPr>
        <w:t>Filed herewith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301" w:type="dxa"/>
        <w:jc w:val="left"/>
        <w:tblInd w:w="0" w:type="dxa"/>
        <w:tblLayout w:type="fixed"/>
        <w:tblCellMar>
          <w:top w:w="28" w:type="dxa"/>
          <w:left w:w="28" w:type="dxa"/>
          <w:bottom w:w="28" w:type="dxa"/>
          <w:right w:w="28" w:type="dxa"/>
        </w:tblCellMar>
      </w:tblPr>
      <w:tblGrid>
        <w:gridCol w:w="443"/>
        <w:gridCol w:w="390"/>
        <w:gridCol w:w="396"/>
        <w:gridCol w:w="601"/>
        <w:gridCol w:w="601"/>
        <w:gridCol w:w="601"/>
        <w:gridCol w:w="952"/>
        <w:gridCol w:w="952"/>
        <w:gridCol w:w="136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AND LEISURE PROPERTIES, INC.</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22.1</w:t>
      </w:r>
    </w:p>
    <w:p>
      <w:pPr>
        <w:pStyle w:val="TextBody"/>
        <w:bidi w:val="0"/>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List of Subsidiary Issuers of Guaranteed Securities</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subsidiaries of Gaming and Leisure Properties, Inc. (the “Company”) were, as of June 30, 2024, issuers of the (i) $400 million 3.35% senior unsecured notes due September 2024, (ii) $850 million 5.25% senior unsecured notes due June 2025, (iii) $975 million 5.375% senior unsecured notes due April 2026, (iv) $500 million 5.75% senior unsecured notes due June 2028, (v) $750 million 5.30% senior unsecured notes due January 2029, (vi) $700 million 4.00% senior unsecured notes due January 2030, (vii) $700 million 4.000% senior unsecured notes due January 2031, (viii) $800 million 3.25% senior unsecured notes due January 2032, and (ix) $400 million 6.75% senior unsecured notes due December 2033 each guaranteed by the Company:</w:t>
      </w:r>
    </w:p>
    <w:tbl>
      <w:tblPr>
        <w:tblW w:w="6793" w:type="dxa"/>
        <w:jc w:val="left"/>
        <w:tblInd w:w="0" w:type="dxa"/>
        <w:tblLayout w:type="fixed"/>
        <w:tblCellMar>
          <w:top w:w="28" w:type="dxa"/>
          <w:left w:w="28" w:type="dxa"/>
          <w:bottom w:w="28" w:type="dxa"/>
          <w:right w:w="28" w:type="dxa"/>
        </w:tblCellMar>
      </w:tblPr>
      <w:tblGrid>
        <w:gridCol w:w="826"/>
        <w:gridCol w:w="724"/>
        <w:gridCol w:w="729"/>
        <w:gridCol w:w="1320"/>
        <w:gridCol w:w="1320"/>
        <w:gridCol w:w="187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Entity</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Jurisdiction of Incorporation or Formation</w:t>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Peter M. Carlino,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622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03"/>
        <w:gridCol w:w="1303"/>
        <w:gridCol w:w="18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Desiree A. Burke,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45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663"/>
        <w:gridCol w:w="1663"/>
        <w:gridCol w:w="23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Gaming and Leisure Properties, Inc. (the “Company”) on Form 10-Q for the quarter ended June 30, 2024,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49" w:type="dxa"/>
        <w:jc w:val="left"/>
        <w:tblInd w:w="0" w:type="dxa"/>
        <w:tblLayout w:type="fixed"/>
        <w:tblCellMar>
          <w:top w:w="28" w:type="dxa"/>
          <w:left w:w="28" w:type="dxa"/>
          <w:bottom w:w="28" w:type="dxa"/>
          <w:right w:w="28" w:type="dxa"/>
        </w:tblCellMar>
      </w:tblPr>
      <w:tblGrid>
        <w:gridCol w:w="200"/>
        <w:gridCol w:w="177"/>
        <w:gridCol w:w="178"/>
        <w:gridCol w:w="1372"/>
        <w:gridCol w:w="1372"/>
        <w:gridCol w:w="19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Gaming and Leisure Properties, Inc. (the “Company”) on Form 10-Q for the quarter ended June 30, 2024,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80" w:type="dxa"/>
        <w:jc w:val="left"/>
        <w:tblInd w:w="0" w:type="dxa"/>
        <w:tblLayout w:type="fixed"/>
        <w:tblCellMar>
          <w:top w:w="28" w:type="dxa"/>
          <w:left w:w="28" w:type="dxa"/>
          <w:bottom w:w="28" w:type="dxa"/>
          <w:right w:w="28" w:type="dxa"/>
        </w:tblCellMar>
      </w:tblPr>
      <w:tblGrid>
        <w:gridCol w:w="200"/>
        <w:gridCol w:w="177"/>
        <w:gridCol w:w="178"/>
        <w:gridCol w:w="1382"/>
        <w:gridCol w:w="1382"/>
        <w:gridCol w:w="19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38258</Words>
  <Characters>205127</Characters>
  <CharactersWithSpaces>243377</CharactersWithSpaces>
  <Paragraphs>3247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