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color w:val="000000"/>
          <w:sz w:val="30"/>
        </w:rPr>
        <w:t>FORM 10-Q</w:t>
      </w: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For the transition period from          to        </w:t>
      </w:r>
      <w:r>
        <w:rPr>
          <w:color w:val="000000"/>
        </w:rPr>
        <w:t> </w:t>
      </w:r>
    </w:p>
    <w:p>
      <w:pPr>
        <w:pStyle w:val="TextBody"/>
        <w:spacing w:lineRule="auto" w:line="288" w:before="0" w:after="0"/>
        <w:jc w:val="center"/>
        <w:rPr/>
      </w:pPr>
      <w:r>
        <w:rPr>
          <w:rFonts w:ascii="Times New Roman;sans-serif" w:hAnsi="Times New Roman;sans-serif"/>
          <w:b/>
          <w:color w:val="000000"/>
          <w:sz w:val="20"/>
        </w:rPr>
        <w:t>Commission File Number:  001-36124</w:t>
      </w:r>
      <w:r>
        <w:rPr>
          <w:color w:val="000000"/>
        </w:rPr>
        <w:t xml:space="preserve">  </w:t>
      </w:r>
    </w:p>
    <w:p>
      <w:pPr>
        <w:pStyle w:val="TextBody"/>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 xml:space="preserve">Gaming and Leisure Properties, Inc. </w:t>
      </w:r>
    </w:p>
    <w:p>
      <w:pPr>
        <w:pStyle w:val="TextBody"/>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w:t>
      </w:r>
    </w:p>
    <w:tbl>
      <w:tblPr>
        <w:tblW w:w="4555" w:type="dxa"/>
        <w:jc w:val="center"/>
        <w:tblInd w:w="0" w:type="dxa"/>
        <w:tblCellMar>
          <w:top w:w="28" w:type="dxa"/>
          <w:left w:w="28" w:type="dxa"/>
          <w:bottom w:w="28" w:type="dxa"/>
          <w:right w:w="28" w:type="dxa"/>
        </w:tblCellMar>
      </w:tblPr>
      <w:tblGrid>
        <w:gridCol w:w="935"/>
        <w:gridCol w:w="820"/>
        <w:gridCol w:w="824"/>
        <w:gridCol w:w="109"/>
        <w:gridCol w:w="109"/>
        <w:gridCol w:w="109"/>
        <w:gridCol w:w="481"/>
        <w:gridCol w:w="481"/>
        <w:gridCol w:w="687"/>
      </w:tblGrid>
      <w:tr>
        <w:trPr/>
        <w:tc>
          <w:tcPr>
            <w:tcW w:w="935"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46-2116489</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spacing w:lineRule="auto" w:line="288" w:before="0" w:after="0"/>
        <w:jc w:val="center"/>
        <w:rPr/>
      </w:pPr>
      <w:r>
        <w:rPr>
          <w:color w:val="000000"/>
        </w:rPr>
        <w:t> </w:t>
      </w:r>
      <w:r>
        <w:rPr>
          <w:rFonts w:ascii="Times New Roman;sans-serif" w:hAnsi="Times New Roman;sans-serif"/>
          <w:b/>
          <w:color w:val="000000"/>
          <w:sz w:val="19"/>
        </w:rPr>
        <w:t xml:space="preserve">845 Berkshire Blvd., Suite 200 </w:t>
      </w:r>
    </w:p>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Wyomissing, PA 19610 </w:t>
      </w:r>
    </w:p>
    <w:p>
      <w:pPr>
        <w:pStyle w:val="TextBody"/>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 (Zip Code)</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610-401-2900 </w:t>
      </w:r>
    </w:p>
    <w:p>
      <w:pPr>
        <w:pStyle w:val="TextBody"/>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p>
      <w:pPr>
        <w:pStyle w:val="TextBody"/>
        <w:spacing w:lineRule="auto" w:line="288" w:before="0" w:after="0"/>
        <w:jc w:val="center"/>
        <w:rPr/>
      </w:pPr>
      <w:r>
        <w:rPr>
          <w:color w:val="000000"/>
        </w:rPr>
        <w:t> </w:t>
      </w:r>
      <w:r>
        <w:rPr>
          <w:rFonts w:ascii="Times New Roman;sans-serif" w:hAnsi="Times New Roman;sans-serif"/>
          <w:b/>
          <w:color w:val="000000"/>
          <w:sz w:val="19"/>
        </w:rPr>
        <w:t>Not Applicable</w:t>
      </w:r>
    </w:p>
    <w:p>
      <w:pPr>
        <w:pStyle w:val="TextBody"/>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spacing w:lineRule="auto" w:line="288" w:before="120" w:after="283"/>
        <w:ind w:left="0" w:right="0" w:firstLine="360"/>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8392" w:type="dxa"/>
        <w:jc w:val="left"/>
        <w:tblInd w:w="0" w:type="dxa"/>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GLPI</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w:t>
            </w:r>
          </w:p>
        </w:tc>
      </w:tr>
    </w:tbl>
    <w:p>
      <w:pPr>
        <w:pStyle w:val="TextBody"/>
        <w:spacing w:lineRule="auto" w:line="288" w:before="120" w:after="283"/>
        <w:ind w:left="0" w:right="0" w:firstLine="360"/>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ans-serif" w:hAnsi="Times New Roman;sans-serif"/>
          <w:b w:val="false"/>
          <w:color w:val="000000"/>
          <w:sz w:val="19"/>
        </w:rPr>
        <w:t xml:space="preserve">No </w:t>
      </w:r>
      <w:r>
        <w:rPr>
          <w:color w:val="000000"/>
        </w:rPr>
        <w:t>☐</w:t>
      </w:r>
    </w:p>
    <w:p>
      <w:pPr>
        <w:pStyle w:val="TextBody"/>
        <w:spacing w:lineRule="auto" w:line="288" w:before="120" w:after="283"/>
        <w:ind w:left="0" w:right="0" w:firstLine="360"/>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spacing w:lineRule="auto" w:line="288" w:before="120" w:after="283"/>
        <w:ind w:left="0" w:right="0" w:firstLine="360"/>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120" w:after="283"/>
        <w:ind w:left="0" w:right="0" w:firstLine="360"/>
        <w:rPr>
          <w:color w:val="000000"/>
        </w:rPr>
      </w:pPr>
      <w:r>
        <w:rPr>
          <w:color w:val="000000"/>
        </w:rPr>
        <w:t> </w:t>
      </w:r>
    </w:p>
    <w:tbl>
      <w:tblPr>
        <w:tblW w:w="4974" w:type="dxa"/>
        <w:jc w:val="left"/>
        <w:tblInd w:w="0" w:type="dxa"/>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20" w:after="283"/>
        <w:ind w:left="0" w:right="0" w:firstLine="360"/>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ind w:left="0" w:right="0" w:firstLine="360"/>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 xml:space="preserve">No </w:t>
      </w:r>
      <w:r>
        <w:rPr>
          <w:color w:val="000000"/>
        </w:rPr>
        <w:t>☒ </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4495" w:type="dxa"/>
        <w:jc w:val="left"/>
        <w:tblInd w:w="0" w:type="dxa"/>
        <w:tblCellMar>
          <w:top w:w="28" w:type="dxa"/>
          <w:left w:w="28" w:type="dxa"/>
          <w:bottom w:w="28" w:type="dxa"/>
          <w:right w:w="28" w:type="dxa"/>
        </w:tblCellMar>
      </w:tblPr>
      <w:tblGrid>
        <w:gridCol w:w="1070"/>
        <w:gridCol w:w="938"/>
        <w:gridCol w:w="961"/>
        <w:gridCol w:w="109"/>
        <w:gridCol w:w="109"/>
        <w:gridCol w:w="109"/>
        <w:gridCol w:w="351"/>
        <w:gridCol w:w="351"/>
        <w:gridCol w:w="497"/>
      </w:tblGrid>
      <w:tr>
        <w:trPr/>
        <w:tc>
          <w:tcPr>
            <w:tcW w:w="107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21, 2023</w:t>
            </w:r>
          </w:p>
        </w:tc>
      </w:tr>
      <w:tr>
        <w:trPr/>
        <w:tc>
          <w:tcPr>
            <w:tcW w:w="2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262,355,725</w:t>
            </w:r>
          </w:p>
        </w:tc>
      </w:tr>
    </w:tbl>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include, but are not limited to, statements regarding our ability to grow our portfolio of gaming facilities and statements regarding the extent and duration of the economic disruptions related to the novel coronavirus COVID-19 (including variants thereof, "COVID-19") global pandemic on our tenants' operations and our taxable real estate investment trust ("REIT") subsidiaries'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that higher inflation rates and uncertainty with respect to the future state of the economy could have on discretionary consumer spending, including the casino operations of our tenants;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recent stress in the banking sector, rising interest rates and elevated levels of inflation (which have been exacerbated by the armed conflict between Russia and Ukraine);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consequences related to United States government monetary policies and stimulus packages on inflation rates and economic growth;</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degree and nature of our competition;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receive, or delays in obtaining, the regulatory approvals required to own and/or operate our properties, or other delays or impediments to completing our planned acquisitions or projects;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current and uncertain future impact of the COVID-19 outbreak or a new pandemic, including its effect on the ability or desire of people to gather in large groups (including in casinos), which could continue to impact our financial results, operations, outlooks, plans, goals, growth, cash flows, liquidity, and stock price;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certain asset, income, organizational, distribution, shareholder ownership and other requirements on a continuing basis in order for the Company to maintain its REIT status;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and operators to comply with laws, rules and regulations in the operation of our properties, to deliver high quality services, to attract and retain qualified personnel and to attract customers;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generate sufficient cash flows to service our outstanding indebtedness;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through debt and equity markets in amounts and at rates and costs acceptable to GLPI, including for acquisitions or refinancings due to maturities;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changes in our credit rating;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global or regional economic conditions;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qualified personnel and our ability to retain our key management personnel;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United States tax law and other federal, state or local laws, whether or not specific to real estate, REITs or the gaming, lodging or hospitality industries;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accounting standards;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weather or climate events or conditions, natural disasters, acts of terrorism and other international hostilities, war (including the current conflict between Russia and Ukraine) or political instability;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historical financial statements included herein do not reflect what the business, financial position or results of operations of GLPI may be in the future;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inherent in the real estate business, including potential liability relating to environmental matters and illiquidity of real estate investments;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additional factors as discussed in the Company’s Annual Report on Form 10-K for the year ended December 31, 2022 (the "Annual Report"), in this Quarterly Report on Form 10-Q and Current Reports on Form 8-K as filed with the United States Securities and Exchange Commission.</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33"/>
        <w:gridCol w:w="382"/>
        <w:gridCol w:w="386"/>
        <w:gridCol w:w="2876"/>
        <w:gridCol w:w="2876"/>
        <w:gridCol w:w="2879"/>
        <w:gridCol w:w="109"/>
        <w:gridCol w:w="109"/>
        <w:gridCol w:w="155"/>
      </w:tblGrid>
      <w:tr>
        <w:trPr/>
        <w:tc>
          <w:tcPr>
            <w:tcW w:w="43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
              <w:r>
                <w:rPr>
                  <w:rStyle w:val="InternetLink"/>
                  <w:rFonts w:ascii="Times New Roman;sans-serif" w:hAnsi="Times New Roman;sans-serif"/>
                  <w:b w:val="false"/>
                  <w:color w:val="0000FF"/>
                  <w:sz w:val="20"/>
                  <w:u w:val="single"/>
                </w:rPr>
                <w:t>PART I.</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
              <w:r>
                <w:rPr>
                  <w:rStyle w:val="InternetLink"/>
                  <w:rFonts w:ascii="Times New Roman;sans-serif" w:hAnsi="Times New Roman;sans-serif"/>
                  <w:b w:val="false"/>
                  <w:color w:val="0000FF"/>
                  <w:sz w:val="20"/>
                  <w:u w:val="single"/>
                </w:rPr>
                <w:t>FINANCIAL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3">
              <w:r>
                <w:rPr>
                  <w:rStyle w:val="InternetLink"/>
                  <w:rFonts w:ascii="Times New Roman;sans-serif" w:hAnsi="Times New Roman;sans-serif"/>
                  <w:b w:val="false"/>
                  <w:color w:val="0000FF"/>
                  <w:sz w:val="20"/>
                  <w:u w:val="single"/>
                </w:rPr>
                <w:t>4</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6">
              <w:r>
                <w:rPr>
                  <w:rStyle w:val="InternetLink"/>
                  <w:rFonts w:ascii="Times New Roman;sans-serif" w:hAnsi="Times New Roman;sans-serif"/>
                  <w:b w:val="false"/>
                  <w:color w:val="0000FF"/>
                  <w:sz w:val="20"/>
                  <w:u w:val="single"/>
                </w:rPr>
                <w:t>ITEM 1.</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6">
              <w:r>
                <w:rPr>
                  <w:rStyle w:val="InternetLink"/>
                  <w:rFonts w:ascii="Times New Roman;sans-serif" w:hAnsi="Times New Roman;sans-serif"/>
                  <w:b w:val="false"/>
                  <w:color w:val="0000FF"/>
                  <w:sz w:val="20"/>
                  <w:u w:val="single"/>
                </w:rPr>
                <w:t xml:space="preserve">FINANCIAL STATEMENTS </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6">
              <w:r>
                <w:rPr>
                  <w:rStyle w:val="InternetLink"/>
                  <w:rFonts w:ascii="Times New Roman;sans-serif" w:hAnsi="Times New Roman;sans-serif"/>
                  <w:b w:val="false"/>
                  <w:color w:val="0000FF"/>
                  <w:sz w:val="20"/>
                  <w:u w:val="single"/>
                </w:rPr>
                <w:t>4</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9">
              <w:r>
                <w:rPr>
                  <w:rStyle w:val="InternetLink"/>
                </w:rPr>
                <w:t xml:space="preserve">Condensed Consolidated Balance Sheets - </w:t>
              </w:r>
            </w:hyperlink>
            <w:hyperlink w:anchor="i00fcf443b5ab4735963b479dec47cf25_19">
              <w:r>
                <w:rPr>
                  <w:rStyle w:val="InternetLink"/>
                </w:rPr>
                <w:t>M</w:t>
              </w:r>
            </w:hyperlink>
            <w:hyperlink w:anchor="i00fcf443b5ab4735963b479dec47cf25_19">
              <w:r>
                <w:rPr>
                  <w:rStyle w:val="InternetLink"/>
                </w:rPr>
                <w:t>arch</w:t>
              </w:r>
            </w:hyperlink>
            <w:hyperlink w:anchor="i00fcf443b5ab4735963b479dec47cf25_19">
              <w:r>
                <w:rPr>
                  <w:rStyle w:val="InternetLink"/>
                </w:rPr>
                <w:t xml:space="preserve"> 3</w:t>
              </w:r>
            </w:hyperlink>
            <w:hyperlink w:anchor="i00fcf443b5ab4735963b479dec47cf25_19">
              <w:r>
                <w:rPr>
                  <w:rStyle w:val="InternetLink"/>
                </w:rPr>
                <w:t>1</w:t>
              </w:r>
            </w:hyperlink>
            <w:hyperlink w:anchor="i00fcf443b5ab4735963b479dec47cf25_19">
              <w:r>
                <w:rPr>
                  <w:rStyle w:val="InternetLink"/>
                </w:rPr>
                <w:t>, 202</w:t>
              </w:r>
            </w:hyperlink>
            <w:hyperlink w:anchor="i00fcf443b5ab4735963b479dec47cf25_19">
              <w:r>
                <w:rPr>
                  <w:rStyle w:val="InternetLink"/>
                </w:rPr>
                <w:t>3</w:t>
              </w:r>
            </w:hyperlink>
            <w:hyperlink w:anchor="i00fcf443b5ab4735963b479dec47cf25_19">
              <w:r>
                <w:rPr>
                  <w:rStyle w:val="InternetLink"/>
                </w:rPr>
                <w:t xml:space="preserve"> and December 31, 202</w:t>
              </w:r>
            </w:hyperlink>
            <w:r>
              <w:rPr>
                <w:rFonts w:ascii="Times New Roman;sans-serif" w:hAnsi="Times New Roman;sans-serif"/>
                <w:b w:val="false"/>
                <w:color w:val="000000"/>
                <w:sz w:val="20"/>
              </w:rPr>
              <w:t>2</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9">
              <w:r>
                <w:rPr>
                  <w:rStyle w:val="InternetLink"/>
                  <w:rFonts w:ascii="Times New Roman;sans-serif" w:hAnsi="Times New Roman;sans-serif"/>
                  <w:b w:val="false"/>
                  <w:color w:val="0000FF"/>
                  <w:sz w:val="20"/>
                  <w:u w:val="single"/>
                </w:rPr>
                <w:t>4</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0fcf443b5ab4735963b479dec47cf25_22">
              <w:r>
                <w:rPr>
                  <w:rStyle w:val="InternetLink"/>
                </w:rPr>
                <w:t xml:space="preserve">Condensed Consolidated Statements of Income - Three </w:t>
              </w:r>
            </w:hyperlink>
            <w:hyperlink w:anchor="i00fcf443b5ab4735963b479dec47cf25_22">
              <w:r>
                <w:rPr>
                  <w:rStyle w:val="InternetLink"/>
                </w:rPr>
                <w:t xml:space="preserve">Months Ended </w:t>
              </w:r>
            </w:hyperlink>
            <w:hyperlink w:anchor="i00fcf443b5ab4735963b479dec47cf25_22">
              <w:r>
                <w:rPr>
                  <w:rStyle w:val="InternetLink"/>
                </w:rPr>
                <w:t>March 31</w:t>
              </w:r>
            </w:hyperlink>
            <w:hyperlink w:anchor="i00fcf443b5ab4735963b479dec47cf25_22">
              <w:r>
                <w:rPr>
                  <w:rStyle w:val="InternetLink"/>
                </w:rPr>
                <w:t>, 202</w:t>
              </w:r>
            </w:hyperlink>
            <w:hyperlink w:anchor="i00fcf443b5ab4735963b479dec47cf25_22">
              <w:r>
                <w:rPr>
                  <w:rStyle w:val="InternetLink"/>
                </w:rPr>
                <w:t>3</w:t>
              </w:r>
            </w:hyperlink>
            <w:hyperlink w:anchor="i00fcf443b5ab4735963b479dec47cf25_22">
              <w:r>
                <w:rPr>
                  <w:rStyle w:val="InternetLink"/>
                </w:rPr>
                <w:t xml:space="preserve"> and 202</w:t>
              </w:r>
            </w:hyperlink>
            <w:r>
              <w:rPr>
                <w:rFonts w:ascii="Times New Roman;sans-serif" w:hAnsi="Times New Roman;sans-serif"/>
                <w:b w:val="false"/>
                <w:color w:val="000000"/>
                <w:sz w:val="20"/>
              </w:rPr>
              <w:t>2</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22">
              <w:r>
                <w:rPr>
                  <w:rStyle w:val="InternetLink"/>
                  <w:rFonts w:ascii="Times New Roman;sans-serif" w:hAnsi="Times New Roman;sans-serif"/>
                  <w:b w:val="false"/>
                  <w:color w:val="0000FF"/>
                  <w:sz w:val="20"/>
                  <w:u w:val="single"/>
                </w:rPr>
                <w:t>5</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0fcf443b5ab4735963b479dec47cf25_25">
              <w:r>
                <w:rPr>
                  <w:rStyle w:val="InternetLink"/>
                </w:rPr>
                <w:t xml:space="preserve">Condensed Consolidated Statements of Changes in Equity - Three </w:t>
              </w:r>
            </w:hyperlink>
            <w:hyperlink w:anchor="i00fcf443b5ab4735963b479dec47cf25_25">
              <w:r>
                <w:rPr>
                  <w:rStyle w:val="InternetLink"/>
                </w:rPr>
                <w:t xml:space="preserve">Months Ended </w:t>
              </w:r>
            </w:hyperlink>
            <w:hyperlink w:anchor="i00fcf443b5ab4735963b479dec47cf25_25">
              <w:r>
                <w:rPr>
                  <w:rStyle w:val="InternetLink"/>
                </w:rPr>
                <w:t>March 31</w:t>
              </w:r>
            </w:hyperlink>
            <w:hyperlink w:anchor="i00fcf443b5ab4735963b479dec47cf25_25">
              <w:r>
                <w:rPr>
                  <w:rStyle w:val="InternetLink"/>
                </w:rPr>
                <w:t>, 202</w:t>
              </w:r>
            </w:hyperlink>
            <w:hyperlink w:anchor="i00fcf443b5ab4735963b479dec47cf25_25">
              <w:r>
                <w:rPr>
                  <w:rStyle w:val="InternetLink"/>
                </w:rPr>
                <w:t>3</w:t>
              </w:r>
            </w:hyperlink>
            <w:hyperlink w:anchor="i00fcf443b5ab4735963b479dec47cf25_25">
              <w:r>
                <w:rPr>
                  <w:rStyle w:val="InternetLink"/>
                </w:rPr>
                <w:t xml:space="preserve"> and 202</w:t>
              </w:r>
            </w:hyperlink>
            <w:r>
              <w:rPr>
                <w:rFonts w:ascii="Times New Roman;sans-serif" w:hAnsi="Times New Roman;sans-serif"/>
                <w:b w:val="false"/>
                <w:color w:val="000000"/>
                <w:sz w:val="20"/>
              </w:rPr>
              <w:t>2</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25">
              <w:r>
                <w:rPr>
                  <w:rStyle w:val="InternetLink"/>
                  <w:rFonts w:ascii="Times New Roman;sans-serif" w:hAnsi="Times New Roman;sans-serif"/>
                  <w:b w:val="false"/>
                  <w:color w:val="0000FF"/>
                  <w:sz w:val="20"/>
                  <w:u w:val="single"/>
                </w:rPr>
                <w:t>6</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00fcf443b5ab4735963b479dec47cf25_28">
              <w:r>
                <w:rPr>
                  <w:rStyle w:val="InternetLink"/>
                </w:rPr>
                <w:t xml:space="preserve">Condensed Consolidated Statements of Cash Flows - </w:t>
              </w:r>
            </w:hyperlink>
            <w:hyperlink w:anchor="i00fcf443b5ab4735963b479dec47cf25_28">
              <w:r>
                <w:rPr>
                  <w:rStyle w:val="InternetLink"/>
                </w:rPr>
                <w:t>Three</w:t>
              </w:r>
            </w:hyperlink>
            <w:hyperlink w:anchor="i00fcf443b5ab4735963b479dec47cf25_28">
              <w:r>
                <w:rPr>
                  <w:rStyle w:val="InternetLink"/>
                </w:rPr>
                <w:t xml:space="preserve"> Months Ended </w:t>
              </w:r>
            </w:hyperlink>
            <w:hyperlink w:anchor="i00fcf443b5ab4735963b479dec47cf25_28">
              <w:r>
                <w:rPr>
                  <w:rStyle w:val="InternetLink"/>
                </w:rPr>
                <w:t>March</w:t>
              </w:r>
            </w:hyperlink>
            <w:hyperlink w:anchor="i00fcf443b5ab4735963b479dec47cf25_28">
              <w:r>
                <w:rPr>
                  <w:rStyle w:val="InternetLink"/>
                </w:rPr>
                <w:t xml:space="preserve"> 3</w:t>
              </w:r>
            </w:hyperlink>
            <w:hyperlink w:anchor="i00fcf443b5ab4735963b479dec47cf25_28">
              <w:r>
                <w:rPr>
                  <w:rStyle w:val="InternetLink"/>
                </w:rPr>
                <w:t>1</w:t>
              </w:r>
            </w:hyperlink>
            <w:hyperlink w:anchor="i00fcf443b5ab4735963b479dec47cf25_28">
              <w:r>
                <w:rPr>
                  <w:rStyle w:val="InternetLink"/>
                </w:rPr>
                <w:t>, 202</w:t>
              </w:r>
            </w:hyperlink>
            <w:hyperlink w:anchor="i00fcf443b5ab4735963b479dec47cf25_28">
              <w:r>
                <w:rPr>
                  <w:rStyle w:val="InternetLink"/>
                </w:rPr>
                <w:t>3</w:t>
              </w:r>
            </w:hyperlink>
            <w:hyperlink w:anchor="i00fcf443b5ab4735963b479dec47cf25_28">
              <w:r>
                <w:rPr>
                  <w:rStyle w:val="InternetLink"/>
                </w:rPr>
                <w:t xml:space="preserve"> and 202</w:t>
              </w:r>
            </w:hyperlink>
            <w:hyperlink w:anchor="i00fcf443b5ab4735963b479dec47cf25_28">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28">
              <w:r>
                <w:rPr>
                  <w:rStyle w:val="InternetLink"/>
                  <w:rFonts w:ascii="Times New Roman;sans-serif" w:hAnsi="Times New Roman;sans-serif"/>
                  <w:b w:val="false"/>
                  <w:color w:val="0000FF"/>
                  <w:sz w:val="20"/>
                  <w:u w:val="single"/>
                </w:rPr>
                <w:t>7</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31">
              <w:r>
                <w:rPr>
                  <w:rStyle w:val="InternetLink"/>
                  <w:rFonts w:ascii="Times New Roman;sans-serif" w:hAnsi="Times New Roman;sans-serif"/>
                  <w:b w:val="false"/>
                  <w:color w:val="0000FF"/>
                  <w:sz w:val="20"/>
                  <w:u w:val="single"/>
                </w:rPr>
                <w:t>Notes to the Condensed Consolidated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31">
              <w:r>
                <w:rPr>
                  <w:rStyle w:val="InternetLink"/>
                  <w:rFonts w:ascii="Times New Roman;sans-serif" w:hAnsi="Times New Roman;sans-serif"/>
                  <w:b w:val="false"/>
                  <w:color w:val="0000FF"/>
                  <w:sz w:val="20"/>
                  <w:u w:val="single"/>
                </w:rPr>
                <w:t>8</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88">
              <w:r>
                <w:rPr>
                  <w:rStyle w:val="InternetLink"/>
                  <w:rFonts w:ascii="Times New Roman;sans-serif" w:hAnsi="Times New Roman;sans-serif"/>
                  <w:b w:val="false"/>
                  <w:color w:val="0000FF"/>
                  <w:sz w:val="20"/>
                  <w:u w:val="single"/>
                </w:rPr>
                <w:t>ITEM 2.</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88">
              <w:r>
                <w:rPr>
                  <w:rStyle w:val="InternetLink"/>
                  <w:rFonts w:ascii="Times New Roman;sans-serif" w:hAnsi="Times New Roman;sans-serif"/>
                  <w:b w:val="false"/>
                  <w:color w:val="0000FF"/>
                  <w:sz w:val="20"/>
                  <w:u w:val="single"/>
                </w:rPr>
                <w:t>32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06">
              <w:r>
                <w:rPr>
                  <w:rStyle w:val="InternetLink"/>
                  <w:rFonts w:ascii="Times New Roman;sans-serif" w:hAnsi="Times New Roman;sans-serif"/>
                  <w:b w:val="false"/>
                  <w:color w:val="0000FF"/>
                  <w:sz w:val="20"/>
                  <w:u w:val="single"/>
                </w:rPr>
                <w:t>ITEM 3.</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06">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06">
              <w:r>
                <w:rPr>
                  <w:rStyle w:val="InternetLink"/>
                  <w:rFonts w:ascii="Times New Roman;sans-serif" w:hAnsi="Times New Roman;sans-serif"/>
                  <w:b w:val="false"/>
                  <w:color w:val="0000FF"/>
                  <w:sz w:val="20"/>
                  <w:u w:val="single"/>
                </w:rPr>
                <w:t>50</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09">
              <w:r>
                <w:rPr>
                  <w:rStyle w:val="InternetLink"/>
                  <w:rFonts w:ascii="Times New Roman;sans-serif" w:hAnsi="Times New Roman;sans-serif"/>
                  <w:b w:val="false"/>
                  <w:color w:val="0000FF"/>
                  <w:sz w:val="20"/>
                  <w:u w:val="single"/>
                </w:rPr>
                <w:t>ITEM 4.</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09">
              <w:r>
                <w:rPr>
                  <w:rStyle w:val="InternetLink"/>
                  <w:rFonts w:ascii="Times New Roman;sans-serif" w:hAnsi="Times New Roman;sans-serif"/>
                  <w:b w:val="false"/>
                  <w:color w:val="0000FF"/>
                  <w:sz w:val="20"/>
                  <w:u w:val="single"/>
                </w:rPr>
                <w:t>CONTROLS AND PROCEDURES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09">
              <w:r>
                <w:rPr>
                  <w:rStyle w:val="InternetLink"/>
                  <w:rFonts w:ascii="Times New Roman;sans-serif" w:hAnsi="Times New Roman;sans-serif"/>
                  <w:b w:val="false"/>
                  <w:color w:val="0000FF"/>
                  <w:sz w:val="20"/>
                  <w:u w:val="single"/>
                </w:rPr>
                <w:t>51</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12">
              <w:r>
                <w:rPr>
                  <w:rStyle w:val="InternetLink"/>
                  <w:rFonts w:ascii="Times New Roman;sans-serif" w:hAnsi="Times New Roman;sans-serif"/>
                  <w:b w:val="false"/>
                  <w:color w:val="0000FF"/>
                  <w:sz w:val="20"/>
                  <w:u w:val="single"/>
                </w:rPr>
                <w:t>PART II.</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12">
              <w:r>
                <w:rPr>
                  <w:rStyle w:val="InternetLink"/>
                  <w:rFonts w:ascii="Times New Roman;sans-serif" w:hAnsi="Times New Roman;sans-serif"/>
                  <w:b w:val="false"/>
                  <w:color w:val="0000FF"/>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12">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15">
              <w:r>
                <w:rPr>
                  <w:rStyle w:val="InternetLink"/>
                  <w:rFonts w:ascii="Times New Roman;sans-serif" w:hAnsi="Times New Roman;sans-serif"/>
                  <w:b w:val="false"/>
                  <w:color w:val="0000FF"/>
                  <w:sz w:val="20"/>
                  <w:u w:val="single"/>
                </w:rPr>
                <w:t>ITEM 1.</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15">
              <w:r>
                <w:rPr>
                  <w:rStyle w:val="InternetLink"/>
                  <w:rFonts w:ascii="Times New Roman;sans-serif" w:hAnsi="Times New Roman;sans-serif"/>
                  <w:b w:val="false"/>
                  <w:color w:val="0000FF"/>
                  <w:sz w:val="20"/>
                  <w:u w:val="single"/>
                </w:rPr>
                <w:t>LEGAL PROCEEDINGS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15">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18">
              <w:r>
                <w:rPr>
                  <w:rStyle w:val="InternetLink"/>
                  <w:rFonts w:ascii="Times New Roman;sans-serif" w:hAnsi="Times New Roman;sans-serif"/>
                  <w:b w:val="false"/>
                  <w:color w:val="0000FF"/>
                  <w:sz w:val="20"/>
                  <w:u w:val="single"/>
                </w:rPr>
                <w:t>ITEM 1A.</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18">
              <w:r>
                <w:rPr>
                  <w:rStyle w:val="InternetLink"/>
                  <w:rFonts w:ascii="Times New Roman;sans-serif" w:hAnsi="Times New Roman;sans-serif"/>
                  <w:b w:val="false"/>
                  <w:color w:val="0000FF"/>
                  <w:sz w:val="20"/>
                  <w:u w:val="single"/>
                </w:rPr>
                <w:t>RISK FACTORS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18">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21">
              <w:r>
                <w:rPr>
                  <w:rStyle w:val="InternetLink"/>
                  <w:rFonts w:ascii="Times New Roman;sans-serif" w:hAnsi="Times New Roman;sans-serif"/>
                  <w:b w:val="false"/>
                  <w:color w:val="0000FF"/>
                  <w:sz w:val="20"/>
                  <w:u w:val="single"/>
                </w:rPr>
                <w:t>ITEM 2.</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21">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21">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24">
              <w:r>
                <w:rPr>
                  <w:rStyle w:val="InternetLink"/>
                  <w:rFonts w:ascii="Times New Roman;sans-serif" w:hAnsi="Times New Roman;sans-serif"/>
                  <w:b w:val="false"/>
                  <w:color w:val="0000FF"/>
                  <w:sz w:val="20"/>
                  <w:u w:val="single"/>
                </w:rPr>
                <w:t>ITEM 3.</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24">
              <w:r>
                <w:rPr>
                  <w:rStyle w:val="InternetLink"/>
                  <w:rFonts w:ascii="Times New Roman;sans-serif" w:hAnsi="Times New Roman;sans-serif"/>
                  <w:b w:val="false"/>
                  <w:color w:val="0000FF"/>
                  <w:sz w:val="20"/>
                  <w:u w:val="single"/>
                </w:rPr>
                <w:t>DEFAULTS UPON SENIOR SECURITIES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24">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27">
              <w:r>
                <w:rPr>
                  <w:rStyle w:val="InternetLink"/>
                  <w:rFonts w:ascii="Times New Roman;sans-serif" w:hAnsi="Times New Roman;sans-serif"/>
                  <w:b w:val="false"/>
                  <w:color w:val="0000FF"/>
                  <w:sz w:val="20"/>
                  <w:u w:val="single"/>
                </w:rPr>
                <w:t>ITEM 4.</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27">
              <w:r>
                <w:rPr>
                  <w:rStyle w:val="InternetLink"/>
                  <w:rFonts w:ascii="Times New Roman;sans-serif" w:hAnsi="Times New Roman;sans-serif"/>
                  <w:b w:val="false"/>
                  <w:color w:val="0000FF"/>
                  <w:sz w:val="20"/>
                  <w:u w:val="single"/>
                </w:rPr>
                <w:t>MINE SAFETY DISCLOSURES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27">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0">
              <w:r>
                <w:rPr>
                  <w:rStyle w:val="InternetLink"/>
                  <w:rFonts w:ascii="Times New Roman;sans-serif" w:hAnsi="Times New Roman;sans-serif"/>
                  <w:b w:val="false"/>
                  <w:color w:val="0000FF"/>
                  <w:sz w:val="20"/>
                  <w:u w:val="single"/>
                </w:rPr>
                <w:t>ITEM 5.</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0">
              <w:r>
                <w:rPr>
                  <w:rStyle w:val="InternetLink"/>
                  <w:rFonts w:ascii="Times New Roman;sans-serif" w:hAnsi="Times New Roman;sans-serif"/>
                  <w:b w:val="false"/>
                  <w:color w:val="0000FF"/>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30">
              <w:r>
                <w:rPr>
                  <w:rStyle w:val="InternetLink"/>
                  <w:rFonts w:ascii="Times New Roman;sans-serif" w:hAnsi="Times New Roman;sans-serif"/>
                  <w:b w:val="false"/>
                  <w:color w:val="0000FF"/>
                  <w:sz w:val="20"/>
                  <w:u w:val="single"/>
                </w:rPr>
                <w:t>52</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3">
              <w:r>
                <w:rPr>
                  <w:rStyle w:val="InternetLink"/>
                  <w:rFonts w:ascii="Times New Roman;sans-serif" w:hAnsi="Times New Roman;sans-serif"/>
                  <w:b w:val="false"/>
                  <w:color w:val="0000FF"/>
                  <w:sz w:val="20"/>
                  <w:u w:val="single"/>
                </w:rPr>
                <w:t>ITEM 6.</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3">
              <w:r>
                <w:rPr>
                  <w:rStyle w:val="InternetLink"/>
                  <w:rFonts w:ascii="Times New Roman;sans-serif" w:hAnsi="Times New Roman;sans-serif"/>
                  <w:b w:val="false"/>
                  <w:color w:val="0000FF"/>
                  <w:sz w:val="20"/>
                  <w:u w:val="single"/>
                </w:rPr>
                <w:t>EXHIBITS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33">
              <w:r>
                <w:rPr>
                  <w:rStyle w:val="InternetLink"/>
                  <w:rFonts w:ascii="Times New Roman;sans-serif" w:hAnsi="Times New Roman;sans-serif"/>
                  <w:b w:val="false"/>
                  <w:color w:val="0000FF"/>
                  <w:sz w:val="20"/>
                  <w:u w:val="single"/>
                </w:rPr>
                <w:t>53</w:t>
              </w:r>
            </w:hyperlink>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0fcf443b5ab4735963b479dec47cf25_136">
              <w:r>
                <w:rPr>
                  <w:rStyle w:val="InternetLink"/>
                  <w:rFonts w:ascii="Times New Roman;sans-serif" w:hAnsi="Times New Roman;sans-serif"/>
                  <w:b w:val="false"/>
                  <w:color w:val="0000FF"/>
                  <w:sz w:val="20"/>
                  <w:u w:val="single"/>
                </w:rPr>
                <w:t>SIGNATURE</w:t>
              </w:r>
            </w:hyperlink>
          </w:p>
        </w:tc>
        <w:tc>
          <w:tcPr>
            <w:tcW w:w="8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0fcf443b5ab4735963b479dec47cf25_136">
              <w:r>
                <w:rPr>
                  <w:rStyle w:val="InternetLink"/>
                  <w:rFonts w:ascii="Times New Roman;sans-serif" w:hAnsi="Times New Roman;sans-serif"/>
                  <w:b w:val="false"/>
                  <w:color w:val="0000FF"/>
                  <w:sz w:val="20"/>
                  <w:u w:val="single"/>
                </w:rPr>
                <w:t>54</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628"/>
        <w:gridCol w:w="2192"/>
        <w:gridCol w:w="2210"/>
        <w:gridCol w:w="211"/>
        <w:gridCol w:w="1081"/>
        <w:gridCol w:w="109"/>
        <w:gridCol w:w="109"/>
        <w:gridCol w:w="109"/>
        <w:gridCol w:w="109"/>
        <w:gridCol w:w="211"/>
        <w:gridCol w:w="1081"/>
        <w:gridCol w:w="155"/>
      </w:tblGrid>
      <w:tr>
        <w:trPr/>
        <w:tc>
          <w:tcPr>
            <w:tcW w:w="2628"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7,707,935 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10,930,386 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unamortized debt issuance costs, bond premiums and original issuance discounts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6,291,470 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6,128,468 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rental revenue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7" w:type="dxa"/>
            <w:gridSpan w:val="3"/>
            <w:tcBorders/>
            <w:shd w:fill="auto" w:val="cle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6,812,290 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8)</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50,000,000 shares authorized, no shares issued or outstanding at March 31, 2023 and December 31, 2022)</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500,000,000 shares authorized, 262,355,725 and 260,727,030 shares issued and outstanding at March 31, 2023 and December 31, 2022, respectively)</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(1,798,216)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attributable to Gaming and Leisure Properties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3,777,958 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GLPI's Operating Partnership (7,653,326 units and 7,366,683 units outstanding at March 31, 2023 and December 31, 2022, respectively)</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10,930,386 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color w:val="000000"/>
        </w:rPr>
      </w:pPr>
      <w:r>
        <w:rPr>
          <w:color w:val="000000"/>
        </w:rPr>
        <w:t> </w:t>
      </w:r>
    </w:p>
    <w:p>
      <w:pPr>
        <w:pStyle w:val="TextBody"/>
        <w:spacing w:lineRule="auto" w:line="288" w:before="0" w:after="0"/>
        <w:jc w:val="center"/>
        <w:rPr>
          <w:color w:val="000000"/>
        </w:rPr>
      </w:pPr>
      <w:r>
        <w:rPr>
          <w:color w:val="000000"/>
        </w:rPr>
        <w:t>        </w:t>
      </w:r>
    </w:p>
    <w:tbl>
      <w:tblPr>
        <w:tblW w:w="9655" w:type="dxa"/>
        <w:jc w:val="center"/>
        <w:tblInd w:w="0" w:type="dxa"/>
        <w:tblCellMar>
          <w:top w:w="28" w:type="dxa"/>
          <w:left w:w="28" w:type="dxa"/>
          <w:bottom w:w="28" w:type="dxa"/>
          <w:right w:w="28" w:type="dxa"/>
        </w:tblCellMar>
      </w:tblPr>
      <w:tblGrid>
        <w:gridCol w:w="2378"/>
        <w:gridCol w:w="2081"/>
        <w:gridCol w:w="2096"/>
        <w:gridCol w:w="211"/>
        <w:gridCol w:w="826"/>
        <w:gridCol w:w="109"/>
        <w:gridCol w:w="109"/>
        <w:gridCol w:w="109"/>
        <w:gridCol w:w="109"/>
        <w:gridCol w:w="211"/>
        <w:gridCol w:w="826"/>
        <w:gridCol w:w="109"/>
        <w:gridCol w:w="109"/>
        <w:gridCol w:w="109"/>
        <w:gridCol w:w="109"/>
        <w:gridCol w:w="154"/>
      </w:tblGrid>
      <w:tr>
        <w:trPr/>
        <w:tc>
          <w:tcPr>
            <w:tcW w:w="2378"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investment in leases, financing receivables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from dispositions of property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credit losses,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Losses on debt extinguishment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shareholders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shareholders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color w:val="000000"/>
        </w:rPr>
      </w:pPr>
      <w:r>
        <w:rPr>
          <w:color w:val="000000"/>
        </w:rPr>
        <w:t> </w:t>
      </w:r>
    </w:p>
    <w:tbl>
      <w:tblPr>
        <w:tblW w:w="10670" w:type="dxa"/>
        <w:jc w:val="center"/>
        <w:tblInd w:w="0" w:type="dxa"/>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Operating Partnership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260,727,030 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1,284,556 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64,329 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($0.97 per common share)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262,355,725 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352,964 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4,118,191 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tbl>
      <w:tblPr>
        <w:tblW w:w="10670" w:type="dxa"/>
        <w:jc w:val="center"/>
        <w:tblInd w:w="0" w:type="dxa"/>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Operating Partnership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247,206,937 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3,390,140 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337,406 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($0.69 per common share)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(171,005)</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137,043 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121,692 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247,544,343 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3,468,485 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1411"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center"/>
        <w:tblInd w:w="0" w:type="dxa"/>
        <w:tblCellMar>
          <w:top w:w="28" w:type="dxa"/>
          <w:left w:w="28" w:type="dxa"/>
          <w:bottom w:w="28" w:type="dxa"/>
          <w:right w:w="28" w:type="dxa"/>
        </w:tblCellMar>
      </w:tblPr>
      <w:tblGrid>
        <w:gridCol w:w="2613"/>
        <w:gridCol w:w="2289"/>
        <w:gridCol w:w="2310"/>
        <w:gridCol w:w="109"/>
        <w:gridCol w:w="109"/>
        <w:gridCol w:w="109"/>
        <w:gridCol w:w="211"/>
        <w:gridCol w:w="826"/>
        <w:gridCol w:w="109"/>
        <w:gridCol w:w="109"/>
        <w:gridCol w:w="109"/>
        <w:gridCol w:w="109"/>
        <w:gridCol w:w="211"/>
        <w:gridCol w:w="826"/>
        <w:gridCol w:w="156"/>
      </w:tblGrid>
      <w:tr>
        <w:trPr/>
        <w:tc>
          <w:tcPr>
            <w:tcW w:w="2613"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from dispositions of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credit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project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property, net of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of real estate,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(230,396)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distributions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shares withheld for tax purposes on restricted stock award vestings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paid on senior unsecured note redemption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and Note 13 for supplemental cash flow information and noncash investing and financing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Business and Operations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 ("</w:t>
      </w:r>
      <w:r>
        <w:rPr>
          <w:rFonts w:ascii="Times New Roman;sans-serif" w:hAnsi="Times New Roman;sans-serif"/>
          <w:b w:val="false"/>
          <w:color w:val="000000"/>
          <w:sz w:val="20"/>
        </w:rPr>
        <w:t>ASC 505"</w:t>
      </w:r>
      <w:r>
        <w:rPr>
          <w:rFonts w:ascii="Times New Roman;sans-serif" w:hAnsi="Times New Roman;sans-serif"/>
          <w:b w:val="false"/>
          <w:i/>
          <w:color w:val="000000"/>
          <w:sz w:val="20"/>
        </w:rPr>
        <w:t>).</w:t>
      </w:r>
      <w:r>
        <w:rPr>
          <w:color w:val="000000"/>
        </w:rPr>
        <w:t xml:space="preserve">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On July 1, 2021, the Company sold the operations of Hollywood Casino Perryville to PENN and leased the real estate to PENN pursuant to a standalone lease. On December 17, 2021, the Company sold the operations of Hollywood Casino Baton Rouge to Casino Queen Holding Company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LP., the operating partnership of GLPI ("GLP Capital").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and Tropicana LV, LLC, a wholly owned subsidiary of the Company that at the time held the real estate of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and GLPI paid a special earnings and profits dividend of $0.25 per share in the first quarter of 2023 related to the sale of the building.</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to be treated as a TRS effective December 23, 2021. On January 3, 2023, the Company issued 286,643 OP Units to affiliates of Bally's in connection with its acquisition of Bally's Hard Rock Hotel &amp; Casino ("Bally's Biloxi") and Bally's Tiverton Casino &amp; Hotel ("Bally's Tiverton").</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GLPI’s primary business consists of acquiring, financing, and owning real estate property to be leased to gaming operators in triple-net lease arrangements. As of March 31, 2023, GLPI’s portfolio consisted of interests in 59 gaming and related facilities,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the real property associated with 3 gaming and related facilities operated by Cordish and the real property associated with 2 gaming and related facilities operated by Casino Queen. These facilities, including our corporate headquarters building, are geographically diversified across 18 states and contain approximately 30.2 million square feet. As of March 31, 2023, the Company's properties were 100% occupied. GLPI expects to continue growing its portfolio by pursuing opportunities to acquire additional gaming facilities to lease to gaming operators under prudent terms.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"Original PENN Master Lease"). The Original PENN Master Lease is a triple-net operating lease, the term of which expires on October 31, 2033, with no purchase option, followed by three remaining 5-year renewal options (exercisable by the tenant) on the same terms and conditions.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current properties. The companies also agreed to a funding mechanism to support PENN's pursuit of relocation and development opportunities at several of the properties included in the new master lease. The transaction, including the creation of the new master lease, became effective on January 1, 2023.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PENN 2023 Master Lease and the Amended PENN Master Lease are substantially similar to the Original PENN Master Lease with the following key differences;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PENN 2023 Master Lease is cross-defaulted and co-terminus with the Amended PENN Master Lease.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PENN 2023 Master Lease is $232.2 million in base rent which is fixed with annual escalations of 1.50%, with the first escalation to occur for the lease year beginning on November 1, 2023.</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Amended PENN Master Lease is $284.1 million, consisting of $208.2 million of building base rent, $43.0 million of land base rent, and $32.9 million of percentage rent.</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thresholds are met, and a component that is based on the performance of the facilities which is adjusted, subject to certain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floors, every two years to an amount equal to 4% of the average annual net revenues of Belterra Park during the preceding two years in excess of a contractual baseline.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Second Amended and Restated Caesars Master Lease</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spacing w:before="0" w:after="0"/>
        <w:ind w:left="0" w:right="0" w:firstLine="495"/>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initial annual rent of $40.0 million and an initial term of 15 years, with no purchase option, followed by four 5 year renewal options (exercisable by the tenant) on the same terms and conditions.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rent for the lease was increased by $12.0 million on an annual basis.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closed its previously announced acquisition from Bally's of the land and real estate assets of Bally's Biloxi and Bally's Tiverton for $635.0 million in total consideration, inclusive of $15 million in the form of OP units. These properties were added to the existing Bally's Master Lease. The initial annual rent for the lease was increased by $48.5 million on an annual basis. All rent in the Bally's Master Lease is subject to contractual escalations based on the Consumer Price Index ("CPI"), with a 1% floor and 2% ceiling, subject to the CPI meeting a 0.5% threshold.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2024 for a purchase price of $771.0 million and additional rent of $58.8 million.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spacing w:before="0" w:after="0"/>
        <w:ind w:left="0" w:right="0" w:firstLine="495"/>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initial annual rent of $10.5 million. All rent is subject to contractual escalations based on the CPI, with a 1% floor and 2% ceiling, subject to the CPI meeting a 0.5% threshold. The ground lease is supported by a Bally’s corporate guarantee and cross-defaulted with the Bally's Master Lease (the "Tropicana Las Vegas Lease").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term of 20 years, followed by six 5-year renewal options exercisable by the tenant (the "Morgantown Lease"). </w:t>
      </w:r>
    </w:p>
    <w:p>
      <w:pPr>
        <w:pStyle w:val="TextBody"/>
        <w:spacing w:before="0" w:after="0"/>
        <w:ind w:left="0" w:right="0" w:firstLine="720"/>
        <w:jc w:val="both"/>
        <w:rPr/>
      </w:pPr>
      <w:r>
        <w:rPr/>
      </w:r>
    </w:p>
    <w:p>
      <w:pPr>
        <w:pStyle w:val="TextBody"/>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Casino Queen Master Lease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initial annual cash rent is approximately $21.4 million and the lease has an initial term of 15 years with four 5-year renewal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by the tenant) on the same terms and conditions.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until December 2023.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the Maryland Live! Lease is $75.0 million and the Pennsylvania Live! Master Lease is $50.0 million, both of which have a 1.75% fixed yearly escalator on the entirety of rent commencing on the leases' second anniversary.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2.    Basis of Presentation</w:t>
      </w:r>
      <w:r>
        <w:rPr>
          <w:color w:val="000000"/>
        </w:rPr>
        <w:t xml:space="preserv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2023 are not necessarily indicative of the results that may be expected for the year ending December 31, 2023. The consolidated financial statements contained in our Annual Report on Form 10-K for the year ended December 31, 2022 (our "Annual Report") should be read in conjunction with these condensed consolidated financial statements. The December 31, 2022 financial information has been derived from the Company’s audited consolidated financial statements.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Investment in leases, financing receivables, net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Maryland Live! Lease that became effective on December 29, 2021 and the Pennsylvania Live! Master Lease that became effective March 1, 2022, the Company recorded an Investment in leases, financing receivables, net, as the sale lease back transactions were accounted for as failed sale leasebacks. The following is a summary of the balances of the Company's Investment in leases, financing receivables, net.</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7823" w:type="dxa"/>
        <w:jc w:val="left"/>
        <w:tblInd w:w="0" w:type="dxa"/>
        <w:tblCellMar>
          <w:top w:w="28" w:type="dxa"/>
          <w:left w:w="28" w:type="dxa"/>
          <w:bottom w:w="28" w:type="dxa"/>
          <w:right w:w="28" w:type="dxa"/>
        </w:tblCellMar>
      </w:tblPr>
      <w:tblGrid>
        <w:gridCol w:w="1760"/>
        <w:gridCol w:w="1547"/>
        <w:gridCol w:w="1552"/>
        <w:gridCol w:w="211"/>
        <w:gridCol w:w="976"/>
        <w:gridCol w:w="109"/>
        <w:gridCol w:w="109"/>
        <w:gridCol w:w="109"/>
        <w:gridCol w:w="109"/>
        <w:gridCol w:w="211"/>
        <w:gridCol w:w="976"/>
        <w:gridCol w:w="154"/>
      </w:tblGrid>
      <w:tr>
        <w:trPr/>
        <w:tc>
          <w:tcPr>
            <w:tcW w:w="1760"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lease payments receivable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residual values of lease property (unguaranteed)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940,885 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(5,657,848)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(5,695,094)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 financing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present value of the net investment in the lease payment receivable and unguaranteed residual value at March 31, 2023 was $1,876.0 million and $51.8 million compared to $1,871.5 million and $50.8 million at December 31, 2022. </w:t>
      </w:r>
    </w:p>
    <w:p>
      <w:pPr>
        <w:pStyle w:val="TextBody"/>
        <w:spacing w:before="160" w:after="283"/>
        <w:ind w:left="0" w:right="0" w:firstLine="720"/>
        <w:rPr/>
      </w:pPr>
      <w:r>
        <w:rPr/>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minimum lease payments owed to us for each of the five succeeding years under the Company's financing receivables were as follows (in thousands):</w:t>
      </w:r>
    </w:p>
    <w:tbl>
      <w:tblPr>
        <w:tblW w:w="4695" w:type="dxa"/>
        <w:jc w:val="left"/>
        <w:tblInd w:w="0" w:type="dxa"/>
        <w:tblCellMar>
          <w:top w:w="28" w:type="dxa"/>
          <w:left w:w="28" w:type="dxa"/>
          <w:bottom w:w="28" w:type="dxa"/>
          <w:right w:w="28" w:type="dxa"/>
        </w:tblCellMar>
      </w:tblPr>
      <w:tblGrid>
        <w:gridCol w:w="766"/>
        <w:gridCol w:w="673"/>
        <w:gridCol w:w="676"/>
        <w:gridCol w:w="406"/>
        <w:gridCol w:w="1878"/>
        <w:gridCol w:w="296"/>
      </w:tblGrid>
      <w:tr>
        <w:trPr/>
        <w:tc>
          <w:tcPr>
            <w:tcW w:w="76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Future Minimum Lease Payments</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95,420 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131,532 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136,141 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6,018,531 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6,644,726 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160"/>
        <w:ind w:left="0" w:right="0" w:firstLine="720"/>
        <w:rPr/>
      </w:pPr>
      <w:r>
        <w:rPr/>
      </w:r>
    </w:p>
    <w:p>
      <w:pPr>
        <w:pStyle w:val="TextBody"/>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ASC 326 “Credit Losses”, which requires that the Company measure and record current expected credit losses (“CECL”), the scope of which includes our Investment in leases, financing receivables, net, which do not include any unfunded commitments.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The Company then records a CECL allowance based on the expected loss rate multiplied by the outstanding investment in lease balance.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Investment in leasesfinancing receivables, net. We have engaged a nationally recognized data analytics firm to assist us with estimating both the PD and LGD. The PD and LGD are estimated during the initial term of the leases.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 by obtaining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rent coverage on the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March 31, 2023 and December 31, 2022.</w:t>
      </w:r>
    </w:p>
    <w:p>
      <w:pPr>
        <w:pStyle w:val="TextBody"/>
        <w:spacing w:before="160" w:after="1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financing receivables is illustrated below (in thousands):</w:t>
      </w:r>
    </w:p>
    <w:p>
      <w:pPr>
        <w:pStyle w:val="TextBody"/>
        <w:spacing w:before="0" w:after="0"/>
        <w:ind w:left="0" w:right="0" w:firstLine="720"/>
        <w:rPr/>
      </w:pPr>
      <w:r>
        <w:rPr/>
      </w:r>
    </w:p>
    <w:tbl>
      <w:tblPr>
        <w:tblW w:w="9256" w:type="dxa"/>
        <w:jc w:val="left"/>
        <w:tblInd w:w="0" w:type="dxa"/>
        <w:tblCellMar>
          <w:top w:w="28" w:type="dxa"/>
          <w:left w:w="28" w:type="dxa"/>
          <w:bottom w:w="28" w:type="dxa"/>
          <w:right w:w="28" w:type="dxa"/>
        </w:tblCellMar>
      </w:tblPr>
      <w:tblGrid>
        <w:gridCol w:w="1059"/>
        <w:gridCol w:w="930"/>
        <w:gridCol w:w="936"/>
        <w:gridCol w:w="448"/>
        <w:gridCol w:w="1312"/>
        <w:gridCol w:w="234"/>
        <w:gridCol w:w="109"/>
        <w:gridCol w:w="109"/>
        <w:gridCol w:w="109"/>
        <w:gridCol w:w="591"/>
        <w:gridCol w:w="2024"/>
        <w:gridCol w:w="309"/>
        <w:gridCol w:w="211"/>
        <w:gridCol w:w="721"/>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 Live!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 Live! Master Lease</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w:t>
            </w:r>
          </w:p>
        </w:tc>
        <w:tc>
          <w:tcPr>
            <w:tcW w:w="1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March 31, 2023</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ind w:left="0" w:right="0" w:firstLine="720"/>
        <w:rPr/>
      </w:pPr>
      <w:r>
        <w:rPr/>
      </w:r>
    </w:p>
    <w:tbl>
      <w:tblPr>
        <w:tblW w:w="8929" w:type="dxa"/>
        <w:jc w:val="left"/>
        <w:tblInd w:w="0" w:type="dxa"/>
        <w:tblCellMar>
          <w:top w:w="28" w:type="dxa"/>
          <w:left w:w="28" w:type="dxa"/>
          <w:bottom w:w="28" w:type="dxa"/>
          <w:right w:w="28" w:type="dxa"/>
        </w:tblCellMar>
      </w:tblPr>
      <w:tblGrid>
        <w:gridCol w:w="1059"/>
        <w:gridCol w:w="930"/>
        <w:gridCol w:w="936"/>
        <w:gridCol w:w="404"/>
        <w:gridCol w:w="1382"/>
        <w:gridCol w:w="208"/>
        <w:gridCol w:w="591"/>
        <w:gridCol w:w="2024"/>
        <w:gridCol w:w="309"/>
        <w:gridCol w:w="211"/>
        <w:gridCol w:w="721"/>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 Live! Lease</w:t>
            </w:r>
          </w:p>
        </w:tc>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 Live! Master Lease</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w:t>
            </w:r>
          </w:p>
        </w:tc>
        <w:tc>
          <w:tcPr>
            <w:tcW w:w="17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32,277 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March 31, 2022</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32,277 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994" w:type="dxa"/>
            <w:gridSpan w:val="3"/>
            <w:tcBorders/>
            <w:shd w:fill="auto" w:val="clear"/>
            <w:vAlign w:val="center"/>
          </w:tcPr>
          <w:p>
            <w:pPr>
              <w:pStyle w:val="TableContents"/>
              <w:spacing w:before="0" w:after="283"/>
              <w:rPr>
                <w:sz w:val="4"/>
                <w:szCs w:val="4"/>
              </w:rPr>
            </w:pPr>
            <w:r>
              <w:rPr>
                <w:sz w:val="4"/>
                <w:szCs w:val="4"/>
              </w:rPr>
            </w:r>
          </w:p>
        </w:tc>
        <w:tc>
          <w:tcPr>
            <w:tcW w:w="292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994" w:type="dxa"/>
            <w:gridSpan w:val="3"/>
            <w:tcBorders/>
            <w:shd w:fill="auto" w:val="clear"/>
            <w:vAlign w:val="center"/>
          </w:tcPr>
          <w:p>
            <w:pPr>
              <w:pStyle w:val="TableContents"/>
              <w:spacing w:before="0" w:after="283"/>
              <w:rPr>
                <w:sz w:val="4"/>
                <w:szCs w:val="4"/>
              </w:rPr>
            </w:pPr>
            <w:r>
              <w:rPr>
                <w:sz w:val="4"/>
                <w:szCs w:val="4"/>
              </w:rPr>
            </w:r>
          </w:p>
        </w:tc>
        <w:tc>
          <w:tcPr>
            <w:tcW w:w="292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994" w:type="dxa"/>
            <w:gridSpan w:val="3"/>
            <w:tcBorders/>
            <w:shd w:fill="auto" w:val="clear"/>
            <w:vAlign w:val="center"/>
          </w:tcPr>
          <w:p>
            <w:pPr>
              <w:pStyle w:val="TableContents"/>
              <w:spacing w:before="0" w:after="283"/>
              <w:rPr>
                <w:sz w:val="4"/>
                <w:szCs w:val="4"/>
              </w:rPr>
            </w:pPr>
            <w:r>
              <w:rPr>
                <w:sz w:val="4"/>
                <w:szCs w:val="4"/>
              </w:rPr>
            </w:r>
          </w:p>
        </w:tc>
        <w:tc>
          <w:tcPr>
            <w:tcW w:w="292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994" w:type="dxa"/>
            <w:gridSpan w:val="3"/>
            <w:tcBorders/>
            <w:shd w:fill="auto" w:val="clear"/>
            <w:vAlign w:val="center"/>
          </w:tcPr>
          <w:p>
            <w:pPr>
              <w:pStyle w:val="TableContents"/>
              <w:spacing w:before="0" w:after="283"/>
              <w:rPr>
                <w:sz w:val="4"/>
                <w:szCs w:val="4"/>
              </w:rPr>
            </w:pPr>
            <w:r>
              <w:rPr>
                <w:sz w:val="4"/>
                <w:szCs w:val="4"/>
              </w:rPr>
            </w:r>
          </w:p>
        </w:tc>
        <w:tc>
          <w:tcPr>
            <w:tcW w:w="292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the Company's investment in leases, financing receivables by year of origination is shown below as of March 31, 2023 (in thousands):</w:t>
      </w:r>
    </w:p>
    <w:p>
      <w:pPr>
        <w:pStyle w:val="TextBody"/>
        <w:spacing w:before="0" w:after="0"/>
        <w:ind w:left="0" w:right="0" w:firstLine="720"/>
        <w:rPr/>
      </w:pPr>
      <w:r>
        <w:rPr/>
      </w:r>
    </w:p>
    <w:tbl>
      <w:tblPr>
        <w:tblW w:w="10127" w:type="dxa"/>
        <w:jc w:val="center"/>
        <w:tblInd w:w="0" w:type="dxa"/>
        <w:tblCellMar>
          <w:top w:w="28" w:type="dxa"/>
          <w:left w:w="28" w:type="dxa"/>
          <w:bottom w:w="28" w:type="dxa"/>
          <w:right w:w="28" w:type="dxa"/>
        </w:tblCellMar>
      </w:tblPr>
      <w:tblGrid>
        <w:gridCol w:w="1884"/>
        <w:gridCol w:w="1658"/>
        <w:gridCol w:w="1662"/>
        <w:gridCol w:w="211"/>
        <w:gridCol w:w="826"/>
        <w:gridCol w:w="271"/>
        <w:gridCol w:w="109"/>
        <w:gridCol w:w="109"/>
        <w:gridCol w:w="109"/>
        <w:gridCol w:w="211"/>
        <w:gridCol w:w="976"/>
        <w:gridCol w:w="271"/>
        <w:gridCol w:w="109"/>
        <w:gridCol w:w="109"/>
        <w:gridCol w:w="109"/>
        <w:gridCol w:w="211"/>
        <w:gridCol w:w="976"/>
        <w:gridCol w:w="316"/>
      </w:tblGrid>
      <w:tr>
        <w:trPr/>
        <w:tc>
          <w:tcPr>
            <w:tcW w:w="1884"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1,927,763 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Amortized cost basis at March 31, 2023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1,914,292 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as a percentage of outstanding financing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underlying casino operations in the Pennsylvania Live! Master Lease outperformed the budgeted expectations that were utilized in the reserve calculation at December 31, 2022. This was the primary reason for the reduction in reserves at March 31, 2023 compared to December 31, 2022.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initial allowance for credit losses of $32.3 million on the Pennsylvania Live! Master Lease which was originated on March 1, 2022. During the three months ended March 31, 2022, the Company received an updated earnings forecast from its tenant on the Maryland Live! Casino &amp; Hotel operations for 2022. This resulted in an improved rent coverage ratio in its reserve calculation which led to a reduction in the Maryland Live! Lease reserve at March 31, 2022 compared to its balance at December 31, 2021.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and earnings assumptions at the underlying facilities may result in non-cash provisions or recoveries in future periods that could materially impact our results of operations.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00fcf443b5ab4735963b479dec47cf25_10">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Real Estate Investments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 represents investments in 59 rental properties and the corporate headquarters building and is summarized as follows:</w:t>
      </w:r>
    </w:p>
    <w:p>
      <w:pPr>
        <w:pStyle w:val="TextBody"/>
        <w:spacing w:lineRule="auto" w:line="288" w:before="0" w:after="0"/>
        <w:ind w:left="0" w:right="0" w:firstLine="720"/>
        <w:rPr>
          <w:color w:val="000000"/>
        </w:rPr>
      </w:pPr>
      <w:r>
        <w:rPr>
          <w:color w:val="000000"/>
        </w:rPr>
        <w:t> </w:t>
      </w:r>
    </w:p>
    <w:tbl>
      <w:tblPr>
        <w:tblW w:w="5588" w:type="dxa"/>
        <w:jc w:val="left"/>
        <w:tblInd w:w="0" w:type="dxa"/>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6,407,313 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Lease Assets and Lease Liabilities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 Assets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Land rights, net represent the Company's rights to land subject to long-term ground leases.</w:t>
      </w:r>
      <w:r>
        <w:rPr>
          <w:color w:val="000000"/>
        </w:rPr>
        <w:t xml:space="preserve"> </w:t>
      </w:r>
      <w:r>
        <w:rPr>
          <w:rFonts w:ascii="Times New Roman;sans-serif" w:hAnsi="Times New Roman;sans-serif"/>
          <w:b w:val="false"/>
          <w:color w:val="000000"/>
          <w:sz w:val="20"/>
        </w:rPr>
        <w:t>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Components of the Company's right-of use assets and land rights, net are detailed below (in thousands):</w:t>
      </w:r>
    </w:p>
    <w:tbl>
      <w:tblPr>
        <w:tblW w:w="6385" w:type="dxa"/>
        <w:jc w:val="center"/>
        <w:tblInd w:w="0" w:type="dxa"/>
        <w:tblCellMar>
          <w:top w:w="28" w:type="dxa"/>
          <w:left w:w="28" w:type="dxa"/>
          <w:bottom w:w="28" w:type="dxa"/>
          <w:right w:w="28" w:type="dxa"/>
        </w:tblCellMar>
      </w:tblPr>
      <w:tblGrid>
        <w:gridCol w:w="1178"/>
        <w:gridCol w:w="1035"/>
        <w:gridCol w:w="1042"/>
        <w:gridCol w:w="232"/>
        <w:gridCol w:w="908"/>
        <w:gridCol w:w="119"/>
        <w:gridCol w:w="109"/>
        <w:gridCol w:w="109"/>
        <w:gridCol w:w="109"/>
        <w:gridCol w:w="273"/>
        <w:gridCol w:w="1072"/>
        <w:gridCol w:w="199"/>
      </w:tblGrid>
      <w:tr>
        <w:trPr/>
        <w:tc>
          <w:tcPr>
            <w:tcW w:w="1178"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 use assets - operating leases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649,534 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652,824 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867,228 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834,067 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Land Rights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land rights are amortized over the individual lease term of the related ground lease, including all renewal options, which ranged from 10 years to 92 years at their respective acquisition dates. Land rights net, consist of the following:</w:t>
      </w:r>
    </w:p>
    <w:tbl>
      <w:tblPr>
        <w:tblW w:w="5303" w:type="dxa"/>
        <w:jc w:val="center"/>
        <w:tblInd w:w="0" w:type="dxa"/>
        <w:tblCellMar>
          <w:top w:w="28" w:type="dxa"/>
          <w:left w:w="28" w:type="dxa"/>
          <w:bottom w:w="28" w:type="dxa"/>
          <w:right w:w="28" w:type="dxa"/>
        </w:tblCellMar>
      </w:tblPr>
      <w:tblGrid>
        <w:gridCol w:w="954"/>
        <w:gridCol w:w="836"/>
        <w:gridCol w:w="849"/>
        <w:gridCol w:w="211"/>
        <w:gridCol w:w="826"/>
        <w:gridCol w:w="109"/>
        <w:gridCol w:w="109"/>
        <w:gridCol w:w="109"/>
        <w:gridCol w:w="109"/>
        <w:gridCol w:w="211"/>
        <w:gridCol w:w="826"/>
        <w:gridCol w:w="154"/>
      </w:tblGrid>
      <w:tr>
        <w:trPr/>
        <w:tc>
          <w:tcPr>
            <w:tcW w:w="95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estimated future amortization expense related to the Company’s land rights by fiscal year is as follows (in thousands):</w:t>
      </w:r>
    </w:p>
    <w:tbl>
      <w:tblPr>
        <w:tblW w:w="3305" w:type="dxa"/>
        <w:jc w:val="center"/>
        <w:tblInd w:w="0" w:type="dxa"/>
        <w:tblCellMar>
          <w:top w:w="28" w:type="dxa"/>
          <w:left w:w="28" w:type="dxa"/>
          <w:bottom w:w="28" w:type="dxa"/>
          <w:right w:w="28" w:type="dxa"/>
        </w:tblCellMar>
      </w:tblPr>
      <w:tblGrid>
        <w:gridCol w:w="766"/>
        <w:gridCol w:w="672"/>
        <w:gridCol w:w="676"/>
        <w:gridCol w:w="211"/>
        <w:gridCol w:w="826"/>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Year ending December 31, </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587,029 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Lease Liabilities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payments under the Company's operating lease liabilities were as follows (in thousands):</w:t>
      </w:r>
    </w:p>
    <w:tbl>
      <w:tblPr>
        <w:tblW w:w="3920" w:type="dxa"/>
        <w:jc w:val="center"/>
        <w:tblInd w:w="0" w:type="dxa"/>
        <w:tblCellMar>
          <w:top w:w="28" w:type="dxa"/>
          <w:left w:w="28" w:type="dxa"/>
          <w:bottom w:w="28" w:type="dxa"/>
          <w:right w:w="28" w:type="dxa"/>
        </w:tblCellMar>
      </w:tblPr>
      <w:tblGrid>
        <w:gridCol w:w="986"/>
        <w:gridCol w:w="870"/>
        <w:gridCol w:w="873"/>
        <w:gridCol w:w="211"/>
        <w:gridCol w:w="826"/>
        <w:gridCol w:w="154"/>
      </w:tblGrid>
      <w:tr>
        <w:trPr/>
        <w:tc>
          <w:tcPr>
            <w:tcW w:w="98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value of lease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Lease Expense</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5816" w:type="dxa"/>
        <w:jc w:val="center"/>
        <w:tblInd w:w="0" w:type="dxa"/>
        <w:tblCellMar>
          <w:top w:w="28" w:type="dxa"/>
          <w:left w:w="28" w:type="dxa"/>
          <w:bottom w:w="28" w:type="dxa"/>
          <w:right w:w="28" w:type="dxa"/>
        </w:tblCellMar>
      </w:tblPr>
      <w:tblGrid>
        <w:gridCol w:w="998"/>
        <w:gridCol w:w="877"/>
        <w:gridCol w:w="884"/>
        <w:gridCol w:w="226"/>
        <w:gridCol w:w="772"/>
        <w:gridCol w:w="116"/>
        <w:gridCol w:w="116"/>
        <w:gridCol w:w="116"/>
        <w:gridCol w:w="116"/>
        <w:gridCol w:w="226"/>
        <w:gridCol w:w="772"/>
        <w:gridCol w:w="116"/>
        <w:gridCol w:w="109"/>
        <w:gridCol w:w="109"/>
        <w:gridCol w:w="109"/>
        <w:gridCol w:w="154"/>
      </w:tblGrid>
      <w:tr>
        <w:trPr/>
        <w:tc>
          <w:tcPr>
            <w:tcW w:w="998"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cost </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 assets</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the land right intangibles, as well as variable lease costs and the Company's operating lease costs are recorded within land rights and ground lease expense in the condensed consolidated statements of income.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Disclosures Related to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operating leases was as follows:</w:t>
      </w:r>
    </w:p>
    <w:tbl>
      <w:tblPr>
        <w:tblW w:w="6074" w:type="dxa"/>
        <w:jc w:val="center"/>
        <w:tblInd w:w="0" w:type="dxa"/>
        <w:tblCellMar>
          <w:top w:w="28" w:type="dxa"/>
          <w:left w:w="28" w:type="dxa"/>
          <w:bottom w:w="28" w:type="dxa"/>
          <w:right w:w="28" w:type="dxa"/>
        </w:tblCellMar>
      </w:tblPr>
      <w:tblGrid>
        <w:gridCol w:w="1726"/>
        <w:gridCol w:w="1517"/>
        <w:gridCol w:w="1527"/>
        <w:gridCol w:w="380"/>
        <w:gridCol w:w="380"/>
        <w:gridCol w:w="544"/>
      </w:tblGrid>
      <w:tr>
        <w:trPr/>
        <w:tc>
          <w:tcPr>
            <w:tcW w:w="1726"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49.46 years</w:t>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operating leases was as follows:</w:t>
      </w:r>
    </w:p>
    <w:p>
      <w:pPr>
        <w:pStyle w:val="TextBody"/>
        <w:spacing w:before="0" w:after="0"/>
        <w:ind w:left="0" w:right="0" w:firstLine="720"/>
        <w:rPr/>
      </w:pPr>
      <w:r>
        <w:rPr/>
      </w:r>
    </w:p>
    <w:tbl>
      <w:tblPr>
        <w:tblW w:w="8740" w:type="dxa"/>
        <w:jc w:val="center"/>
        <w:tblInd w:w="0" w:type="dxa"/>
        <w:tblCellMar>
          <w:top w:w="28" w:type="dxa"/>
          <w:left w:w="28" w:type="dxa"/>
          <w:bottom w:w="28" w:type="dxa"/>
          <w:right w:w="28" w:type="dxa"/>
        </w:tblCellMar>
      </w:tblPr>
      <w:tblGrid>
        <w:gridCol w:w="2126"/>
        <w:gridCol w:w="1864"/>
        <w:gridCol w:w="1874"/>
        <w:gridCol w:w="266"/>
        <w:gridCol w:w="589"/>
        <w:gridCol w:w="137"/>
        <w:gridCol w:w="137"/>
        <w:gridCol w:w="137"/>
        <w:gridCol w:w="137"/>
        <w:gridCol w:w="266"/>
        <w:gridCol w:w="589"/>
        <w:gridCol w:w="137"/>
        <w:gridCol w:w="109"/>
        <w:gridCol w:w="109"/>
        <w:gridCol w:w="109"/>
        <w:gridCol w:w="154"/>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Operating cash flows from operating leases </w:t>
            </w:r>
            <w:r>
              <w:rPr>
                <w:rFonts w:ascii="Times New Roman;sans-serif" w:hAnsi="Times New Roman;sans-serif"/>
                <w:b w:val="false"/>
                <w:color w:val="000000"/>
                <w:sz w:val="13"/>
              </w:rPr>
              <w:t>(1)</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Financing Lease Liabilities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March 31, 2023, payments under the Company's financing lease liabilities were as follows (in thousands):</w:t>
      </w:r>
    </w:p>
    <w:p>
      <w:pPr>
        <w:pStyle w:val="TextBody"/>
        <w:spacing w:before="0" w:after="0"/>
        <w:ind w:left="0" w:right="0" w:firstLine="720"/>
        <w:rPr/>
      </w:pPr>
      <w:r>
        <w:rPr/>
      </w:r>
    </w:p>
    <w:tbl>
      <w:tblPr>
        <w:tblW w:w="4400" w:type="dxa"/>
        <w:jc w:val="left"/>
        <w:tblInd w:w="0" w:type="dxa"/>
        <w:tblCellMar>
          <w:top w:w="28" w:type="dxa"/>
          <w:left w:w="28" w:type="dxa"/>
          <w:bottom w:w="28" w:type="dxa"/>
          <w:right w:w="28" w:type="dxa"/>
        </w:tblCellMar>
      </w:tblPr>
      <w:tblGrid>
        <w:gridCol w:w="1163"/>
        <w:gridCol w:w="1020"/>
        <w:gridCol w:w="1026"/>
        <w:gridCol w:w="211"/>
        <w:gridCol w:w="826"/>
        <w:gridCol w:w="154"/>
      </w:tblGrid>
      <w:tr>
        <w:trPr/>
        <w:tc>
          <w:tcPr>
            <w:tcW w:w="1163"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finance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Long-term Debt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Long-term debt is as follows:</w:t>
      </w:r>
    </w:p>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619"/>
        <w:gridCol w:w="2307"/>
        <w:gridCol w:w="2314"/>
        <w:gridCol w:w="211"/>
        <w:gridCol w:w="976"/>
        <w:gridCol w:w="109"/>
        <w:gridCol w:w="109"/>
        <w:gridCol w:w="109"/>
        <w:gridCol w:w="109"/>
        <w:gridCol w:w="211"/>
        <w:gridCol w:w="976"/>
        <w:gridCol w:w="155"/>
      </w:tblGrid>
      <w:tr>
        <w:trPr/>
        <w:tc>
          <w:tcPr>
            <w:tcW w:w="2619"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Unsecured $1,750 million revolver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Credit Facility due September 2027</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5.375% senior unsecured notes due November 2023</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3.350% senior unsecured notes due September 2024</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$850 million 5.250% senior unsecured notes due June 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$975 million 5.375% senior unsecured notes due April 2026</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5.750% senior unsecured notes due June 2028</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$750 million 5.300% senior unsecured notes due January 2029</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2030</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$800 million 3.250% senior unsecured notes due January 2032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6,175,583 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bond premiums and original issuance discounts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6,128,468 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future minimum repayments of long-term debt as of March 31, 2023 (in thousands):</w:t>
      </w:r>
    </w:p>
    <w:p>
      <w:pPr>
        <w:pStyle w:val="TextBody"/>
        <w:spacing w:before="0" w:after="0"/>
        <w:ind w:left="0" w:right="0" w:firstLine="720"/>
        <w:rPr/>
      </w:pPr>
      <w:r>
        <w:rPr/>
      </w:r>
    </w:p>
    <w:p>
      <w:pPr>
        <w:pStyle w:val="TextBody"/>
        <w:spacing w:lineRule="auto" w:line="288" w:before="0" w:after="0"/>
        <w:ind w:left="0" w:right="0" w:firstLine="720"/>
        <w:jc w:val="center"/>
        <w:rPr>
          <w:color w:val="000000"/>
        </w:rPr>
      </w:pPr>
      <w:r>
        <w:rPr>
          <w:color w:val="000000"/>
        </w:rPr>
        <w:t> </w:t>
      </w:r>
    </w:p>
    <w:tbl>
      <w:tblPr>
        <w:tblW w:w="3546" w:type="dxa"/>
        <w:jc w:val="center"/>
        <w:tblInd w:w="0" w:type="dxa"/>
        <w:tblCellMar>
          <w:top w:w="28" w:type="dxa"/>
          <w:left w:w="28" w:type="dxa"/>
          <w:bottom w:w="28" w:type="dxa"/>
          <w:right w:w="28" w:type="dxa"/>
        </w:tblCellMar>
      </w:tblPr>
      <w:tblGrid>
        <w:gridCol w:w="799"/>
        <w:gridCol w:w="701"/>
        <w:gridCol w:w="705"/>
        <w:gridCol w:w="211"/>
        <w:gridCol w:w="976"/>
        <w:gridCol w:w="154"/>
      </w:tblGrid>
      <w:tr>
        <w:trPr/>
        <w:tc>
          <w:tcPr>
            <w:tcW w:w="7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center"/>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 to $60 million of transaction fees and costs incurred in connection with the Acquisition. There is currently no commitment in respect of such incremental loans and commitments.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GLP Capital is the primary obligor under the Credit Agreement, which is guaranteed by GLPI.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borrowed by December 31, 2024 are automatically re-allocated to the existing revolving facility under the Amended Credit Agreement.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$60.0 million was outstanding under the Amended Credit Agreement. Additionally, at March 31, 2023, the Company was contingently obligated under letters of credit issued pursuant to the Amended Credit Agreement with face amounts aggregating approximately $0.4 million, resulting in $1,689.6 million of available borrowing capacity under the Amended Credit Agreement as of March 31, 2023.</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March 31, 2023, the Company was in compliance with all required financial covenants under the Amended Credit Agreement.</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$5,675.0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 right of payment with all of the Issuers' senior indebtedness, including the Amended Credit Facility, and senior in right of payment to all of the Issuers' subordinated indebtedness, without giving effect to collateral arrangements.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13, 2023, the Company announced that it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 See Note 11 for additional discussion. </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in compliance with all required financial covenants under its Senior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Fair Value of Financial Assets and Liabilities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Level 1: Observable inputs such as quoted prices in active markets for identical assets or liabilities.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that reflect the reporting entity's own assumptions, as there is little, if any, related market activity.</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are used to estimate the fair value of each class of financial instruments for which it is practicable to estimate.</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and cash equivalents approximates the carrying value of the Company’s cash and cash equivalents, due to the short maturity of the cash equivalents.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leases, financing receivables, net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investment in leases, financing receivables, net is based on the value of the underlying real estate property the Company owns related to the Maryland Live! Lease and the Pennsylvania Live! Master Lease. The initial fair value was the price paid by the Company to acquire the real estate. The initial fair value is then adjusted for changes in the commercial real estate price index and as such is a Level 3 measurement as defined under ASC 820.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Compensation Plan Assets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Senior Notes are estimated based on quoted prices in active markets and as such is a Level 1 measurement as defined under ASC 820. The fair value of the obligations in our Amended Credit Agreement and Term Loan Credit Facility is based on indicative pricing from market information (Level 2 inputs).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Company’s financial instruments are as follows (in thousands):</w:t>
      </w:r>
    </w:p>
    <w:tbl>
      <w:tblPr>
        <w:tblW w:w="9552" w:type="dxa"/>
        <w:jc w:val="left"/>
        <w:tblInd w:w="0" w:type="dxa"/>
        <w:tblCellMar>
          <w:top w:w="28" w:type="dxa"/>
          <w:left w:w="28" w:type="dxa"/>
          <w:bottom w:w="28" w:type="dxa"/>
          <w:right w:w="28" w:type="dxa"/>
        </w:tblCellMar>
      </w:tblPr>
      <w:tblGrid>
        <w:gridCol w:w="1471"/>
        <w:gridCol w:w="1292"/>
        <w:gridCol w:w="1301"/>
        <w:gridCol w:w="249"/>
        <w:gridCol w:w="727"/>
        <w:gridCol w:w="109"/>
        <w:gridCol w:w="109"/>
        <w:gridCol w:w="109"/>
        <w:gridCol w:w="109"/>
        <w:gridCol w:w="249"/>
        <w:gridCol w:w="727"/>
        <w:gridCol w:w="109"/>
        <w:gridCol w:w="109"/>
        <w:gridCol w:w="109"/>
        <w:gridCol w:w="109"/>
        <w:gridCol w:w="211"/>
        <w:gridCol w:w="826"/>
        <w:gridCol w:w="109"/>
        <w:gridCol w:w="109"/>
        <w:gridCol w:w="109"/>
        <w:gridCol w:w="109"/>
        <w:gridCol w:w="211"/>
        <w:gridCol w:w="826"/>
        <w:gridCol w:w="154"/>
      </w:tblGrid>
      <w:tr>
        <w:trPr/>
        <w:tc>
          <w:tcPr>
            <w:tcW w:w="147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and Term Loan Credit Facility</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5,715,963 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spacing w:lineRule="auto" w:line="288" w:before="160" w:after="1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measured at fair value on a nonrecurring basis during the three months ended March 31, 2023 and 2022.</w:t>
      </w:r>
    </w:p>
    <w:p>
      <w:pPr>
        <w:pStyle w:val="TextBody"/>
        <w:spacing w:before="160" w:after="16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Funding commitments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agreed to a funding mechanism to support PENN's pursuit of relocation and development opportunities at several of the properties included in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 The funding commitment expires on January 1, 2026. </w:t>
      </w:r>
    </w:p>
    <w:p>
      <w:pPr>
        <w:pStyle w:val="TextBody"/>
        <w:spacing w:before="0" w:after="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Revenue Recognition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Real Estate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14 of the Company’s real estate investment properties were leased to a subsidiary of PENN under the Amended PENN Master Lease, 7 of the Company's real estate investment properties were leased to a subsidiary under the PENN 2023 Master Lease, 12 of the Company's real estate investment properties were leased to a subsidiary of PENN under the Amended Pinnacle Master Lease, 6 of the Company's real estate investment properties were leased to a subsidiary of Caesars under the Second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and 2 of the Company's real estate properties were leased to a subsidiary of Casino Queen under the Casino Queen Master Lease. Additionally, the land under PENN's Hollywood Casino Morgantown is subject to the Morgantown Lease. Finally, the Company has single property triple net leases with Caesars under the Horseshoe St. Louis Lease, Boyd under the Belterra Park Lease, Cordish under the Maryland Live! Lease, and Bally's under the Tropicana Las Vegas Lease. </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before="0" w:after="0"/>
        <w:ind w:left="0" w:right="0" w:firstLine="720"/>
        <w:jc w:val="both"/>
        <w:rPr/>
      </w:pPr>
      <w:r>
        <w:rPr/>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under the Amended PENN Master Lease, the PENN 2023 Master Lease and Amended Pinnacle Master Lease, as well as the Morgantown Lease, are guaranteed by PENN and, with respect to each lease, jointly and severally by PENN's subsidiaries that occupy and operate the facilities covered by such lease. Similarly, the obligations under the Second Amended and Restated Caesars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 </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Rent</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rent structure under the Amended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every five years to an amount equal to 4% of the average net revenues of all facilities under the Amended PENN Master Lease during the preceding five years in excess of a contractual baseline.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PENN 2023 Master Lease that became effective on January 1, 2023 has annual rent of $232.2 million, which is fixed and subject to annual escalation of 1.50%, with the first escalation to occur for the lease year beginning on November 1, 2023. In addition to the fixed escalations, a one-time annualized increase of $1.4 million will occur on November 1, 2027. The deferred revenue from the Perryville Lease and Meadows Lease (which were terminated effective January 1, 2023 and whose underlying real estate was added to the PENN 2023 Master Lease) along with an allocation of the deferred revenue from the Original PENN Master Lease, as well as the guaranteed fixed escalations and the one time annual base rent increase are being recognized on a straight-line basis over the initial lease term which expires on October 31, 2033.</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completed a property exchange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Second Amended and Restated Caesars Master Lease and the rent was increased by $520,000 annually.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Morgantown Lease became effective on October 1, 2020 whereby the Company is leasing the land under PENN's gaming facility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rent under the Casino Queen Master Lease is $21.4 million and such amount increases annually by 0.5% for the first six years. Beginning with the seventh lease year through the remainder of the lease term, if the CPI increases by at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least 0.25% for any lease year then annual rent shall be increased by 1.25%, and if the CPI increase is less than 0.25%, rent will remain unchanged for such lease year. The Company will also complete the current landside development project that is in process and rent under the Casino Queen Master Lease will be adjusted to reflect a yield of 8.25% on GLPI's project costs.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Bally's Master Lease became effective on June 3, 2021 and rent was $40 million annually at inception subject to contractual escalations based on the CPI, with a 1% floor and a 2% ceiling, subject to the CPI meeting a 0.5% threshold. On April 1, 2022, the Company completed the previously announced acquisition from Bally's of the land and real estate assets of Bally's three casinos in Black Hawk, Colorado and Bally's Quad Cities Casino &amp; Hotel in Rock Island, Illinois for $150 million in total consideration. These properties were added to the existing Bally's Master Lease and the initial rent for the Bally's Master Lease was increased by $12 million on an annual basis, subject to the escalation clauses described above.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closed its previously announced acquisition from Bally's of the land and real estate assets of Bally's Biloxi and Bally's Tiverton for $635.0 million in total consideration, inclusive of approximately $15 million in the form of OP units. These properties were added to the Bally's Master Lease. The initial annual rent for the lease was increased by $48.5 million on an annual basis, subject to the escalation clauses described above.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2021, the Maryland Live! Lease with Cordish became effective. Annual rent is $75.0 million which increases by 1.75% upon the second anniversary of the lease commencement. The Pennsylvania Live! Master Lease with Cordish became effective March 1, 2022 and has annual rent of $50 million initially, increasing by 1.75% upon the second anniversary of the lease commencement. These leases were accounted for as an Investment in leases, financing receivables. See Note 3 for the further information including the future annual cash payments to be received under these leases.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Tropicana Las Vegas Lease, which has initial annual rent of $10.5 million,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will go into effect at the next reset.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Lease terms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Original PENN Master Lease required an accounting reassessment due to a lease amendment resulting in a lease modification for accounting purposes. The Company concluded the lease term should end at the current lease expiration date of October 31, 2033 and not include any of the three remaining renewal terms of 5 years each. This was due to several factors that were not present at the inception of the Original PENN Master Lease. At the time of this amendment, since the formation of the Company on November 1, 2013, the Company has amended and reassessed four of its nine leases that were originated prior to 2021. All four of these reassessments were done before the completion of their initial lease terms and were the result of significant lease amendments. Additionally, Pinnacle sold its operations to PENN for fair value whose underlying real estate for the casino operations were leased from the Company. PENN has significantly diversified its earnings stream since the inception of the Original PENN Master Lease such that the leased operations in the Original PENN Master Lease no longer represent substantially all of PENN's revenues and earnings. We believe all these factors precluded the Company from concluding all renewal periods are reasonably assured to be exercised in the Original PENN Master Lease.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PENN Master Lease and the PENN 2023 Master Lease became effective January 1, 2023. The Company concluded that the lease term for both of these leases should end at the current lease expiration date of October 31, 2033 and not include any of the three remaining renewal terms of 5 years each due to the factors described above and the fact that the earnings from the leased operations in these master leases do not represent substantially all of PENN's revenues and earnings. The Company concluded that each individual lease component within the Amended PENN Master Lease and the PENN 2023 Master Lease meets the definition of an operating lease. The deferred rent and contractual fixed minimum lease payments at January 1, 2023 are being recognized on a straight-line basis over the initial lease term expiration date of October 31, 2033 for both master leases.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In addition to the historical reassessments and the fact that Pinnacle sold its operations to PENN for fair value as described above, additional competitive threats have emerged in the regional markets for the properties in the Casino Queen Master Lease that were not present previously. In particular, land based gaming operations including Casino Queen's leased operation in the state of Illinois have experienced significant additional competitive pressures from video gaming terminals that have rapidly expanded in the state. We believe all these factors precluded the Company from concluding all renewal periods are reasonably assured to be exercised in the Casino Queen Master Lease.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substantially all of the tenant's business at lease inception (and with respect to the Bally's Master Lease at each point when assets were added to the lease). The Company concluded that the lease term of the Amended and Restated Caesars Master Lease was its remaining initial lease term which was extended by 5 years when the Amended and Restated Caesars Master Lease became effective on July 23, 2020. The lease terms of the Boyd Master Lease and Bally's Master Lease are 10 years and 15 years, respectively, equal to the initial terms of such master leases.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Belterra Park Lease, Morgantown Lease, Maryland Live! Lease, Horseshoe St. Louis Lease and Tropicana Las Vegas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 The Company also concluded that the lease term for the Pennsylvania Live! Master Lease was limited to its initial lease term given the relative size and geographic concentration of the properties in this lease.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three months ended March 31, 2023 was as follows (in thousands):</w:t>
      </w:r>
    </w:p>
    <w:tbl>
      <w:tblPr>
        <w:tblW w:w="6130" w:type="dxa"/>
        <w:jc w:val="center"/>
        <w:tblInd w:w="0" w:type="dxa"/>
        <w:tblCellMar>
          <w:top w:w="28" w:type="dxa"/>
          <w:left w:w="28" w:type="dxa"/>
          <w:bottom w:w="28" w:type="dxa"/>
          <w:right w:w="28" w:type="dxa"/>
        </w:tblCellMar>
      </w:tblPr>
      <w:tblGrid>
        <w:gridCol w:w="1070"/>
        <w:gridCol w:w="938"/>
        <w:gridCol w:w="946"/>
        <w:gridCol w:w="516"/>
        <w:gridCol w:w="2022"/>
        <w:gridCol w:w="266"/>
        <w:gridCol w:w="109"/>
        <w:gridCol w:w="109"/>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 base rent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273,147 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base rent</w:t>
            </w:r>
          </w:p>
        </w:tc>
        <w:tc>
          <w:tcPr>
            <w:tcW w:w="2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41,322 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rent</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income</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 rent in revenue</w:t>
            </w:r>
          </w:p>
        </w:tc>
        <w:tc>
          <w:tcPr>
            <w:tcW w:w="2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rental revenue</w:t>
            </w:r>
          </w:p>
        </w:tc>
        <w:tc>
          <w:tcPr>
            <w:tcW w:w="2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from real estate</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60" w:after="160"/>
        <w:ind w:left="0" w:right="0" w:firstLine="720"/>
        <w:jc w:val="both"/>
        <w:rPr/>
      </w:pPr>
      <w:r>
        <w:rPr/>
      </w:r>
    </w:p>
    <w:p>
      <w:pPr>
        <w:pStyle w:val="TextBody"/>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future minimum rental income from the Company's rental properties under non-cancelable operating leases, including any reasonably assured renewal periods, was as follows (in thousands):</w:t>
      </w:r>
    </w:p>
    <w:tbl>
      <w:tblPr>
        <w:tblW w:w="10205" w:type="dxa"/>
        <w:jc w:val="center"/>
        <w:tblInd w:w="0" w:type="dxa"/>
        <w:tblCellMar>
          <w:top w:w="28" w:type="dxa"/>
          <w:left w:w="28" w:type="dxa"/>
          <w:bottom w:w="28" w:type="dxa"/>
          <w:right w:w="28" w:type="dxa"/>
        </w:tblCellMar>
      </w:tblPr>
      <w:tblGrid>
        <w:gridCol w:w="521"/>
        <w:gridCol w:w="457"/>
        <w:gridCol w:w="460"/>
        <w:gridCol w:w="280"/>
        <w:gridCol w:w="1438"/>
        <w:gridCol w:w="144"/>
        <w:gridCol w:w="109"/>
        <w:gridCol w:w="109"/>
        <w:gridCol w:w="109"/>
        <w:gridCol w:w="293"/>
        <w:gridCol w:w="1151"/>
        <w:gridCol w:w="151"/>
        <w:gridCol w:w="109"/>
        <w:gridCol w:w="109"/>
        <w:gridCol w:w="109"/>
        <w:gridCol w:w="323"/>
        <w:gridCol w:w="1267"/>
        <w:gridCol w:w="167"/>
        <w:gridCol w:w="109"/>
        <w:gridCol w:w="109"/>
        <w:gridCol w:w="109"/>
        <w:gridCol w:w="374"/>
        <w:gridCol w:w="1918"/>
        <w:gridCol w:w="280"/>
      </w:tblGrid>
      <w:tr>
        <w:trPr/>
        <w:tc>
          <w:tcPr>
            <w:tcW w:w="52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Rental Payments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Base Ground Rents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Income to be Recognized Related to Operating Leases</w:t>
            </w:r>
          </w:p>
        </w:tc>
      </w:tr>
      <w:tr>
        <w:trPr/>
        <w:tc>
          <w:tcPr>
            <w:tcW w:w="1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941,454 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1,152,256 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62,283 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13,577 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1,228,116 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1,143,997 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1,214,750 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1,086,110 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49,922 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1,148,788 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1,060,165 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1,115,229 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6,816,140 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72,576 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6,959,516 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12,159,059 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316,022 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12,607,853 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160"/>
        <w:ind w:left="0" w:right="0" w:firstLine="720"/>
        <w:rPr/>
      </w:pPr>
      <w:r>
        <w:rPr/>
      </w:r>
    </w:p>
    <w:p>
      <w:pPr>
        <w:pStyle w:val="TextBody"/>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financing receivables, net. </w:t>
      </w:r>
    </w:p>
    <w:p>
      <w:pPr>
        <w:pStyle w:val="TextBody"/>
        <w:spacing w:before="160" w:after="16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 calculates earnings per share ("EPS") in accordance with ASC 260 -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("ASC 260"</w:t>
      </w:r>
      <w:r>
        <w:rPr>
          <w:rFonts w:ascii="Times New Roman;sans-serif" w:hAnsi="Times New Roman;sans-serif"/>
          <w:b w:val="false"/>
          <w:i/>
          <w:color w:val="000000"/>
          <w:sz w:val="20"/>
        </w:rPr>
        <w:t>)</w:t>
      </w:r>
      <w:r>
        <w:rPr>
          <w:rFonts w:ascii="Times New Roman;sans-serif" w:hAnsi="Times New Roman;sans-serif"/>
          <w:b w:val="false"/>
          <w:color w:val="000000"/>
          <w:sz w:val="20"/>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as described in Note 11.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weighted-average common shares outstanding used in the calculation of basic EPS to the weighted-average common shares outstanding used in the calculation of diluted EPS for the three months ended March 31, 2023 and 2022: </w:t>
      </w:r>
    </w:p>
    <w:p>
      <w:pPr>
        <w:pStyle w:val="TextBody"/>
        <w:spacing w:lineRule="auto" w:line="288" w:before="0" w:after="0"/>
        <w:jc w:val="center"/>
        <w:rPr>
          <w:color w:val="000000"/>
        </w:rPr>
      </w:pPr>
      <w:r>
        <w:rPr>
          <w:color w:val="000000"/>
        </w:rPr>
        <w:t>        </w:t>
      </w:r>
    </w:p>
    <w:tbl>
      <w:tblPr>
        <w:tblW w:w="9166" w:type="dxa"/>
        <w:jc w:val="center"/>
        <w:tblInd w:w="0" w:type="dxa"/>
        <w:tblCellMar>
          <w:top w:w="28" w:type="dxa"/>
          <w:left w:w="28" w:type="dxa"/>
          <w:bottom w:w="28" w:type="dxa"/>
          <w:right w:w="28" w:type="dxa"/>
        </w:tblCellMar>
      </w:tblPr>
      <w:tblGrid>
        <w:gridCol w:w="1979"/>
        <w:gridCol w:w="1738"/>
        <w:gridCol w:w="1742"/>
        <w:gridCol w:w="573"/>
        <w:gridCol w:w="266"/>
        <w:gridCol w:w="266"/>
        <w:gridCol w:w="266"/>
        <w:gridCol w:w="266"/>
        <w:gridCol w:w="266"/>
        <w:gridCol w:w="573"/>
        <w:gridCol w:w="266"/>
        <w:gridCol w:w="266"/>
        <w:gridCol w:w="109"/>
        <w:gridCol w:w="109"/>
        <w:gridCol w:w="109"/>
        <w:gridCol w:w="109"/>
        <w:gridCol w:w="109"/>
        <w:gridCol w:w="154"/>
      </w:tblGrid>
      <w:tr>
        <w:trPr/>
        <w:tc>
          <w:tcPr>
            <w:tcW w:w="1979"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33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shd w:fill="auto" w:val="clea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shares:</w:t>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8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261,791 </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247,531 </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 awards</w:t>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performance-based restricted stock awards</w:t>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8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262,672 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248,041 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EPS for the Company’s common stock for the three months ended March 31, 2023 and 2022: </w:t>
      </w:r>
    </w:p>
    <w:p>
      <w:pPr>
        <w:pStyle w:val="TextBody"/>
        <w:spacing w:lineRule="auto" w:line="288" w:before="0" w:after="0"/>
        <w:jc w:val="center"/>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502"/>
        <w:gridCol w:w="2189"/>
        <w:gridCol w:w="2194"/>
        <w:gridCol w:w="211"/>
        <w:gridCol w:w="826"/>
        <w:gridCol w:w="109"/>
        <w:gridCol w:w="109"/>
        <w:gridCol w:w="109"/>
        <w:gridCol w:w="109"/>
        <w:gridCol w:w="211"/>
        <w:gridCol w:w="826"/>
        <w:gridCol w:w="109"/>
        <w:gridCol w:w="109"/>
        <w:gridCol w:w="109"/>
        <w:gridCol w:w="109"/>
        <w:gridCol w:w="109"/>
        <w:gridCol w:w="109"/>
        <w:gridCol w:w="156"/>
      </w:tblGrid>
      <w:tr>
        <w:trPr/>
        <w:tc>
          <w:tcPr>
            <w:tcW w:w="2502"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74" w:type="dxa"/>
            <w:gridSpan w:val="3"/>
            <w:tcBorders/>
            <w:shd w:fill="auto" w:val="clea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basic EPS: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earnings per share purposes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diluted EPS: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Antidilutive securities excluded from the computation of diluted earnings per share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Equity</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issuance</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applicable selling period of the forward sale agreement. As of March 31, 2023, the Company had $1.0 billion remaining for issuance under the 2022 ATM Program.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a forward sale agreement under the Company's prior ATM program that was settled in February 2023 which resulted in the issuance of 1,284,556 common shares and net proceeds of $64.6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Non-controlling interests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closing of the real property assets under the Bally's Master Lease that occurred on January 3, 2023, the Company's operating partnership issued 0.3 million newly-issued OP Units to affiliates of Bally's which were valued at $14.9 million. In the prior year, as partial consideration for the closing of the real property assets under the Pennsylvania Live! Master Lease that occurred on March 1, 2022, the Company's operating partnership issued 3,017,909 newly-issued OP Units to affiliates of Cordish which were valued at $137.0 million. The OP Units are exchangeable for common shares of the Company on a one-for-one basis, subject to certain terms and conditions. As of March 31, 2023, the Company holds a 97.2%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$7.4 million and $5.1 million in distributions to the non-controlling interest holders concurrently with the dividends paid to the Company's common shareholders, during the three month periods ended March 31, 2023 and March 31, 2022, respectively.</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declared and paid by the Company during the three months ended March 31, 2023 and 2022:</w:t>
      </w:r>
    </w:p>
    <w:tbl>
      <w:tblPr>
        <w:tblW w:w="10205" w:type="dxa"/>
        <w:jc w:val="left"/>
        <w:tblInd w:w="0" w:type="dxa"/>
        <w:tblCellMar>
          <w:top w:w="28" w:type="dxa"/>
          <w:left w:w="28" w:type="dxa"/>
          <w:bottom w:w="28" w:type="dxa"/>
          <w:right w:w="28" w:type="dxa"/>
        </w:tblCellMar>
      </w:tblPr>
      <w:tblGrid>
        <w:gridCol w:w="427"/>
        <w:gridCol w:w="376"/>
        <w:gridCol w:w="378"/>
        <w:gridCol w:w="109"/>
        <w:gridCol w:w="109"/>
        <w:gridCol w:w="109"/>
        <w:gridCol w:w="485"/>
        <w:gridCol w:w="485"/>
        <w:gridCol w:w="487"/>
        <w:gridCol w:w="109"/>
        <w:gridCol w:w="109"/>
        <w:gridCol w:w="109"/>
        <w:gridCol w:w="342"/>
        <w:gridCol w:w="342"/>
        <w:gridCol w:w="344"/>
        <w:gridCol w:w="109"/>
        <w:gridCol w:w="109"/>
        <w:gridCol w:w="109"/>
        <w:gridCol w:w="377"/>
        <w:gridCol w:w="377"/>
        <w:gridCol w:w="378"/>
        <w:gridCol w:w="109"/>
        <w:gridCol w:w="109"/>
        <w:gridCol w:w="109"/>
        <w:gridCol w:w="341"/>
        <w:gridCol w:w="341"/>
        <w:gridCol w:w="342"/>
        <w:gridCol w:w="109"/>
        <w:gridCol w:w="109"/>
        <w:gridCol w:w="109"/>
        <w:gridCol w:w="404"/>
        <w:gridCol w:w="404"/>
        <w:gridCol w:w="405"/>
        <w:gridCol w:w="109"/>
        <w:gridCol w:w="109"/>
        <w:gridCol w:w="109"/>
        <w:gridCol w:w="394"/>
        <w:gridCol w:w="331"/>
        <w:gridCol w:w="483"/>
      </w:tblGrid>
      <w:tr>
        <w:trPr/>
        <w:tc>
          <w:tcPr>
            <w:tcW w:w="42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Shareholder 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 Covered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Distribution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Amount</w:t>
            </w:r>
          </w:p>
        </w:tc>
      </w:tr>
      <w:tr>
        <w:trPr/>
        <w:tc>
          <w:tcPr>
            <w:tcW w:w="11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$188,896</w:t>
            </w:r>
          </w:p>
        </w:tc>
      </w:tr>
      <w:tr>
        <w:trPr/>
        <w:tc>
          <w:tcPr>
            <w:tcW w:w="1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$65,588</w:t>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24,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$170,805</w:t>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the three months ended March 31, 2023 and 2022, dividend payments were made to GLPI restricted stock award holders in the amount of $0.3 million and $0.2 million, respectively. On February 22, 2023, the Company declared a first quarter dividend of $0.72 per share in addition to a special earnings and profit dividend related to the sale of the Tropicana Las Vegas building of $0.25 per share on the Company's common stock.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12.    Stock-Based Compensation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 accounts for stock compensation under ASC 718 - </w:t>
      </w:r>
      <w:r>
        <w:rPr>
          <w:rFonts w:ascii="Times New Roman;sans-serif" w:hAnsi="Times New Roman;sans-serif"/>
          <w:b w:val="false"/>
          <w:i/>
          <w:color w:val="000000"/>
          <w:sz w:val="20"/>
        </w:rPr>
        <w:t xml:space="preserve">Compensation - Stock Compensation, </w:t>
      </w:r>
      <w:r>
        <w:rPr>
          <w:rFonts w:ascii="Times New Roman;sans-serif" w:hAnsi="Times New Roman;sans-serif"/>
          <w:b w:val="false"/>
          <w:color w:val="000000"/>
          <w:sz w:val="20"/>
        </w:rPr>
        <w:t xml:space="preserve">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 </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$8.4 million of total unrecognized compensation cost for restricted stock awards that will be recognized over the grants' remaining weighted average vesting period of 2.00 years. For the three months ended March 31, 2023, the Company recognized $4.3 million of compensation expense associated with these awards, compared to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$4.2 million for the three months ended March 31, 2022, within general and administrative expenses on the condensed consolidated statements of income.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restricted stock award activity for the three months ended March 31, 2023:</w:t>
      </w:r>
    </w:p>
    <w:tbl>
      <w:tblPr>
        <w:tblW w:w="4449" w:type="dxa"/>
        <w:jc w:val="center"/>
        <w:tblInd w:w="0" w:type="dxa"/>
        <w:tblCellMar>
          <w:top w:w="28" w:type="dxa"/>
          <w:left w:w="28" w:type="dxa"/>
          <w:bottom w:w="28" w:type="dxa"/>
          <w:right w:w="28" w:type="dxa"/>
        </w:tblCellMar>
      </w:tblPr>
      <w:tblGrid>
        <w:gridCol w:w="1065"/>
        <w:gridCol w:w="935"/>
        <w:gridCol w:w="940"/>
        <w:gridCol w:w="450"/>
        <w:gridCol w:w="450"/>
        <w:gridCol w:w="609"/>
      </w:tblGrid>
      <w:tr>
        <w:trPr/>
        <w:tc>
          <w:tcPr>
            <w:tcW w:w="106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Award</w:t>
              <w:br/>
              <w:t>Shares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247,051 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240,291 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(186,247)</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301,095 </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March 31, 2023, there was $27.1 million of total unrecognized compensation cost, which will be recognized over the performance-based restricted stock awards' remaining weighted average vesting period of 2.22 years.  For the three months ended March 31, 2023, the Company recognized $3.5 million of compensation expense associated with these awards within general and administrative expenses on the condensed consolidated statements of income compared to $3.4 million for the corresponding periods in the prior year.</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performance-based restricted stock award activity for the three months ended March 31, 2023:</w:t>
      </w:r>
    </w:p>
    <w:p>
      <w:pPr>
        <w:pStyle w:val="TextBody"/>
        <w:spacing w:before="0" w:after="0"/>
        <w:ind w:left="0" w:right="0" w:firstLine="720"/>
        <w:rPr/>
      </w:pPr>
      <w:r>
        <w:rPr/>
      </w:r>
    </w:p>
    <w:tbl>
      <w:tblPr>
        <w:tblW w:w="6450" w:type="dxa"/>
        <w:jc w:val="center"/>
        <w:tblInd w:w="0" w:type="dxa"/>
        <w:tblCellMar>
          <w:top w:w="28" w:type="dxa"/>
          <w:left w:w="28" w:type="dxa"/>
          <w:bottom w:w="28" w:type="dxa"/>
          <w:right w:w="28" w:type="dxa"/>
        </w:tblCellMar>
      </w:tblPr>
      <w:tblGrid>
        <w:gridCol w:w="1065"/>
        <w:gridCol w:w="935"/>
        <w:gridCol w:w="940"/>
        <w:gridCol w:w="1025"/>
        <w:gridCol w:w="1025"/>
        <w:gridCol w:w="1460"/>
      </w:tblGrid>
      <w:tr>
        <w:trPr/>
        <w:tc>
          <w:tcPr>
            <w:tcW w:w="106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Performance-Based Award Shares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2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1,394,220 </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514,000 </w:t>
            </w:r>
          </w:p>
        </w:tc>
        <w:tc>
          <w:tcPr>
            <w:tcW w:w="1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2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(416,220)</w:t>
            </w:r>
          </w:p>
        </w:tc>
        <w:tc>
          <w:tcPr>
            <w:tcW w:w="14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Canceled</w:t>
            </w:r>
            <w:r>
              <w:rPr>
                <w:color w:val="000000"/>
              </w:rPr>
              <w:t xml:space="preserve"> </w:t>
            </w:r>
          </w:p>
        </w:tc>
        <w:tc>
          <w:tcPr>
            <w:tcW w:w="2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2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1,492,000 </w:t>
            </w:r>
          </w:p>
        </w:tc>
        <w:tc>
          <w:tcPr>
            <w:tcW w:w="1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13.    Supplemental Disclosures of Cash Flow Information and Noncash Activities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are as follows:</w:t>
      </w:r>
    </w:p>
    <w:tbl>
      <w:tblPr>
        <w:tblW w:w="4915" w:type="dxa"/>
        <w:jc w:val="left"/>
        <w:tblInd w:w="0" w:type="dxa"/>
        <w:tblCellMar>
          <w:top w:w="28" w:type="dxa"/>
          <w:left w:w="28" w:type="dxa"/>
          <w:bottom w:w="28" w:type="dxa"/>
          <w:right w:w="28" w:type="dxa"/>
        </w:tblCellMar>
      </w:tblPr>
      <w:tblGrid>
        <w:gridCol w:w="733"/>
        <w:gridCol w:w="645"/>
        <w:gridCol w:w="647"/>
        <w:gridCol w:w="211"/>
        <w:gridCol w:w="721"/>
        <w:gridCol w:w="109"/>
        <w:gridCol w:w="109"/>
        <w:gridCol w:w="109"/>
        <w:gridCol w:w="109"/>
        <w:gridCol w:w="211"/>
        <w:gridCol w:w="721"/>
        <w:gridCol w:w="109"/>
        <w:gridCol w:w="109"/>
        <w:gridCol w:w="109"/>
        <w:gridCol w:w="109"/>
        <w:gridCol w:w="154"/>
      </w:tblGrid>
      <w:tr>
        <w:trPr/>
        <w:tc>
          <w:tcPr>
            <w:tcW w:w="73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as part of the consideration for the land and real estate assets of Bally's Biloxi and Bally's Tiverton, the Company issued approximately 0.3 million OP Units to affiliates of Bally's that were valued at $14.9 million for accounting purposes at closing. On March 1, 2022, as part of the consideration for the real estate assets acquired pursuant to the Pennsylvania Live! Master Lease, the Company issued approximately 3.0 million OP Units to affiliates of Cordish that were valued at $137.0 million for accounting purposes at closing and assumed debt of $422.9 million that was repaid after closing with the offsetting increase to Investment in leases, financing receivables, net.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14.    Acquisitions</w:t>
      </w:r>
    </w:p>
    <w:p>
      <w:pPr>
        <w:pStyle w:val="TextBody"/>
        <w:spacing w:before="0" w:after="0"/>
        <w:ind w:left="0" w:right="0" w:firstLine="72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The Company accounts for its acquisitions of real estate assets as asset acquisitions under ASC 805 -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Under asset acquisition accounting, incremental transaction costs incurred to acquire the purchased assets are also included as part of the asset cost.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Current year acquisitions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the Company closed its previously announced acquisition from Bally's of the land and real estate assets of Bally's Biloxi and Bally's Tiverton. The purchase price allocation of these assets based on their fair values at the acquisition date are summarized below (in thousands).</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3590" w:type="dxa"/>
        <w:jc w:val="left"/>
        <w:tblInd w:w="0" w:type="dxa"/>
        <w:tblCellMar>
          <w:top w:w="28" w:type="dxa"/>
          <w:left w:w="28" w:type="dxa"/>
          <w:bottom w:w="28" w:type="dxa"/>
          <w:right w:w="28" w:type="dxa"/>
        </w:tblCellMar>
      </w:tblPr>
      <w:tblGrid>
        <w:gridCol w:w="869"/>
        <w:gridCol w:w="763"/>
        <w:gridCol w:w="767"/>
        <w:gridCol w:w="211"/>
        <w:gridCol w:w="826"/>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2024 for a purchase price of $771.0 million and additional annual rent of $58.8 million.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spacing w:before="0" w:after="0"/>
        <w:ind w:left="0" w:right="0" w:firstLine="720"/>
        <w:rPr/>
      </w:pPr>
      <w:r>
        <w:rPr/>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On July 1, 2021, the Company sold the operations of Hollywood Casino Perryville to PENN and leased the real estate to PENN pursuant to a standalone lease. On December 17, 2021, the Company sold the operations of Hollywood Casino Baton Rouge to Casino Queen Holding Company Inc.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 P., the operating partnership ("GLP Capital"). </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elected to treat Tropicana LV, LLC as a TRS. In September 2022, Bally's Corporation ("Bally's") acquired both the building assets from GLPI and PENN's outstanding equity interests in Tropicana Las Vegas. GLPI retained ownership of the land and entered into a ground lease with Bally's. In connection with this transaction, Tropicana LV, LLC was merged into GLP Capital and GLPI paid a special earnings and profit dividend of $0.25 per share in the first quarter of 2023 related to the sale of the building. </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("Bally's Biloxi") and Bally's Tiverton Casino &amp; Hotel ("Bally's Tiverton").</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GLPI's primary business consists of acquiring, financing, and owning real estate property to be leased to gaming operators in triple-net lease arrangements. As of March 31, 2023, GLPI's portfolio consisted of interests in 59 gaming and related facilities,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9 gaming and related facilities operated by Bally's, the real property associated with 2 gaming and related facilities operated by Casino Queen and the real property associated with 3 gaming and related facilities operated by Cordish. These facilities, including our corporate headquarters building, are geographically diversified across 18 states and contain approximately 30.2 million square feet. As of March 31, 2023, our properties were 100% occupied. We expect to continue growing our portfolio by pursuing opportunities to acquire additional gaming facilities to lease to gaming operators under prudent terms.</w:t>
      </w:r>
    </w:p>
    <w:p>
      <w:pPr>
        <w:pStyle w:val="TextBody"/>
        <w:spacing w:before="0" w:after="0"/>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Master Lease and Amended Penn Master Lease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"Original PENN Master Lease"). The Original PENN Master Lease is a triple-net operating lease, the term of which expires on October 31, 2033, with no purchase option, followed by three remaining 5-year renewal options (exercisable by the tenant) on the same terms and conditions.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current properties. The companies also agreed to a funding mechanism to support PENN's pursuit of relocation and development opportunities at several of the properties included in the new master lease. The transaction, including the creation of the new master lease, became effective on January 1, 2023.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PENN 2023 Master Lease and the Amended PENN Master Lease are substantially similar to the Original PENN Master Lease with the following key differences;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PENN 2023 Master Lease is cross-defaulted and co-terminus with the Amended PENN Master Lease.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PENN 2023 Master Lease is $232.2 million in base rent which is fixed with annual escalation of 1.50%, with the first escalation to occur for the lease year beginning on November 1, 2023.</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rent for the Amended 2023 PENN Master Lease was adjusted to $284.1 million, consisting of $208.2 million of building base rent, $43.0 million of land base rent, and $32.9 million of percentage rent.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assets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 xml:space="preserve">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floors, every two years to an amount equal to 4% of the average annual net revenues of Belterra Park during the preceding two years in excess of a contractual baseline.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Second Amended and Restated Caesars Master Lease</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spacing w:before="0" w:after="0"/>
        <w:ind w:left="0" w:right="0" w:firstLine="495"/>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annual rent of $40 million and an initial term of 15 years, with no purchase option, followed by four 5 year renewal options (exercisable by the tenant) on the same terms and conditions.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the Company completed the previously announced acquisition from Bally's of the land and real estate assets of Bally's three Black Hawk Casinos in Black Hawk, Colorado and Bally's Quad Cities Casino &amp; Hotel in Rock Island, Illinois for $150 million in total consideration. These properties were added to the existing Bally's Master Lease and the initial rent for the lease was increased by $12.0 million on an annual basis.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closed its previously announced acquisition from Bally's of the land and real estate assets of Bally's Hard Rock Hotel &amp; Casino ("Bally's Biloxi") and Bally's Tiverton Casino &amp; Hotel ("Bally's Tiverton") for $635.0 million in total consideration, inclusive of approximately $15 million in the form of OP units. These properties were added to the Bally's Master Lease. The initial annual rent for the lease was increased by $48.5 million on an annual basis. All rent in the Bally's Master Lease is subject to contractual escalations based on the Consumer Price Index ("CPI"), with a 1% floor and 2% ceiling, subject to the CPI meeting a 0.5% threshold.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it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2024 for a purchase price of $771.0 million and additional rent of $58.8 million.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spacing w:before="0" w:after="0"/>
        <w:ind w:left="0" w:right="0" w:firstLine="495"/>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initial annual rent of $10.5 million. All rent is subject to contractual escalations based on the CPI, with a 1% floor and 2% ceiling, subject to the CPI meeting a 0.5% threshold. The ground lease is supported by a Bally’s corporate guarantee and cross-defaulted with the Bally's Master Lease (the "Tropicana Las Vegas Lease"). </w:t>
      </w:r>
    </w:p>
    <w:p>
      <w:pPr>
        <w:pStyle w:val="TextBody"/>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Morgantown Lease</w:t>
      </w:r>
    </w:p>
    <w:p>
      <w:pPr>
        <w:pStyle w:val="TextBody"/>
        <w:spacing w:lineRule="auto" w:line="288" w:before="0" w:after="0"/>
        <w:ind w:left="0" w:right="0" w:firstLine="720"/>
        <w:jc w:val="both"/>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w:t>
      </w:r>
      <w:r>
        <w:rPr>
          <w:color w:val="000000"/>
        </w:rPr>
        <w:t xml:space="preserve"> </w:t>
      </w:r>
      <w:r>
        <w:rPr>
          <w:rFonts w:ascii="Times New Roman;sans-serif" w:hAnsi="Times New Roman;sans-serif"/>
          <w:b w:val="false"/>
          <w:color w:val="000000"/>
          <w:sz w:val="20"/>
        </w:rPr>
        <w:t xml:space="preserve">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 Hollywood Casino Morgantown opened on December 22, 2021. </w:t>
      </w:r>
    </w:p>
    <w:p>
      <w:pPr>
        <w:pStyle w:val="TextBody"/>
        <w:spacing w:before="0" w:after="0"/>
        <w:ind w:left="0" w:right="0" w:firstLine="72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Casino Queen Master Lease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25, 2020, the Company entered into a definitive agreement to sell the operations of our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initial annual cash rent is approximately $21.4 million and the lease has an initial term of 15 years with four 5-year renewal options (exercisable by the tenant) on the same terms and conditions.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until December 2023.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the Maryland Live! Lease is $75.0 million and the Pennsylvania Live! Master Lease is $50.0 million, both of which have a 1.75% fixed yearly escalator on the entirety of rent commencing on the leases' second anniversary. </w:t>
      </w:r>
    </w:p>
    <w:p>
      <w:pPr>
        <w:pStyle w:val="TextBody"/>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earnings are the result of the rental revenues we receive from our triple-net master leases with PENN, Boyd, Bally's, Cordish and Caesars. Additionally, we have rental revenue from the Casino Queen Master Lease which is also a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accordance with Accounting Standards Codification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pStyle w:val="TextBody"/>
        <w:spacing w:before="0" w:after="0"/>
        <w:ind w:left="0" w:right="0" w:firstLine="720"/>
        <w:rPr/>
      </w:pPr>
      <w:r>
        <w:rPr/>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Highlights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total revenues and income from operations of $355.2 million and $266.8 million, respectively, for the three months ended March 31, 2023, compared to $315.0 million and $199.8 million, respectively, for the corresponding period in the prior year.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major factors affecting our results for the three months ended March 31, 2023, as compared to the three months ended March 31, 2022, were as follows:</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income from real estate increased by $40.2 million to $355.2 million for the three months ended March 31, 2023 compared to $315.0 million for the corresponding period in the prior year. Results for the three months ended March 31, 2023 benefited from our recent acquisitions which in the aggregate increased cash rental income by $25.8 million. The three months ended March 31, 2023 also benefited by $3.5 million compared to the corresponding period in the prior year from escalations on our leases. The Company had favorable variable rent resets of $1.2 million for the three months ended March 31, 2023 compared to the corresponding period in the prior year. The Company also recognized higher accretion of $1.7 million on its Investment in leases, financing receivables and favorable straight-line rent adjustments of $7.2 million compared to the corresponding period in the prior year. Finally, the Company had higher ground rent income of $0.9 million due primarily from the additions to the Bally's Master Lease.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operating expenses decreased by $26.8 million for the three months ended March 31, 2023 as compared to the corresponding period in the prior year. This was primarily due to the change in the provision for credit losses, net. The three month period ended March 31, 2022 included a provision of $26.7 million which was driven primarily by the initial reserve established for the Pennsylvania Live! Master Lease which was originated on March 1, 2022. The three month period ended March 31, 2023 included a reversal of $5.7 million which was primarily attributable to improved performance at the properties underlying the Pennsylvania Live! Master Lease. The Company also had lower land rights and ground lease expense of $1.7 million for the three month period ended March 31, 2023 as the prior year included $2.7 million of accelerated land right amortization as the Company donated a portion of the land underlying a ground lease which was partially offset by the full quarter impact of a ground lease in the Pennsylvania Live! Master Lease as well as new ground leases acquired in the first quarter 2023 acquisition of the real property assets of Bally's Biloxi. Depreciation expense for the three months ended March 31, 2023 increased by $6.4 million compared to the corresponding period in the prior year due to our recent acquisitions that were added to the Bally's Master Lease as well as higher depreciation expense related to the building assets at the Company's Joliet and Aurora properties. In connection with the recent transaction with PENN, new facilities are being developed that will replace these existing locations. As a result, the Company decreased the useful life assumption of these two assets to reflect the expected opening date of the new projects. Finally, general and administrative expenses increased by $0.7 million which was attributable to higher transaction costs and stock based compensation charges.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expenses decreased by $0.2 million for the three months ended March 31, 2023, due to higher interest income of $4.2 million because of higher variable market interest rates earned on our cash balances, which was partially offset by higher interest expense associated with the Company's increased borrowings that are primarily fixed in nature to fund our recent acquisitions and a debt extinguishment charge of $0.6 million associated with write-offs of deferred issuance costs associated with the $500 million senior unsecured note that was redeemed in the three months ended March 31, 2023.</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Net income increased by $67.0 million for the three months ended March 31, 2023, as compared to the corresponding periods in the prior year, primarily due to the variances explained above.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pStyle w:val="TextBody"/>
        <w:spacing w:lineRule="auto" w:line="288" w:before="0" w:after="0"/>
        <w:ind w:left="0" w:right="0" w:firstLine="72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months ended March 31, 2023.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most important factors and trends that contribute or may contribute to our operating performance:</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have announced or closed numerous transactions in the past two years and expect to continue to grow our portfolio by pursuing opportunities to acquire additional gaming facilities to lease to gaming operators under prudent terms.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Several wholly-owned subsidiaries of PENN lease a substantial number of our properties pursuant to three master leases and a single property lease and account for a significant portion of our revenue.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risks related to economic conditions, including recent stress in the banking sector, high inflation levels (that have been negatively impacted by the armed conflict between Russia and Ukraine)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ability to refinance our significant levels of debt at attractive terms and obtain favorable funding in connection with future business opportunities. </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current administration, with or without retroactive application, could materially and adversely affect GLPI and its investors.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for the three months ended March 31, 2023 and 2022 are summarized below:</w:t>
      </w:r>
    </w:p>
    <w:p>
      <w:pPr>
        <w:pStyle w:val="TextBody"/>
        <w:spacing w:lineRule="auto" w:line="288" w:before="0" w:after="0"/>
        <w:jc w:val="center"/>
        <w:rPr>
          <w:color w:val="000000"/>
        </w:rPr>
      </w:pPr>
      <w:r>
        <w:rPr>
          <w:color w:val="000000"/>
        </w:rPr>
        <w:t>                                                                    </w:t>
      </w:r>
    </w:p>
    <w:tbl>
      <w:tblPr>
        <w:tblW w:w="9873" w:type="dxa"/>
        <w:jc w:val="center"/>
        <w:tblInd w:w="0" w:type="dxa"/>
        <w:tblCellMar>
          <w:top w:w="28" w:type="dxa"/>
          <w:left w:w="28" w:type="dxa"/>
          <w:bottom w:w="28" w:type="dxa"/>
          <w:right w:w="28" w:type="dxa"/>
        </w:tblCellMar>
      </w:tblPr>
      <w:tblGrid>
        <w:gridCol w:w="2370"/>
        <w:gridCol w:w="2087"/>
        <w:gridCol w:w="2098"/>
        <w:gridCol w:w="211"/>
        <w:gridCol w:w="826"/>
        <w:gridCol w:w="109"/>
        <w:gridCol w:w="109"/>
        <w:gridCol w:w="109"/>
        <w:gridCol w:w="109"/>
        <w:gridCol w:w="211"/>
        <w:gridCol w:w="826"/>
        <w:gridCol w:w="109"/>
        <w:gridCol w:w="109"/>
        <w:gridCol w:w="109"/>
        <w:gridCol w:w="109"/>
        <w:gridCol w:w="109"/>
        <w:gridCol w:w="109"/>
        <w:gridCol w:w="154"/>
      </w:tblGrid>
      <w:tr>
        <w:trPr/>
        <w:tc>
          <w:tcPr>
            <w:tcW w:w="2370"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shd w:fill="auto" w:val="clea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FFO, AFFO and Adjusted EBITDA</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impairment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charges; straight-line rent adjustments; losses on debt extinguishment; and (benefit) provision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adjustments; amortization of land rights; accretion on Investment in leases, financing receivables; non-cash adjustments to financing lease liabilities; impairment charges; losses on debt extinguishment; and (benefit) provision for credit losses, net.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TextBody"/>
        <w:spacing w:before="0" w:after="0"/>
        <w:ind w:left="0" w:right="0" w:firstLine="720"/>
        <w:rPr/>
      </w:pPr>
      <w:r>
        <w:rPr/>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The reconciliation of the Company’s net income per GAAP to FFO, AFFO, and Adjusted EBITDA for the three months ended March 31, 2023 and 2022 is as follows:                                                                                        </w:t>
      </w:r>
    </w:p>
    <w:tbl>
      <w:tblPr>
        <w:tblW w:w="10205" w:type="dxa"/>
        <w:jc w:val="left"/>
        <w:tblInd w:w="0" w:type="dxa"/>
        <w:tblCellMar>
          <w:top w:w="28" w:type="dxa"/>
          <w:left w:w="28" w:type="dxa"/>
          <w:bottom w:w="28" w:type="dxa"/>
          <w:right w:w="28" w:type="dxa"/>
        </w:tblCellMar>
      </w:tblPr>
      <w:tblGrid>
        <w:gridCol w:w="2370"/>
        <w:gridCol w:w="2068"/>
        <w:gridCol w:w="2091"/>
        <w:gridCol w:w="109"/>
        <w:gridCol w:w="109"/>
        <w:gridCol w:w="109"/>
        <w:gridCol w:w="211"/>
        <w:gridCol w:w="841"/>
        <w:gridCol w:w="109"/>
        <w:gridCol w:w="109"/>
        <w:gridCol w:w="109"/>
        <w:gridCol w:w="109"/>
        <w:gridCol w:w="211"/>
        <w:gridCol w:w="841"/>
        <w:gridCol w:w="109"/>
        <w:gridCol w:w="109"/>
        <w:gridCol w:w="109"/>
        <w:gridCol w:w="109"/>
        <w:gridCol w:w="109"/>
        <w:gridCol w:w="109"/>
        <w:gridCol w:w="155"/>
      </w:tblGrid>
      <w:tr>
        <w:trPr/>
        <w:tc>
          <w:tcPr>
            <w:tcW w:w="2370"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w:t>
              <w:br/>
              <w:t>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3" w:type="dxa"/>
            <w:gridSpan w:val="3"/>
            <w:tcBorders/>
            <w:shd w:fill="auto" w:val="clea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188,670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121,692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or losses from dispositions of property,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253,754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180,300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credit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funds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248,630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218,628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323,099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293,306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color w:val="000000"/>
        </w:rPr>
      </w:pPr>
      <w:r>
        <w:rPr>
          <w:color w:val="000000"/>
        </w:rPr>
        <w:t>            </w: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FFO, AFFO and Adjusted EBITDA were $188.7 million, $253.8 million, $248.6 million, and $323.1 million for the three months ended March 31, 2023. This compares to net income, FFO, AFFO and Adjusted EBITDA of $121.7 million, $180.3 million, $218.6 million and $293.3 million for the corresponding period in the prior year. The increase in net income was primarily attributable to higher total revenues of $40.2 million and lower operating expenses of $26.8 million as compared to the corresponding period in the prior year.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FFO for the three months ended March 31, 2023 was due to the items described above, excluding gains from dispositions of property and real estate depreciation. The increases in AFFO and Adjusted EBITDA were due to the items described above, less the adjustments mentioned in the tables above. </w:t>
      </w:r>
    </w:p>
    <w:p>
      <w:pPr>
        <w:pStyle w:val="TextBody"/>
        <w:spacing w:before="0" w:after="0"/>
        <w:ind w:left="0" w:right="0" w:firstLine="720"/>
        <w:jc w:val="both"/>
        <w:rPr/>
      </w:pPr>
      <w:r>
        <w:rPr/>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for the three months ended March 31, 2023 and 2022 were as follows (in thousands):</w:t>
      </w:r>
    </w:p>
    <w:p>
      <w:pPr>
        <w:pStyle w:val="TextBody"/>
        <w:spacing w:before="0" w:after="0"/>
        <w:ind w:left="0" w:right="0" w:firstLine="720"/>
        <w:rPr/>
      </w:pPr>
      <w:r>
        <w:rPr/>
      </w:r>
    </w:p>
    <w:tbl>
      <w:tblPr>
        <w:tblW w:w="8406" w:type="dxa"/>
        <w:jc w:val="left"/>
        <w:tblInd w:w="0" w:type="dxa"/>
        <w:tblCellMar>
          <w:top w:w="28" w:type="dxa"/>
          <w:left w:w="28" w:type="dxa"/>
          <w:bottom w:w="28" w:type="dxa"/>
          <w:right w:w="28" w:type="dxa"/>
        </w:tblCellMar>
      </w:tblPr>
      <w:tblGrid>
        <w:gridCol w:w="972"/>
        <w:gridCol w:w="852"/>
        <w:gridCol w:w="86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69"/>
      </w:tblGrid>
      <w:tr>
        <w:trPr/>
        <w:tc>
          <w:tcPr>
            <w:tcW w:w="97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from real estate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Total income from real estate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rPr>
        <w:t xml:space="preserve">Total income from real estate increased by $40.2 million to $355.2 million for the three months ended March 31, 2023 compared to $315.0 million for the corresponding period in the prior year. Results for the three months ended March 31, 2023 benefited from our recent acquisitions which in the aggregate increased cash rental income by $25.8 million. The three months ended March 31, 2023 also benefited by $3.5 million compared to the corresponding period in the prior year from escalations on our leases. The Company had favorable variable rent resets of $1.2 million for the three months ended March 31, 2023 compared to the corresponding period in the prior year. The Company also recognized higher accretion of $1.7 million on its Investment in leases, financing receivables and favorable straight-line rent adjustments of $7.2 million compared to the corresponding period in the prior year. Finally, the Company had higher ground rent income of $0.9 million due primarily from the addition of the Bally's Master Lease. </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three months ended March 31, 2023 was as follows (in thousands)</w:t>
      </w:r>
    </w:p>
    <w:p>
      <w:pPr>
        <w:pStyle w:val="TextBody"/>
        <w:spacing w:before="0" w:after="0"/>
        <w:ind w:left="0" w:right="0" w:firstLine="720"/>
        <w:rPr/>
      </w:pPr>
      <w:r>
        <w:rPr/>
      </w:r>
    </w:p>
    <w:tbl>
      <w:tblPr>
        <w:tblW w:w="10400" w:type="dxa"/>
        <w:jc w:val="left"/>
        <w:tblInd w:w="0" w:type="dxa"/>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826"/>
        <w:gridCol w:w="109"/>
        <w:gridCol w:w="226"/>
        <w:gridCol w:w="677"/>
        <w:gridCol w:w="118"/>
        <w:gridCol w:w="211"/>
        <w:gridCol w:w="616"/>
        <w:gridCol w:w="109"/>
        <w:gridCol w:w="211"/>
        <w:gridCol w:w="616"/>
        <w:gridCol w:w="109"/>
        <w:gridCol w:w="211"/>
        <w:gridCol w:w="406"/>
        <w:gridCol w:w="109"/>
        <w:gridCol w:w="211"/>
        <w:gridCol w:w="826"/>
        <w:gridCol w:w="154"/>
      </w:tblGrid>
      <w:tr>
        <w:trPr/>
        <w:tc>
          <w:tcPr>
            <w:tcW w:w="79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2023</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rental revenue</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PENN Master Lease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 2023 Master Lease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Pinnacle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Morgantown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St. Louis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Belterra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Bally's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tbl>
      <w:tblPr>
        <w:tblW w:w="10460" w:type="dxa"/>
        <w:jc w:val="left"/>
        <w:tblInd w:w="0" w:type="dxa"/>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826"/>
        <w:gridCol w:w="109"/>
        <w:gridCol w:w="230"/>
        <w:gridCol w:w="671"/>
        <w:gridCol w:w="120"/>
        <w:gridCol w:w="211"/>
        <w:gridCol w:w="616"/>
        <w:gridCol w:w="109"/>
        <w:gridCol w:w="211"/>
        <w:gridCol w:w="616"/>
        <w:gridCol w:w="109"/>
        <w:gridCol w:w="211"/>
        <w:gridCol w:w="466"/>
        <w:gridCol w:w="109"/>
        <w:gridCol w:w="211"/>
        <w:gridCol w:w="826"/>
        <w:gridCol w:w="154"/>
      </w:tblGrid>
      <w:tr>
        <w:trPr/>
        <w:tc>
          <w:tcPr>
            <w:tcW w:w="79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2022</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rental revenue</w:t>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Original PENN Master Lease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Pinnacle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PENN Meadows Lease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Morgantown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PENN Perryville Lease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St. Louis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Belterra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Bally's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As previously discussed, these three leases were amended and or terminated effective January 1, 2023 with the underlying real estate assets placed into the PENN 2023 Master Lease.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months ended March 31, 2023 and 2022 were as follows (in thousands):</w:t>
      </w:r>
    </w:p>
    <w:p>
      <w:pPr>
        <w:pStyle w:val="TextBody"/>
        <w:spacing w:before="0" w:after="0"/>
        <w:ind w:left="0" w:right="0" w:firstLine="720"/>
        <w:rPr/>
      </w:pPr>
      <w:r>
        <w:rPr/>
      </w:r>
    </w:p>
    <w:tbl>
      <w:tblPr>
        <w:tblW w:w="8489" w:type="dxa"/>
        <w:jc w:val="left"/>
        <w:tblInd w:w="0" w:type="dxa"/>
        <w:tblCellMar>
          <w:top w:w="28" w:type="dxa"/>
          <w:left w:w="28" w:type="dxa"/>
          <w:bottom w:w="28" w:type="dxa"/>
          <w:right w:w="28" w:type="dxa"/>
        </w:tblCellMar>
      </w:tblPr>
      <w:tblGrid>
        <w:gridCol w:w="1152"/>
        <w:gridCol w:w="1010"/>
        <w:gridCol w:w="1018"/>
        <w:gridCol w:w="211"/>
        <w:gridCol w:w="721"/>
        <w:gridCol w:w="109"/>
        <w:gridCol w:w="109"/>
        <w:gridCol w:w="109"/>
        <w:gridCol w:w="109"/>
        <w:gridCol w:w="211"/>
        <w:gridCol w:w="826"/>
        <w:gridCol w:w="109"/>
        <w:gridCol w:w="211"/>
        <w:gridCol w:w="796"/>
        <w:gridCol w:w="109"/>
        <w:gridCol w:w="109"/>
        <w:gridCol w:w="109"/>
        <w:gridCol w:w="109"/>
        <w:gridCol w:w="344"/>
        <w:gridCol w:w="346"/>
        <w:gridCol w:w="508"/>
        <w:gridCol w:w="154"/>
      </w:tblGrid>
      <w:tr>
        <w:trPr/>
        <w:tc>
          <w:tcPr>
            <w:tcW w:w="1152"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from dispositions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ind w:left="0" w:right="0" w:firstLine="360"/>
        <w:jc w:val="both"/>
        <w:rPr/>
      </w:pPr>
      <w:r>
        <w:rPr/>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Land rights and ground lease expense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Land rights and ground lease expense includes the amortization of land rights and rent expense related to the Company's long-term ground leases. Land rights and ground lease expense decreased by $1.7 million for the three months ended March 31, 2023, as compared to the corresponding period in the prior year. The decrease is the result of a $2.7 million accelerated write-off due to a partial donation of leased land which occurred during the three month period ended March 31, 2022. Partially offsetting this decrease was the full quarter impact of a ground lease in the Pennsylvania Live! Master Lease as well as new ground leases acquired in the first quarter 2023 acquisition of the real property assets of Bally's Biloxi. </w:t>
      </w:r>
    </w:p>
    <w:p>
      <w:pPr>
        <w:pStyle w:val="TextBody"/>
        <w:spacing w:before="0" w:after="0"/>
        <w:ind w:left="0" w:right="0" w:firstLine="360"/>
        <w:jc w:val="both"/>
        <w:rPr/>
      </w:pPr>
      <w:r>
        <w:rPr/>
      </w: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items such as compensation costs (including stock based compensation), professional services and costs associated with development activities. General and administrative expenses increased by $0.7 million for the three months ended March 31, 2023 as compared to the corresponding period in the prior year. The reason for the decline for the three months ended March 31, 2023 was primarily due to increased transaction costs and higher stock based compensation expense.</w:t>
      </w:r>
    </w:p>
    <w:p>
      <w:pPr>
        <w:pStyle w:val="TextBody"/>
        <w:spacing w:before="0" w:after="0"/>
        <w:ind w:left="0" w:right="0" w:firstLine="72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Depreciation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increased by $6.4 million for the three months ended March 31, 2023 as compared to the corresponding period in the prior year due to the Company's additions to the Bally's Master Lease as well as higher depreciation expense due to shortening the useful life assumptions at our properties at Joliet and Aurora as mentioned previously. </w:t>
      </w:r>
    </w:p>
    <w:p>
      <w:pPr>
        <w:pStyle w:val="TextBody"/>
        <w:spacing w:before="0" w:after="0"/>
        <w:ind w:left="0" w:right="0" w:firstLine="72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(Benefit) Provision for credit losses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benefit for credit losses of $5.7 million for the three months ended March 31, 2023. As described in Note 4, the Company follows ASC 326 “Credit Losses”, which requires that the Company measure and record current expected credit losses, the scope of which includes our Investments in leases, - financing receivables, net.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underlying casino operations in the Pennsylvania Live! Master Lease outperformed the budgeted expectations that were utilized in the reserve calculation at December 31, 2022. This resulted in an improved rent coverage ratio in its reserve calculation which led to a reduction in the Pennsylvania Live! Master Lease reserve at March 31, 2023 compared to its balance at December 31, 2022. This was the primary reason for the reduction in reserves at March 31, 2023 compared to December 31, 2022.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 Company recorded provisions of $26.7 million on the Investment in leases, financing receivables, net, which was primarily for the initial recognition of reserves for the Pennsylvania Live! Master Lease as the lease was originated on March 1, 2022.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and earnings assumptions at the underlying facilities may result in non-cash provisions or recoveries in future periods that could materially impact our results of operations.</w:t>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Other income (expenses)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income (expenses) for the three months ended March 31, 2023 and 2022 were as follows (in thousands):</w:t>
      </w:r>
    </w:p>
    <w:p>
      <w:pPr>
        <w:pStyle w:val="TextBody"/>
        <w:spacing w:before="0" w:after="0"/>
        <w:ind w:left="0" w:right="0" w:firstLine="720"/>
        <w:rPr/>
      </w:pPr>
      <w:r>
        <w:rPr/>
      </w:r>
    </w:p>
    <w:p>
      <w:pPr>
        <w:pStyle w:val="TextBody"/>
        <w:spacing w:lineRule="auto" w:line="288" w:before="0" w:after="0"/>
        <w:rPr>
          <w:color w:val="000000"/>
        </w:rPr>
      </w:pPr>
      <w:r>
        <w:rPr>
          <w:color w:val="000000"/>
        </w:rPr>
        <w:t> </w:t>
      </w:r>
    </w:p>
    <w:tbl>
      <w:tblPr>
        <w:tblW w:w="8630" w:type="dxa"/>
        <w:jc w:val="left"/>
        <w:tblInd w:w="0" w:type="dxa"/>
        <w:tblCellMar>
          <w:top w:w="28" w:type="dxa"/>
          <w:left w:w="28" w:type="dxa"/>
          <w:bottom w:w="28" w:type="dxa"/>
          <w:right w:w="28" w:type="dxa"/>
        </w:tblCellMar>
      </w:tblPr>
      <w:tblGrid>
        <w:gridCol w:w="956"/>
        <w:gridCol w:w="838"/>
        <w:gridCol w:w="845"/>
        <w:gridCol w:w="109"/>
        <w:gridCol w:w="109"/>
        <w:gridCol w:w="10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435"/>
        <w:gridCol w:w="436"/>
        <w:gridCol w:w="569"/>
      </w:tblGrid>
      <w:tr>
        <w:trPr/>
        <w:tc>
          <w:tcPr>
            <w:tcW w:w="95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19,240.9 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$3.4 million for the three months ended March 31, 2023, as compared to the corresponding period in the prior year. The increase was due to increased borrowings that partially funded our recent acquisitions. </w:t>
      </w:r>
    </w:p>
    <w:p>
      <w:pPr>
        <w:pStyle w:val="TextBody"/>
        <w:spacing w:before="0" w:after="0"/>
        <w:ind w:left="0" w:right="0" w:firstLine="72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$4.2 million for the three months ended March 31, 2023 as compared to the corresponding period in the prior year due to higher market interest rates earned on cash deposits.</w:t>
      </w:r>
    </w:p>
    <w:p>
      <w:pPr>
        <w:pStyle w:val="TextBody"/>
        <w:spacing w:before="0" w:after="0"/>
        <w:ind w:left="0" w:right="0" w:firstLine="72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rPr>
        <w:t>Losses on debt extinguishmen</w:t>
      </w:r>
      <w:r>
        <w:rPr>
          <w:rFonts w:ascii="Times New Roman;sans-serif" w:hAnsi="Times New Roman;sans-serif"/>
          <w:b w:val="false"/>
          <w:color w:val="000000"/>
          <w:sz w:val="20"/>
        </w:rPr>
        <w:t>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redeemed its $500 million, 5.375% Senior Notes that were scheduled to mature in November 2023 during the three months ended March 31, 2023. In connection with this transaction the Company wrote-off deferred issuance costs of $0.6 million. </w:t>
      </w:r>
    </w:p>
    <w:p>
      <w:pPr>
        <w:pStyle w:val="TextBody"/>
        <w:spacing w:before="0" w:after="0"/>
        <w:ind w:left="0" w:right="0" w:firstLine="72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 in the Operating Partnership</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partial consideration for the acquisition of certain real estate assets, the Company's operating partnership issued OP Units to affiliates of Cordish and Bally's. The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are cash flow from operations, borrowings from banks, and proceeds from the issuance of debt and equity securities.</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$241.2 million and $233.2 million during the three months ended March 31, 2023 and 2022, respectively. The increase in net cash provided by operating activities of $8.0 million for the three months ended March 31, 2023, as compared to the corresponding period in the prior year, was primarily comprised of an increase in cash receipts from customers of $30.4 million along with a decrease in cash paid to employees of $0.3 million partially offset by increases in amounts paid for operating expenses of $2.0 million and in cash paid for interest of $24.9 million. The increase in cash receipts collected from our customers for the three months ended March 31, 2023, as compared to the corresponding period in the prior year, was due to increased rental income from the Company's recent acquisitions as well as escalations and favorable variable rent resets on our tenant leases.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cash of $422.1 million and $131.4 million during the three months ended March 31, 2023 and 2022, respectively.  Net cash used in investing activities during the three months ended March 31, 2023 consisted primarily of $412.3 million for the acquisition of the real estate assets which were added to the Bally's Master Lease, and capital expenditures of $9.8 million. The net cash used in investing activities for the three months ended March 31, 2022 consisted primarily of $129.0 million for the acquisition of the real estate assets contained within the Pennsylvania Live! Master Lease which was accounted for as an Investment in lease, financing receivables and capital expenditures of $2.4 million.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cash of $51.4 million and $670.3 million during the three months ended March 31, 2023 and 2022, respectively. Net cash used in financing activities during the three months ended March 31, 2023 was driven by the repayment of long term debt of $500.0 million, dividend payments of $254.8 million, non-controlling interest distributions of $7.4 million, taxes paid related to shares withheld for tax purposes on restricted stock award vestings of $13.4 million which were partially offset by proceeds from the issuance of long term debt, net of costs, of $660.0 million and proceeds from the issuance of common stock, net of costs, totaling $64.3 million. Cash used in financing activities during the three months ended March 31, 2022 was driven primarily by the repayment of long term debt of $422.9 million relating to the acquisition of the real estate assets contained with the Pennsylvania Live! Master Lease, dividend payments of $230.4 million, noncontrolling interest distributions of $5.1 million and taxes paid related to shares withheld for tax purposes on restricted stock award vestings of $11.9 million.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spent approximately $9.8 million and $2.4 million, respectively, for capital expenditures. The majority of the capital expenditures were related to a land side development project at Hollywood Casino Baton Rouge. </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 fees, costs and expenses incurred in connection therewith. The Company drew down the entire $600 million Term Loan Credit Facility on January 3, 2023 in connection with the acquisition of the real property assets of Bally's Biloxi and Bally's Tiverton.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GLP Capital is the primary obligor under the Credit Agreement, which is guaranteed by GLPI.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to the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$60.0 million was outstanding under the Amended Credit Agreement. Additionally, at March 31, 2023, the Company was contingently obligated under letters of credit issued pursuant to the Amended Credit Agreement with face amounts aggregating approximately $0.4 million, resulting in $1,689.6 million of available borrowing capacity under the Amended Credit Agreement as of March 31, 2023.</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March 31, 2023, the Company was in compliance with all required financial covenants under the Amended Credit Agreement.</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$5,675.0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 right of payment with all of the Issuers' senior indebtedness, including the Amended Credit Facility, and senior in right of payment to all of the Issuers' subordinated indebtedness, without giving effect to collateral arrangements.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13, 2023, the Company announced that it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 </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in compliance with all required financial covenants under its Senior Notes.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 Requirements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Outlook</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level of operations and anticipated earnings, we believe that cash generated from operations and cash on hand, together with amounts available under our Revolver and potential sales of common shares, will be adequate to meet our anticipated debt service requirements, capital expenditures, working capital needs and dividend requirements. </w:t>
      </w:r>
    </w:p>
    <w:p>
      <w:pPr>
        <w:pStyle w:val="TextBody"/>
        <w:spacing w:before="0" w:after="0"/>
        <w:ind w:left="0" w:right="0" w:firstLine="45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issuance of additional operating partnership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2022, for a discussion of the risk related to our capital structure.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market risk exposure is interest rate risk with respect to its indebtedness of $6,335.5 million at March 31, 2023. Furthermore, $5,675.0 million of our obligations at March 31, 2023 are the senior unsecured notes that have fixed interest rates with maturity dates ranging from approximately one year to nine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at March 31, 2023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March 31, 2023.</w:t>
      </w:r>
    </w:p>
    <w:p>
      <w:pPr>
        <w:pStyle w:val="TextBody"/>
        <w:spacing w:before="0" w:after="0"/>
        <w:ind w:left="0" w:right="0" w:firstLine="720"/>
        <w:rPr/>
      </w:pPr>
      <w:r>
        <w:rPr/>
      </w:r>
    </w:p>
    <w:p>
      <w:pPr>
        <w:pStyle w:val="TextBody"/>
        <w:spacing w:lineRule="auto" w:line="288" w:before="0" w:after="0"/>
        <w:rPr>
          <w:color w:val="000000"/>
        </w:rPr>
      </w:pPr>
      <w:r>
        <w:rPr>
          <w:color w:val="000000"/>
        </w:rPr>
        <w:t> </w:t>
      </w:r>
    </w:p>
    <w:tbl>
      <w:tblPr>
        <w:tblW w:w="11484" w:type="dxa"/>
        <w:jc w:val="left"/>
        <w:tblInd w:w="0" w:type="dxa"/>
        <w:tblCellMar>
          <w:top w:w="28" w:type="dxa"/>
          <w:left w:w="28" w:type="dxa"/>
          <w:bottom w:w="28" w:type="dxa"/>
          <w:right w:w="28" w:type="dxa"/>
        </w:tblCellMar>
      </w:tblPr>
      <w:tblGrid>
        <w:gridCol w:w="326"/>
        <w:gridCol w:w="287"/>
        <w:gridCol w:w="288"/>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50"/>
        <w:gridCol w:w="241"/>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4/01/23- 12/31/23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1/01/24- 12/31/24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1/01/25- 12/31/25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1/01/26- 12/31/26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1/01/27- 12/31/27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3/31/2023</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8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Long-term debt:</w:t>
            </w:r>
          </w:p>
        </w:tc>
        <w:tc>
          <w:tcPr>
            <w:tcW w:w="7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Controls and Procedures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2023,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2023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 response to this Item is incorporated by reference to the information set forth in "Note 8: Commitments and Contingencies" in the Notes to the condensed consolidated financial statements in Part I of this Quarterly Report on Form 10-Q.</w:t>
      </w:r>
    </w:p>
    <w:p>
      <w:pPr>
        <w:pStyle w:val="TextBody"/>
        <w:spacing w:lineRule="auto" w:line="288" w:before="0" w:after="0"/>
        <w:ind w:left="0" w:right="0" w:firstLine="72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repurchase any shares of common stock or sell any unregistered securities during the three months ended March 31, 2023. </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0" w:after="0"/>
        <w:ind w:left="0" w:right="0" w:firstLine="72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37"/>
        <w:gridCol w:w="207"/>
        <w:gridCol w:w="209"/>
        <w:gridCol w:w="109"/>
        <w:gridCol w:w="109"/>
        <w:gridCol w:w="109"/>
        <w:gridCol w:w="2701"/>
        <w:gridCol w:w="2701"/>
        <w:gridCol w:w="3823"/>
      </w:tblGrid>
      <w:tr>
        <w:trPr/>
        <w:tc>
          <w:tcPr>
            <w:tcW w:w="2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Amended and Restated Master Lease, dated February 21, 2023, by and among GLP Capital, L.P. and Penn Tenant, LLC (Incorporated by reference to Exhibit 10.19 to the Company's annual report on Form 10-K filed on February 23, 2023).</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Master Lease, dated February 21, 2023, by and among GLP Capital, L.P., Penn Tenant LLC, Penn Cecil Maryland, LLC, and PNK Development 33, LLC (Incorporated by reference to Exhibit 10.20 to the Company's annual report on Form 10-K filed on February 23, 2023).</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Fifth Amendment to the Master Lease, dated January 14, 2022, by and among Gold Merger Sub, LLC (as successor to Pinnacle Entertainment, Inc.) and Pinnacle MLS, LLC (Incorporated by reference to Exhibit 10.26 to the Company's annual report on Form 10-K filed on February 23, 2023).</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lpi-2023331ex221.htm">
              <w:r>
                <w:rPr>
                  <w:rStyle w:val="InternetLink"/>
                  <w:rFonts w:ascii="Times New Roman;sans-serif" w:hAnsi="Times New Roman;sans-serif"/>
                  <w:b w:val="false"/>
                  <w:color w:val="0000FF"/>
                  <w:sz w:val="20"/>
                  <w:u w:val="single"/>
                </w:rPr>
                <w:t>List of Subsidiary Issuers of Guaranteed Securities</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lpi-2023331exhibit311.htm">
              <w:r>
                <w:rPr>
                  <w:rStyle w:val="InternetLink"/>
                  <w:rFonts w:ascii="Times New Roman;sans-serif" w:hAnsi="Times New Roman;sans-serif"/>
                  <w:b w:val="false"/>
                  <w:color w:val="0000FF"/>
                  <w:sz w:val="20"/>
                  <w:u w:val="single"/>
                </w:rPr>
                <w:t xml:space="preserve">Principal Executive Officer Certification pursuant to Rule 13a-14(a) or 15d-14(a) of the Securities Exchange Act of 1934. </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lpi-2023331exhibit312.htm">
              <w:r>
                <w:rPr>
                  <w:rStyle w:val="InternetLink"/>
                  <w:rFonts w:ascii="Times New Roman;sans-serif" w:hAnsi="Times New Roman;sans-serif"/>
                  <w:b w:val="false"/>
                  <w:color w:val="0000FF"/>
                  <w:sz w:val="20"/>
                  <w:u w:val="single"/>
                </w:rPr>
                <w:t>Principal Financial Officer Certification pursuant to Rule 13a-14(a) or 15d-14(a) of the Securities Exchange Act of 1934.</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lpi-2023331exhibit321.htm">
              <w:r>
                <w:rPr>
                  <w:rStyle w:val="InternetLink"/>
                  <w:rFonts w:ascii="Times New Roman;sans-serif" w:hAnsi="Times New Roman;sans-serif"/>
                  <w:b w:val="false"/>
                  <w:color w:val="0000FF"/>
                  <w:sz w:val="20"/>
                  <w:u w:val="single"/>
                </w:rPr>
                <w:t>Principal Executive Officer Certification pursuant to 18 U.S.C. Section 1350, as adopted pursuant to Section 906 of the Sarbanes-Oxley Act of 2002.</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lpi-2023331exhibit322.htm">
              <w:r>
                <w:rPr>
                  <w:rStyle w:val="InternetLink"/>
                  <w:rFonts w:ascii="Times New Roman;sans-serif" w:hAnsi="Times New Roman;sans-serif"/>
                  <w:b w:val="false"/>
                  <w:color w:val="0000FF"/>
                  <w:sz w:val="20"/>
                  <w:u w:val="single"/>
                </w:rPr>
                <w:t>Principal Financial Officer Certification pursuant to 18 U.S.C. Section 1350, as adopted pursuant to Section 906 of the Sarbanes-Oxley Act of 2022.</w:t>
              </w:r>
            </w:hyperlink>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Gaming and Leisure Properties, Inc.'s Quarterly Report on Form 10-Q for the quarter ended March 31, 2023,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5"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2023, formatted in Inline XBRL and contained in Exhibit 101.</w:t>
            </w:r>
          </w:p>
        </w:tc>
      </w:tr>
    </w:tbl>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720"/>
        <w:rPr/>
      </w:pPr>
      <w:r>
        <w:rPr>
          <w:rFonts w:ascii="Times New Roman;sans-serif" w:hAnsi="Times New Roman;sans-serif"/>
          <w:b w:val="false"/>
          <w:color w:val="000000"/>
          <w:sz w:val="18"/>
        </w:rPr>
        <w:t>*    </w:t>
      </w:r>
      <w:r>
        <w:rPr>
          <w:rFonts w:ascii="Times New Roman;sans-serif" w:hAnsi="Times New Roman;sans-serif"/>
          <w:b w:val="false"/>
          <w:color w:val="000000"/>
          <w:sz w:val="20"/>
        </w:rPr>
        <w:t>Filed herewith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before="0" w:after="0"/>
        <w:ind w:left="0" w:right="0" w:hanging="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0" w:after="0"/>
        <w:jc w:val="center"/>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6377" w:type="dxa"/>
        <w:jc w:val="left"/>
        <w:tblInd w:w="0" w:type="dxa"/>
        <w:tblCellMar>
          <w:top w:w="28" w:type="dxa"/>
          <w:left w:w="28" w:type="dxa"/>
          <w:bottom w:w="28" w:type="dxa"/>
          <w:right w:w="28" w:type="dxa"/>
        </w:tblCellMar>
      </w:tblPr>
      <w:tblGrid>
        <w:gridCol w:w="473"/>
        <w:gridCol w:w="415"/>
        <w:gridCol w:w="417"/>
        <w:gridCol w:w="601"/>
        <w:gridCol w:w="601"/>
        <w:gridCol w:w="601"/>
        <w:gridCol w:w="952"/>
        <w:gridCol w:w="952"/>
        <w:gridCol w:w="1365"/>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7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AND LEISURE PROPERTIES, INC.</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7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22.1</w:t>
      </w:r>
    </w:p>
    <w:p>
      <w:pPr>
        <w:pStyle w:val="TextBody"/>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List of Subsidiary Issuers of Guaranteed Securities</w:t>
      </w:r>
    </w:p>
    <w:p>
      <w:pPr>
        <w:pStyle w:val="TextBody"/>
        <w:spacing w:lineRule="auto" w:line="300" w:before="0" w:after="160"/>
        <w:rPr>
          <w:rFonts w:ascii="Times New Roman;sans-serif" w:hAnsi="Times New Roman;sans-serif"/>
          <w:b w:val="false"/>
          <w:color w:val="000000"/>
          <w:sz w:val="24"/>
        </w:rPr>
      </w:pPr>
      <w:r>
        <w:rPr>
          <w:rFonts w:ascii="Times New Roman;sans-serif" w:hAnsi="Times New Roman;sans-serif"/>
          <w:b w:val="false"/>
          <w:color w:val="000000"/>
          <w:sz w:val="24"/>
        </w:rPr>
        <w:t>The following subsidiaries of Gaming and Leisure Properties, Inc. (the “Company”) were, as of March 31, 2023, issuers of the (i) $400 million 3.35% senior unsecured notes due September 2024, (ii) $850 million 5.25% senior unsecured notes due June 2025, (iii) $975 million 5.375% senior unsecured notes due April 2026, (iv) $500 million 5.75% senior unsecured notes due June 2028, (v) $750 million 5.30% senior unsecured notes due January 2029, (vi) $700 million 4.00% senior unsecured notes due January 2030, (vii) $700 million 4.000% senior unsecured notes due January 2031, and (viii) $800 million 3.25% senior unsecured notes due January 2032, each guaranteed by the Company:</w:t>
      </w:r>
    </w:p>
    <w:tbl>
      <w:tblPr>
        <w:tblW w:w="6793" w:type="dxa"/>
        <w:jc w:val="left"/>
        <w:tblInd w:w="0" w:type="dxa"/>
        <w:tblCellMar>
          <w:top w:w="28" w:type="dxa"/>
          <w:left w:w="28" w:type="dxa"/>
          <w:bottom w:w="28" w:type="dxa"/>
          <w:right w:w="28" w:type="dxa"/>
        </w:tblCellMar>
      </w:tblPr>
      <w:tblGrid>
        <w:gridCol w:w="826"/>
        <w:gridCol w:w="724"/>
        <w:gridCol w:w="729"/>
        <w:gridCol w:w="1320"/>
        <w:gridCol w:w="1320"/>
        <w:gridCol w:w="1874"/>
      </w:tblGrid>
      <w:tr>
        <w:trPr/>
        <w:tc>
          <w:tcPr>
            <w:tcW w:w="82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Entity</w:t>
            </w:r>
          </w:p>
        </w:tc>
        <w:tc>
          <w:tcPr>
            <w:tcW w:w="4514"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Jurisdiction of Incorporation or Formation</w:t>
            </w:r>
          </w:p>
        </w:tc>
      </w:tr>
      <w:tr>
        <w:trPr/>
        <w:tc>
          <w:tcPr>
            <w:tcW w:w="227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bl>
    <w:p>
      <w:pPr>
        <w:pStyle w:val="TextBody"/>
        <w:spacing w:before="0" w:after="160"/>
        <w:rPr/>
      </w:pPr>
      <w:r>
        <w:rPr/>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Peter M. Carlino, certify that: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Gaming and Leisure Properties, Inc.;</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3944" w:type="dxa"/>
        <w:jc w:val="left"/>
        <w:tblInd w:w="0" w:type="dxa"/>
        <w:tblCellMar>
          <w:top w:w="28" w:type="dxa"/>
          <w:left w:w="28" w:type="dxa"/>
          <w:bottom w:w="28" w:type="dxa"/>
          <w:right w:w="28" w:type="dxa"/>
        </w:tblCellMar>
      </w:tblPr>
      <w:tblGrid>
        <w:gridCol w:w="200"/>
        <w:gridCol w:w="177"/>
        <w:gridCol w:w="178"/>
        <w:gridCol w:w="429"/>
        <w:gridCol w:w="429"/>
        <w:gridCol w:w="431"/>
        <w:gridCol w:w="614"/>
        <w:gridCol w:w="614"/>
        <w:gridCol w:w="87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M. Carlino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Desiree A. Burke, certify that: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Gaming and Leisure Properties, Inc.;</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5113" w:type="dxa"/>
        <w:jc w:val="left"/>
        <w:tblInd w:w="0" w:type="dxa"/>
        <w:tblCellMar>
          <w:top w:w="28" w:type="dxa"/>
          <w:left w:w="28" w:type="dxa"/>
          <w:bottom w:w="28" w:type="dxa"/>
          <w:right w:w="28" w:type="dxa"/>
        </w:tblCellMar>
      </w:tblPr>
      <w:tblGrid>
        <w:gridCol w:w="200"/>
        <w:gridCol w:w="177"/>
        <w:gridCol w:w="178"/>
        <w:gridCol w:w="429"/>
        <w:gridCol w:w="429"/>
        <w:gridCol w:w="431"/>
        <w:gridCol w:w="956"/>
        <w:gridCol w:w="956"/>
        <w:gridCol w:w="135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Desiree A. Burke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Gaming and Leisure Properties, Inc. (the “Company”) on Form 10-Q for the quarter ended March 31, 2023,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5265" w:type="dxa"/>
        <w:jc w:val="left"/>
        <w:tblInd w:w="0" w:type="dxa"/>
        <w:tblCellMar>
          <w:top w:w="28" w:type="dxa"/>
          <w:left w:w="28" w:type="dxa"/>
          <w:bottom w:w="28" w:type="dxa"/>
          <w:right w:w="28" w:type="dxa"/>
        </w:tblCellMar>
      </w:tblPr>
      <w:tblGrid>
        <w:gridCol w:w="200"/>
        <w:gridCol w:w="177"/>
        <w:gridCol w:w="178"/>
        <w:gridCol w:w="1377"/>
        <w:gridCol w:w="1377"/>
        <w:gridCol w:w="195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Gaming and Leisure Properties, Inc. (the “Company”) on Form 10-Q for the quarter ended March 31, 2023,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5280" w:type="dxa"/>
        <w:jc w:val="left"/>
        <w:tblInd w:w="0" w:type="dxa"/>
        <w:tblCellMar>
          <w:top w:w="28" w:type="dxa"/>
          <w:left w:w="28" w:type="dxa"/>
          <w:bottom w:w="28" w:type="dxa"/>
          <w:right w:w="28" w:type="dxa"/>
        </w:tblCellMar>
      </w:tblPr>
      <w:tblGrid>
        <w:gridCol w:w="200"/>
        <w:gridCol w:w="177"/>
        <w:gridCol w:w="178"/>
        <w:gridCol w:w="1382"/>
        <w:gridCol w:w="1382"/>
        <w:gridCol w:w="196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5965/000157596523000007/penn-armasterleaseexecutio.htm" TargetMode="External"/><Relationship Id="rId3" Type="http://schemas.openxmlformats.org/officeDocument/2006/relationships/hyperlink" Target="https://www.sec.gov/Archives/edgar/data/1575965/000157596523000007/penn-newmasterlease7proper.htm" TargetMode="External"/><Relationship Id="rId4" Type="http://schemas.openxmlformats.org/officeDocument/2006/relationships/hyperlink" Target="https://www.sec.gov/Archives/edgar/data/1575965/000157596523000007/fifthamendmenttopinnaclem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32114</Words>
  <CharactersWithSpaces>205699</CharactersWithSpaces>
  <Paragraphs>2542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