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166370</wp:posOffset>
            </wp:positionV>
            <wp:extent cx="22898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166"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(Mark One)</w:t>
      </w:r>
    </w:p>
    <w:p>
      <w:pPr>
        <w:spacing w:after="0" w:line="86" w:lineRule="exact"/>
        <w:rPr>
          <w:sz w:val="24"/>
          <w:szCs w:val="24"/>
          <w:color w:val="auto"/>
        </w:rPr>
      </w:pPr>
    </w:p>
    <w:p>
      <w:pPr>
        <w:ind w:left="4180" w:right="2000" w:hanging="3470"/>
        <w:spacing w:after="0" w:line="334" w:lineRule="auto"/>
        <w:tabs>
          <w:tab w:leader="none" w:pos="1515"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2018</w:t>
      </w:r>
    </w:p>
    <w:p>
      <w:pPr>
        <w:spacing w:after="0" w:line="1" w:lineRule="exact"/>
        <w:rPr>
          <w:rFonts w:ascii="Arial" w:cs="Arial" w:eastAsia="Arial" w:hAnsi="Arial"/>
          <w:sz w:val="16"/>
          <w:szCs w:val="16"/>
          <w:color w:val="auto"/>
        </w:rPr>
      </w:pPr>
    </w:p>
    <w:p>
      <w:pPr>
        <w:ind w:left="5600"/>
        <w:spacing w:after="0"/>
        <w:rPr>
          <w:rFonts w:ascii="Arial" w:cs="Arial" w:eastAsia="Arial" w:hAnsi="Arial"/>
          <w:sz w:val="16"/>
          <w:szCs w:val="16"/>
          <w:color w:val="auto"/>
        </w:rPr>
      </w:pPr>
      <w:r>
        <w:rPr>
          <w:rFonts w:ascii="Arial" w:cs="Arial" w:eastAsia="Arial" w:hAnsi="Arial"/>
          <w:sz w:val="16"/>
          <w:szCs w:val="16"/>
          <w:b w:val="1"/>
          <w:bCs w:val="1"/>
          <w:color w:val="auto"/>
        </w:rPr>
        <w:t>OR</w:t>
      </w:r>
    </w:p>
    <w:p>
      <w:pPr>
        <w:spacing w:after="0" w:line="73" w:lineRule="exact"/>
        <w:rPr>
          <w:sz w:val="24"/>
          <w:szCs w:val="24"/>
          <w:color w:val="auto"/>
        </w:rPr>
      </w:pPr>
    </w:p>
    <w:p>
      <w:pPr>
        <w:ind w:left="1520" w:hanging="810"/>
        <w:spacing w:after="0"/>
        <w:tabs>
          <w:tab w:leader="none" w:pos="152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73" w:lineRule="exact"/>
        <w:rPr>
          <w:sz w:val="24"/>
          <w:szCs w:val="24"/>
          <w:color w:val="auto"/>
        </w:rPr>
      </w:pPr>
    </w:p>
    <w:p>
      <w:pPr>
        <w:ind w:left="340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001-36124</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Gaming and Leisure Properties, Inc.</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77" w:lineRule="exact"/>
        <w:rPr>
          <w:sz w:val="24"/>
          <w:szCs w:val="24"/>
          <w:color w:val="auto"/>
        </w:rPr>
      </w:pPr>
    </w:p>
    <w:tbl>
      <w:tblPr>
        <w:tblLayout w:type="fixed"/>
        <w:tblInd w:w="2580" w:type="dxa"/>
        <w:tblCellMar>
          <w:top w:w="0" w:type="dxa"/>
          <w:left w:w="0" w:type="dxa"/>
          <w:bottom w:w="0" w:type="dxa"/>
          <w:right w:w="0" w:type="dxa"/>
        </w:tblCellMar>
      </w:tblPr>
      <w:tr>
        <w:trPr>
          <w:trHeight w:val="207"/>
        </w:trPr>
        <w:tc>
          <w:tcPr>
            <w:tcW w:w="3480" w:type="dxa"/>
            <w:vAlign w:val="bottom"/>
          </w:tcPr>
          <w:p>
            <w:pPr>
              <w:jc w:val="center"/>
              <w:ind w:right="839"/>
              <w:spacing w:after="0"/>
              <w:rPr>
                <w:sz w:val="20"/>
                <w:szCs w:val="20"/>
                <w:color w:val="auto"/>
              </w:rPr>
            </w:pPr>
            <w:r>
              <w:rPr>
                <w:rFonts w:ascii="Arial" w:cs="Arial" w:eastAsia="Arial" w:hAnsi="Arial"/>
                <w:sz w:val="16"/>
                <w:szCs w:val="16"/>
                <w:b w:val="1"/>
                <w:bCs w:val="1"/>
                <w:color w:val="auto"/>
                <w:w w:val="89"/>
              </w:rPr>
              <w:t>Pennsylvania</w:t>
            </w:r>
          </w:p>
        </w:tc>
        <w:tc>
          <w:tcPr>
            <w:tcW w:w="2100" w:type="dxa"/>
            <w:vAlign w:val="bottom"/>
          </w:tcPr>
          <w:p>
            <w:pPr>
              <w:jc w:val="right"/>
              <w:ind w:right="139"/>
              <w:spacing w:after="0"/>
              <w:rPr>
                <w:sz w:val="20"/>
                <w:szCs w:val="20"/>
                <w:color w:val="auto"/>
              </w:rPr>
            </w:pPr>
            <w:r>
              <w:rPr>
                <w:rFonts w:ascii="Arial" w:cs="Arial" w:eastAsia="Arial" w:hAnsi="Arial"/>
                <w:sz w:val="16"/>
                <w:szCs w:val="16"/>
                <w:b w:val="1"/>
                <w:bCs w:val="1"/>
                <w:color w:val="auto"/>
              </w:rPr>
              <w:t>46-2116489</w:t>
            </w:r>
          </w:p>
        </w:tc>
      </w:tr>
      <w:tr>
        <w:trPr>
          <w:trHeight w:val="203"/>
        </w:trPr>
        <w:tc>
          <w:tcPr>
            <w:tcW w:w="3480" w:type="dxa"/>
            <w:vAlign w:val="bottom"/>
          </w:tcPr>
          <w:p>
            <w:pPr>
              <w:jc w:val="center"/>
              <w:ind w:right="839"/>
              <w:spacing w:after="0"/>
              <w:rPr>
                <w:sz w:val="20"/>
                <w:szCs w:val="20"/>
                <w:color w:val="auto"/>
              </w:rPr>
            </w:pPr>
            <w:r>
              <w:rPr>
                <w:rFonts w:ascii="Arial" w:cs="Arial" w:eastAsia="Arial" w:hAnsi="Arial"/>
                <w:sz w:val="16"/>
                <w:szCs w:val="16"/>
                <w:color w:val="auto"/>
                <w:w w:val="93"/>
              </w:rPr>
              <w:t>(State or other jurisdiction of</w:t>
            </w:r>
          </w:p>
        </w:tc>
        <w:tc>
          <w:tcPr>
            <w:tcW w:w="2100" w:type="dxa"/>
            <w:vAlign w:val="bottom"/>
          </w:tcPr>
          <w:p>
            <w:pPr>
              <w:jc w:val="center"/>
              <w:ind w:left="819"/>
              <w:spacing w:after="0"/>
              <w:rPr>
                <w:sz w:val="20"/>
                <w:szCs w:val="20"/>
                <w:color w:val="auto"/>
              </w:rPr>
            </w:pPr>
            <w:r>
              <w:rPr>
                <w:rFonts w:ascii="Arial" w:cs="Arial" w:eastAsia="Arial" w:hAnsi="Arial"/>
                <w:sz w:val="16"/>
                <w:szCs w:val="16"/>
                <w:color w:val="auto"/>
                <w:w w:val="95"/>
              </w:rPr>
              <w:t>(I.R.S. Employer</w:t>
            </w:r>
          </w:p>
        </w:tc>
      </w:tr>
      <w:tr>
        <w:trPr>
          <w:trHeight w:val="206"/>
        </w:trPr>
        <w:tc>
          <w:tcPr>
            <w:tcW w:w="3480" w:type="dxa"/>
            <w:vAlign w:val="bottom"/>
          </w:tcPr>
          <w:p>
            <w:pPr>
              <w:jc w:val="center"/>
              <w:ind w:right="839"/>
              <w:spacing w:after="0"/>
              <w:rPr>
                <w:sz w:val="20"/>
                <w:szCs w:val="20"/>
                <w:color w:val="auto"/>
              </w:rPr>
            </w:pPr>
            <w:r>
              <w:rPr>
                <w:rFonts w:ascii="Arial" w:cs="Arial" w:eastAsia="Arial" w:hAnsi="Arial"/>
                <w:sz w:val="16"/>
                <w:szCs w:val="16"/>
                <w:color w:val="auto"/>
                <w:w w:val="94"/>
              </w:rPr>
              <w:t>incorporation or organization)</w:t>
            </w:r>
          </w:p>
        </w:tc>
        <w:tc>
          <w:tcPr>
            <w:tcW w:w="2100" w:type="dxa"/>
            <w:vAlign w:val="bottom"/>
          </w:tcPr>
          <w:p>
            <w:pPr>
              <w:jc w:val="center"/>
              <w:ind w:left="819"/>
              <w:spacing w:after="0"/>
              <w:rPr>
                <w:sz w:val="20"/>
                <w:szCs w:val="20"/>
                <w:color w:val="auto"/>
              </w:rPr>
            </w:pPr>
            <w:r>
              <w:rPr>
                <w:rFonts w:ascii="Arial" w:cs="Arial" w:eastAsia="Arial" w:hAnsi="Arial"/>
                <w:sz w:val="16"/>
                <w:szCs w:val="16"/>
                <w:color w:val="auto"/>
                <w:w w:val="96"/>
              </w:rPr>
              <w:t>Identification No.)</w:t>
            </w:r>
          </w:p>
        </w:tc>
      </w:tr>
      <w:tr>
        <w:trPr>
          <w:trHeight w:val="249"/>
        </w:trPr>
        <w:tc>
          <w:tcPr>
            <w:tcW w:w="3480" w:type="dxa"/>
            <w:vAlign w:val="bottom"/>
          </w:tcPr>
          <w:p>
            <w:pPr>
              <w:jc w:val="center"/>
              <w:ind w:right="839"/>
              <w:spacing w:after="0"/>
              <w:rPr>
                <w:sz w:val="20"/>
                <w:szCs w:val="20"/>
                <w:color w:val="auto"/>
              </w:rPr>
            </w:pPr>
            <w:r>
              <w:rPr>
                <w:rFonts w:ascii="Arial" w:cs="Arial" w:eastAsia="Arial" w:hAnsi="Arial"/>
                <w:sz w:val="16"/>
                <w:szCs w:val="16"/>
                <w:b w:val="1"/>
                <w:bCs w:val="1"/>
                <w:color w:val="auto"/>
                <w:w w:val="91"/>
              </w:rPr>
              <w:t>845 Berkshire Blvd., Suite 200</w:t>
            </w:r>
          </w:p>
        </w:tc>
        <w:tc>
          <w:tcPr>
            <w:tcW w:w="2100" w:type="dxa"/>
            <w:vAlign w:val="bottom"/>
          </w:tcPr>
          <w:p>
            <w:pPr>
              <w:spacing w:after="0"/>
              <w:rPr>
                <w:sz w:val="21"/>
                <w:szCs w:val="21"/>
                <w:color w:val="auto"/>
              </w:rPr>
            </w:pPr>
          </w:p>
        </w:tc>
      </w:tr>
      <w:tr>
        <w:trPr>
          <w:trHeight w:val="207"/>
        </w:trPr>
        <w:tc>
          <w:tcPr>
            <w:tcW w:w="3480" w:type="dxa"/>
            <w:vAlign w:val="bottom"/>
          </w:tcPr>
          <w:p>
            <w:pPr>
              <w:jc w:val="center"/>
              <w:ind w:right="839"/>
              <w:spacing w:after="0"/>
              <w:rPr>
                <w:sz w:val="20"/>
                <w:szCs w:val="20"/>
                <w:color w:val="auto"/>
              </w:rPr>
            </w:pPr>
            <w:r>
              <w:rPr>
                <w:rFonts w:ascii="Arial" w:cs="Arial" w:eastAsia="Arial" w:hAnsi="Arial"/>
                <w:sz w:val="16"/>
                <w:szCs w:val="16"/>
                <w:b w:val="1"/>
                <w:bCs w:val="1"/>
                <w:color w:val="auto"/>
                <w:w w:val="89"/>
              </w:rPr>
              <w:t>Wyomissing, Pennsylvania</w:t>
            </w:r>
          </w:p>
        </w:tc>
        <w:tc>
          <w:tcPr>
            <w:tcW w:w="2100" w:type="dxa"/>
            <w:vAlign w:val="bottom"/>
          </w:tcPr>
          <w:p>
            <w:pPr>
              <w:jc w:val="right"/>
              <w:ind w:right="319"/>
              <w:spacing w:after="0"/>
              <w:rPr>
                <w:sz w:val="20"/>
                <w:szCs w:val="20"/>
                <w:color w:val="auto"/>
              </w:rPr>
            </w:pPr>
            <w:r>
              <w:rPr>
                <w:rFonts w:ascii="Arial" w:cs="Arial" w:eastAsia="Arial" w:hAnsi="Arial"/>
                <w:sz w:val="16"/>
                <w:szCs w:val="16"/>
                <w:b w:val="1"/>
                <w:bCs w:val="1"/>
                <w:color w:val="auto"/>
              </w:rPr>
              <w:t>19610</w:t>
            </w:r>
          </w:p>
        </w:tc>
      </w:tr>
      <w:tr>
        <w:trPr>
          <w:trHeight w:val="206"/>
        </w:trPr>
        <w:tc>
          <w:tcPr>
            <w:tcW w:w="3480" w:type="dxa"/>
            <w:vAlign w:val="bottom"/>
          </w:tcPr>
          <w:p>
            <w:pPr>
              <w:jc w:val="center"/>
              <w:ind w:right="839"/>
              <w:spacing w:after="0"/>
              <w:rPr>
                <w:sz w:val="20"/>
                <w:szCs w:val="20"/>
                <w:color w:val="auto"/>
              </w:rPr>
            </w:pPr>
            <w:r>
              <w:rPr>
                <w:rFonts w:ascii="Arial" w:cs="Arial" w:eastAsia="Arial" w:hAnsi="Arial"/>
                <w:sz w:val="16"/>
                <w:szCs w:val="16"/>
                <w:color w:val="auto"/>
                <w:w w:val="93"/>
              </w:rPr>
              <w:t>(Address of principal executive offices)</w:t>
            </w:r>
          </w:p>
        </w:tc>
        <w:tc>
          <w:tcPr>
            <w:tcW w:w="2100" w:type="dxa"/>
            <w:vAlign w:val="bottom"/>
          </w:tcPr>
          <w:p>
            <w:pPr>
              <w:jc w:val="center"/>
              <w:ind w:left="819"/>
              <w:spacing w:after="0"/>
              <w:rPr>
                <w:sz w:val="20"/>
                <w:szCs w:val="20"/>
                <w:color w:val="auto"/>
              </w:rPr>
            </w:pPr>
            <w:r>
              <w:rPr>
                <w:rFonts w:ascii="Arial" w:cs="Arial" w:eastAsia="Arial" w:hAnsi="Arial"/>
                <w:sz w:val="16"/>
                <w:szCs w:val="16"/>
                <w:color w:val="auto"/>
                <w:w w:val="95"/>
              </w:rPr>
              <w:t>(Zip Code)</w:t>
            </w:r>
          </w:p>
        </w:tc>
      </w:tr>
    </w:tbl>
    <w:p>
      <w:pPr>
        <w:spacing w:after="0" w:line="127" w:lineRule="exact"/>
        <w:rPr>
          <w:sz w:val="24"/>
          <w:szCs w:val="24"/>
          <w:color w:val="auto"/>
        </w:rPr>
      </w:pPr>
    </w:p>
    <w:p>
      <w:pPr>
        <w:ind w:left="352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(610) 401-2900</w:t>
      </w:r>
    </w:p>
    <w:p>
      <w:pPr>
        <w:spacing w:after="0" w:line="117"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30" w:lineRule="exact"/>
        <w:rPr>
          <w:sz w:val="24"/>
          <w:szCs w:val="24"/>
          <w:color w:val="auto"/>
        </w:rPr>
      </w:pPr>
    </w:p>
    <w:tbl>
      <w:tblPr>
        <w:tblLayout w:type="fixed"/>
        <w:tblInd w:w="1980" w:type="dxa"/>
        <w:tblCellMar>
          <w:top w:w="0" w:type="dxa"/>
          <w:left w:w="0" w:type="dxa"/>
          <w:bottom w:w="0" w:type="dxa"/>
          <w:right w:w="0" w:type="dxa"/>
        </w:tblCellMar>
      </w:tblPr>
      <w:tr>
        <w:trPr>
          <w:trHeight w:val="192"/>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820" w:type="dxa"/>
            <w:vAlign w:val="bottom"/>
          </w:tcPr>
          <w:p>
            <w:pPr>
              <w:spacing w:after="0"/>
              <w:rPr>
                <w:sz w:val="16"/>
                <w:szCs w:val="16"/>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44"/>
        </w:trPr>
        <w:tc>
          <w:tcPr>
            <w:tcW w:w="4140" w:type="dxa"/>
            <w:vAlign w:val="bottom"/>
            <w:gridSpan w:val="2"/>
          </w:tcPr>
          <w:p>
            <w:pPr>
              <w:jc w:val="center"/>
              <w:ind w:right="840"/>
              <w:spacing w:after="0"/>
              <w:rPr>
                <w:sz w:val="20"/>
                <w:szCs w:val="20"/>
                <w:color w:val="auto"/>
              </w:rPr>
            </w:pPr>
            <w:r>
              <w:rPr>
                <w:rFonts w:ascii="Arial" w:cs="Arial" w:eastAsia="Arial" w:hAnsi="Arial"/>
                <w:sz w:val="14"/>
                <w:szCs w:val="14"/>
                <w:color w:val="auto"/>
                <w:w w:val="91"/>
              </w:rPr>
              <w:t>Common Stock, par value $.01 per share</w:t>
            </w:r>
          </w:p>
        </w:tc>
        <w:tc>
          <w:tcPr>
            <w:tcW w:w="3340" w:type="dxa"/>
            <w:vAlign w:val="bottom"/>
          </w:tcPr>
          <w:p>
            <w:pPr>
              <w:jc w:val="center"/>
              <w:spacing w:after="0"/>
              <w:rPr>
                <w:sz w:val="20"/>
                <w:szCs w:val="20"/>
                <w:color w:val="auto"/>
              </w:rPr>
            </w:pPr>
            <w:r>
              <w:rPr>
                <w:rFonts w:ascii="Arial" w:cs="Arial" w:eastAsia="Arial" w:hAnsi="Arial"/>
                <w:sz w:val="14"/>
                <w:szCs w:val="14"/>
                <w:color w:val="auto"/>
              </w:rPr>
              <w:t>NASDAQ</w:t>
            </w:r>
          </w:p>
        </w:tc>
      </w:tr>
    </w:tbl>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12(g) of the Act:</w:t>
      </w:r>
    </w:p>
    <w:p>
      <w:pPr>
        <w:spacing w:after="0" w:line="105" w:lineRule="exact"/>
        <w:rPr>
          <w:sz w:val="24"/>
          <w:szCs w:val="24"/>
          <w:color w:val="auto"/>
        </w:rPr>
      </w:pPr>
    </w:p>
    <w:p>
      <w:pPr>
        <w:ind w:left="5560"/>
        <w:spacing w:after="0"/>
        <w:rPr>
          <w:sz w:val="20"/>
          <w:szCs w:val="20"/>
          <w:color w:val="auto"/>
        </w:rPr>
      </w:pPr>
      <w:r>
        <w:rPr>
          <w:rFonts w:ascii="Arial" w:cs="Arial" w:eastAsia="Arial" w:hAnsi="Arial"/>
          <w:sz w:val="14"/>
          <w:szCs w:val="14"/>
          <w:b w:val="1"/>
          <w:bCs w:val="1"/>
          <w:color w:val="auto"/>
        </w:rPr>
        <w:t>None</w:t>
      </w:r>
    </w:p>
    <w:p>
      <w:pPr>
        <w:spacing w:after="0" w:line="113" w:lineRule="exact"/>
        <w:rPr>
          <w:sz w:val="24"/>
          <w:szCs w:val="24"/>
          <w:color w:val="auto"/>
        </w:rPr>
      </w:pPr>
    </w:p>
    <w:p>
      <w:pPr>
        <w:ind w:left="54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 x No o</w:t>
      </w:r>
    </w:p>
    <w:p>
      <w:pPr>
        <w:spacing w:after="0" w:line="109" w:lineRule="exact"/>
        <w:rPr>
          <w:sz w:val="24"/>
          <w:szCs w:val="24"/>
          <w:color w:val="auto"/>
        </w:rPr>
      </w:pPr>
    </w:p>
    <w:p>
      <w:pPr>
        <w:ind w:left="540"/>
        <w:spacing w:after="0"/>
        <w:tabs>
          <w:tab w:leader="none" w:pos="7920" w:val="left"/>
        </w:tabs>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 Yes o</w:t>
        <w:tab/>
        <w:t>No x</w:t>
      </w:r>
    </w:p>
    <w:p>
      <w:pPr>
        <w:spacing w:after="0" w:line="121" w:lineRule="exact"/>
        <w:rPr>
          <w:sz w:val="24"/>
          <w:szCs w:val="24"/>
          <w:color w:val="auto"/>
        </w:rPr>
      </w:pPr>
    </w:p>
    <w:p>
      <w:pPr>
        <w:ind w:right="60" w:firstLine="540"/>
        <w:spacing w:after="0" w:line="273" w:lineRule="auto"/>
        <w:rPr>
          <w:sz w:val="20"/>
          <w:szCs w:val="20"/>
          <w:color w:val="auto"/>
        </w:rPr>
      </w:pPr>
      <w:r>
        <w:rPr>
          <w:rFonts w:ascii="Arial" w:cs="Arial" w:eastAsia="Arial" w:hAnsi="Arial"/>
          <w:sz w:val="14"/>
          <w:szCs w:val="14"/>
          <w:color w:val="auto"/>
        </w:rPr>
        <w:t>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6" w:lineRule="exact"/>
        <w:rPr>
          <w:sz w:val="24"/>
          <w:szCs w:val="24"/>
          <w:color w:val="auto"/>
        </w:rPr>
      </w:pPr>
    </w:p>
    <w:p>
      <w:pPr>
        <w:ind w:right="240" w:firstLine="540"/>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66" w:lineRule="exact"/>
        <w:rPr>
          <w:sz w:val="24"/>
          <w:szCs w:val="24"/>
          <w:color w:val="auto"/>
        </w:rPr>
      </w:pPr>
    </w:p>
    <w:p>
      <w:pPr>
        <w:ind w:right="100" w:firstLine="540"/>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x</w:t>
      </w:r>
    </w:p>
    <w:p>
      <w:pPr>
        <w:spacing w:after="0" w:line="66" w:lineRule="exact"/>
        <w:rPr>
          <w:sz w:val="24"/>
          <w:szCs w:val="24"/>
          <w:color w:val="auto"/>
        </w:rPr>
      </w:pPr>
    </w:p>
    <w:p>
      <w:pPr>
        <w:ind w:right="240" w:firstLine="5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8" w:right="239" w:bottom="1440" w:gutter="0" w:footer="0" w:header="0"/>
        </w:sectPr>
      </w:pPr>
    </w:p>
    <w:p>
      <w:pPr>
        <w:spacing w:after="0" w:line="228" w:lineRule="exact"/>
        <w:rPr>
          <w:sz w:val="24"/>
          <w:szCs w:val="24"/>
          <w:color w:val="auto"/>
        </w:rPr>
      </w:pPr>
    </w:p>
    <w:p>
      <w:pPr>
        <w:ind w:left="1040"/>
        <w:spacing w:after="0"/>
        <w:rPr>
          <w:sz w:val="20"/>
          <w:szCs w:val="20"/>
          <w:color w:val="auto"/>
        </w:rPr>
      </w:pPr>
      <w:r>
        <w:rPr>
          <w:rFonts w:ascii="Arial" w:cs="Arial" w:eastAsia="Arial" w:hAnsi="Arial"/>
          <w:sz w:val="13"/>
          <w:szCs w:val="13"/>
          <w:color w:val="auto"/>
        </w:rPr>
        <w:t>Large accelerated filer x</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440"/>
        <w:spacing w:after="0"/>
        <w:rPr>
          <w:sz w:val="20"/>
          <w:szCs w:val="20"/>
          <w:color w:val="auto"/>
        </w:rPr>
      </w:pPr>
      <w:r>
        <w:rPr>
          <w:rFonts w:ascii="Arial" w:cs="Arial" w:eastAsia="Arial" w:hAnsi="Arial"/>
          <w:sz w:val="13"/>
          <w:szCs w:val="13"/>
          <w:color w:val="auto"/>
        </w:rPr>
        <w:t>Accelerated filer o</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ind w:left="140"/>
        <w:spacing w:after="0"/>
        <w:rPr>
          <w:sz w:val="20"/>
          <w:szCs w:val="20"/>
          <w:color w:val="auto"/>
        </w:rPr>
      </w:pPr>
      <w:r>
        <w:rPr>
          <w:rFonts w:ascii="Arial" w:cs="Arial" w:eastAsia="Arial" w:hAnsi="Arial"/>
          <w:sz w:val="14"/>
          <w:szCs w:val="14"/>
          <w:color w:val="auto"/>
        </w:rPr>
        <w:t>Non-accelerated filer o</w:t>
      </w:r>
    </w:p>
    <w:p>
      <w:pPr>
        <w:ind w:left="300"/>
        <w:spacing w:after="0" w:line="221" w:lineRule="auto"/>
        <w:rPr>
          <w:sz w:val="20"/>
          <w:szCs w:val="20"/>
          <w:color w:val="auto"/>
        </w:rPr>
      </w:pPr>
      <w:r>
        <w:rPr>
          <w:rFonts w:ascii="Arial" w:cs="Arial" w:eastAsia="Arial" w:hAnsi="Arial"/>
          <w:sz w:val="14"/>
          <w:szCs w:val="14"/>
          <w:color w:val="auto"/>
        </w:rPr>
        <w:t>(Do not check if a</w:t>
      </w: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 o</w:t>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 o</w:t>
      </w:r>
    </w:p>
    <w:p>
      <w:pPr>
        <w:spacing w:after="0" w:line="216" w:lineRule="exact"/>
        <w:rPr>
          <w:sz w:val="24"/>
          <w:szCs w:val="24"/>
          <w:color w:val="auto"/>
        </w:rPr>
      </w:pPr>
    </w:p>
    <w:p>
      <w:pPr>
        <w:sectPr>
          <w:pgSz w:w="11900" w:h="16838" w:orient="portrait"/>
          <w:cols w:equalWidth="0" w:num="4">
            <w:col w:w="2900" w:space="720"/>
            <w:col w:w="1520" w:space="720"/>
            <w:col w:w="2100" w:space="720"/>
            <w:col w:w="2740"/>
          </w:cols>
          <w:pgMar w:left="240" w:top="238" w:right="239" w:bottom="1440" w:gutter="0" w:footer="0" w:header="0"/>
          <w:type w:val="continuous"/>
        </w:sectPr>
      </w:pPr>
    </w:p>
    <w:p>
      <w:pPr>
        <w:ind w:right="180" w:firstLine="567"/>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Section13(a) of the Exchange Act. o</w:t>
      </w:r>
    </w:p>
    <w:p>
      <w:pPr>
        <w:spacing w:after="0" w:line="12" w:lineRule="exact"/>
        <w:rPr>
          <w:sz w:val="24"/>
          <w:szCs w:val="24"/>
          <w:color w:val="auto"/>
        </w:rPr>
      </w:pPr>
    </w:p>
    <w:p>
      <w:pPr>
        <w:ind w:left="540"/>
        <w:spacing w:after="0"/>
        <w:tabs>
          <w:tab w:leader="none" w:pos="756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 Yes o</w:t>
        <w:tab/>
        <w:t>No x</w:t>
      </w:r>
    </w:p>
    <w:p>
      <w:pPr>
        <w:spacing w:after="0" w:line="121" w:lineRule="exact"/>
        <w:rPr>
          <w:sz w:val="24"/>
          <w:szCs w:val="24"/>
          <w:color w:val="auto"/>
        </w:rPr>
      </w:pPr>
    </w:p>
    <w:p>
      <w:pPr>
        <w:ind w:firstLine="540"/>
        <w:spacing w:after="0" w:line="257" w:lineRule="auto"/>
        <w:rPr>
          <w:sz w:val="20"/>
          <w:szCs w:val="20"/>
          <w:color w:val="auto"/>
        </w:rPr>
      </w:pPr>
      <w:r>
        <w:rPr>
          <w:rFonts w:ascii="Arial" w:cs="Arial" w:eastAsia="Arial" w:hAnsi="Arial"/>
          <w:sz w:val="14"/>
          <w:szCs w:val="14"/>
          <w:color w:val="auto"/>
        </w:rPr>
        <w:t>As of June 30, 2018 (the last business day of the registrant's most recently completed second fiscal quarter), the aggregate market value of the voting common stock held by non-affiliates of the registrant was approximately $7.2 billion. Such aggregate market value was computed by reference to the closing price of the common stock as reported on the NASDAQ Global Select Market on June 29, 2018.</w:t>
      </w:r>
    </w:p>
    <w:p>
      <w:pPr>
        <w:spacing w:after="0" w:line="77" w:lineRule="exact"/>
        <w:rPr>
          <w:sz w:val="24"/>
          <w:szCs w:val="24"/>
          <w:color w:val="auto"/>
        </w:rPr>
      </w:pPr>
    </w:p>
    <w:p>
      <w:pPr>
        <w:ind w:left="540"/>
        <w:spacing w:after="0"/>
        <w:rPr>
          <w:sz w:val="20"/>
          <w:szCs w:val="20"/>
          <w:color w:val="auto"/>
        </w:rPr>
      </w:pPr>
      <w:r>
        <w:rPr>
          <w:rFonts w:ascii="Arial" w:cs="Arial" w:eastAsia="Arial" w:hAnsi="Arial"/>
          <w:sz w:val="14"/>
          <w:szCs w:val="14"/>
          <w:color w:val="auto"/>
        </w:rPr>
        <w:t>The number of shares of the registrant's common stock outstanding as of February 8, 2019 was 214,638,534.</w:t>
      </w:r>
    </w:p>
    <w:p>
      <w:pPr>
        <w:spacing w:after="0" w:line="105"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13" w:lineRule="exact"/>
        <w:rPr>
          <w:sz w:val="24"/>
          <w:szCs w:val="24"/>
          <w:color w:val="auto"/>
        </w:rPr>
      </w:pPr>
    </w:p>
    <w:p>
      <w:pPr>
        <w:ind w:right="140" w:firstLine="567"/>
        <w:spacing w:after="0" w:line="273" w:lineRule="auto"/>
        <w:rPr>
          <w:sz w:val="20"/>
          <w:szCs w:val="20"/>
          <w:color w:val="auto"/>
        </w:rPr>
      </w:pPr>
      <w:r>
        <w:rPr>
          <w:rFonts w:ascii="Arial" w:cs="Arial" w:eastAsia="Arial" w:hAnsi="Arial"/>
          <w:sz w:val="14"/>
          <w:szCs w:val="14"/>
          <w:color w:val="auto"/>
        </w:rPr>
        <w:t>Portions of the registrant's definitive proxy statement for its 2019 annual meeting of shareholders (when it is filed) will be incorporated by reference into Part III of this Annual Report on Form 10-K.</w:t>
      </w:r>
    </w:p>
    <w:p>
      <w:pPr>
        <w:sectPr>
          <w:pgSz w:w="11900" w:h="16838" w:orient="portrait"/>
          <w:cols w:equalWidth="0" w:num="1">
            <w:col w:w="11420"/>
          </w:cols>
          <w:pgMar w:left="240" w:top="238" w:right="23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FACTORS REGARDING FORWARD-LOOKING STATEMENTS</w:t>
      </w:r>
    </w:p>
    <w:p>
      <w:pPr>
        <w:spacing w:after="0" w:line="28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Forward-looking statements in this document are subject to known and unknown risks, uncertainties and other factors that may cause actual results, performance or achievements of Gaming and Leisure Properties, Inc. ("GLPI") and subsidiaries (collectively, the "Company") to be materially different from any future results, performance or achievements expressed or implied by such forward-looking statements. Forward-looking statements include information concerning the Company's business strategy, plans, and goals and objectives.</w:t>
      </w:r>
    </w:p>
    <w:p>
      <w:pPr>
        <w:spacing w:after="0" w:line="241"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Forward-looking statements in this document include, but are not limited to, statements regarding our ability to grow our portfolio of gaming facilities and to secure additional avenues of growth beyond the gaming industry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112" w:lineRule="exact"/>
        <w:rPr>
          <w:sz w:val="20"/>
          <w:szCs w:val="20"/>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the ability to identify suitable and attractive acquisition and development opportunities and the ability to acquire and lease the respective properties on favorable terms;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degree and nature of our competition;</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receive, or delays in obtaining, the regulatory approvals required to own and/or operate our properties, or other delays or impediments to completing our planned acquisitions or projects;</w:t>
      </w:r>
    </w:p>
    <w:p>
      <w:pPr>
        <w:spacing w:after="0" w:line="170"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status as a real estate investment trust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spacing w:after="0" w:line="186"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satisfaction of certain asset, income, organizational, distribution, shareholder ownership and other requirements on a continuing basis in order for the Company to maintain its REIT status;</w:t>
      </w:r>
    </w:p>
    <w:p>
      <w:pPr>
        <w:spacing w:after="0" w:line="170"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tenants, operators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spacing w:after="0" w:line="181"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tenants and operators to maintain the financial strength and liquidity necessary to satisfy their respective obligations and liabilities to third parties, including without limitation obligations under their existing credit facilities and other indebtedness;</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tenants and operators to comply with laws, rules and regulations in the operation of our properties, to deliver high quality services, to attract and retain qualified personnel and to attract customers;</w:t>
      </w:r>
    </w:p>
    <w:p>
      <w:pPr>
        <w:spacing w:after="0" w:line="170" w:lineRule="exact"/>
        <w:rPr>
          <w:rFonts w:ascii="Arial" w:cs="Arial" w:eastAsia="Arial" w:hAnsi="Arial"/>
          <w:sz w:val="18"/>
          <w:szCs w:val="18"/>
          <w:color w:val="auto"/>
        </w:rPr>
      </w:pPr>
    </w:p>
    <w:p>
      <w:pPr>
        <w:jc w:val="both"/>
        <w:ind w:left="660" w:right="64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satisfaction of the mortgage loan made to Eldorado Resorts, Inc. ("Eldorado") by way of substitution of one or more additional Eldorado properties acceptable to Eldorado and the Company, which will be transferred to the Company and added to the master lease agreement with Eldorado;</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generate sufficient cash flows to service our outstanding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access to debt and equity capital markets, including for acquisitions or refinancing due to maturities;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our credit rating;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fluctuating interest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global or regional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qualified personnel and our ability to retain our key management personnel;</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0"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right="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GLPI's duty to indemnify Penn National Gaming, Inc. ("Penn") in certain circumstances if the spin-off transaction described in Part 1 of this Annual Report on Form 10-K fails to be tax-free;</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United States tax law and other state, federal or local laws, whether or not specific to real estate, real estate investment trusts or to the gaming, lodging or hospitality industries;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accounting standards;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weather events or conditions, natural disasters, acts of terrorism and other international hostilities, war or political instability;</w:t>
      </w:r>
    </w:p>
    <w:p>
      <w:pPr>
        <w:spacing w:after="0" w:line="23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inherent in the real estate business, including potential liability relating to environmental matters and illiquidity of real estate investments; and</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factors discussed in the sections entitled "Risk Factors" and "Management's Discussion and Analysis of Financial Condition and Results of Operations" in this report.</w:t>
      </w:r>
    </w:p>
    <w:p>
      <w:pPr>
        <w:spacing w:after="0" w:line="89"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Certain of these factors and other factors, risks and uncertainties are discussed in the "Risk Factors" section of this report. Other unknown or unpredictable factors may also cause actual results to differ materially from those projected by the forward-looking statements. Most of these factors are difficult to anticipate and are generally beyond the control of the Company.</w:t>
      </w:r>
    </w:p>
    <w:p>
      <w:pPr>
        <w:spacing w:after="0" w:line="235"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You should consider the areas of risk described above, as well as those set forth under the heading "Risk Factors," in connection with considering any forward-looking statements that may be made by the Company generally. The Company does not undertake any obligation to release publicly any revisions to any forward-looking statements, to report events or to report the occurrence of unanticipated events unless required to do so by law.</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30" w:right="25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80" w:type="dxa"/>
            <w:vAlign w:val="bottom"/>
            <w:gridSpan w:val="11"/>
          </w:tcPr>
          <w:p>
            <w:pPr>
              <w:ind w:left="20"/>
              <w:spacing w:after="0"/>
              <w:rPr>
                <w:sz w:val="20"/>
                <w:szCs w:val="20"/>
                <w:color w:val="auto"/>
              </w:rPr>
            </w:pPr>
            <w:r>
              <w:rPr>
                <w:rFonts w:ascii="Arial" w:cs="Arial" w:eastAsia="Arial" w:hAnsi="Arial"/>
                <w:sz w:val="18"/>
                <w:szCs w:val="18"/>
                <w:b w:val="1"/>
                <w:bCs w:val="1"/>
                <w:color w:val="auto"/>
              </w:rPr>
              <w:t>TABLE OF CONTENTS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8"/>
        </w:trPr>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1600" w:type="dxa"/>
            <w:vAlign w:val="bottom"/>
            <w:gridSpan w:val="7"/>
          </w:tcPr>
          <w:p>
            <w:pPr>
              <w:spacing w:after="0" w:line="189"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ITEM 1.</w:t>
              </w:r>
            </w:hyperlink>
          </w:p>
        </w:tc>
        <w:tc>
          <w:tcPr>
            <w:tcW w:w="980" w:type="dxa"/>
            <w:vAlign w:val="bottom"/>
            <w:gridSpan w:val="5"/>
          </w:tcPr>
          <w:p>
            <w:pPr>
              <w:spacing w:after="0"/>
              <w:rPr>
                <w:sz w:val="22"/>
                <w:szCs w:val="22"/>
                <w:color w:val="auto"/>
              </w:rPr>
            </w:pPr>
          </w:p>
        </w:tc>
        <w:tc>
          <w:tcPr>
            <w:tcW w:w="860" w:type="dxa"/>
            <w:vAlign w:val="bottom"/>
            <w:tcBorders>
              <w:bottom w:val="single" w:sz="8" w:color="0000EE"/>
            </w:tcBorders>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BUSINESS</w:t>
              </w:r>
            </w:hyperlink>
          </w:p>
        </w:tc>
        <w:tc>
          <w:tcPr>
            <w:tcW w:w="8120" w:type="dxa"/>
            <w:vAlign w:val="bottom"/>
            <w:gridSpan w:val="22"/>
          </w:tcPr>
          <w:p>
            <w:pPr>
              <w:spacing w:after="0"/>
              <w:rPr>
                <w:sz w:val="22"/>
                <w:szCs w:val="22"/>
                <w:color w:val="auto"/>
              </w:rPr>
            </w:pPr>
          </w:p>
        </w:tc>
        <w:tc>
          <w:tcPr>
            <w:tcW w:w="680" w:type="dxa"/>
            <w:vAlign w:val="bottom"/>
            <w:gridSpan w:val="3"/>
          </w:tcPr>
          <w:p>
            <w:pPr>
              <w:spacing w:after="0"/>
              <w:rPr>
                <w:sz w:val="22"/>
                <w:szCs w:val="22"/>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EE"/>
                <w:w w:val="95"/>
              </w:rPr>
            </w:pPr>
            <w:hyperlink w:anchor="page24">
              <w:r>
                <w:rPr>
                  <w:rFonts w:ascii="Arial" w:cs="Arial" w:eastAsia="Arial" w:hAnsi="Arial"/>
                  <w:sz w:val="18"/>
                  <w:szCs w:val="18"/>
                  <w:color w:val="0000EE"/>
                  <w:w w:val="95"/>
                </w:rPr>
                <w:t>ITEM 1A.</w:t>
              </w:r>
            </w:hyperlink>
          </w:p>
        </w:tc>
        <w:tc>
          <w:tcPr>
            <w:tcW w:w="8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w w:val="93"/>
              </w:rPr>
            </w:pPr>
            <w:hyperlink w:anchor="page24">
              <w:r>
                <w:rPr>
                  <w:rFonts w:ascii="Arial" w:cs="Arial" w:eastAsia="Arial" w:hAnsi="Arial"/>
                  <w:sz w:val="18"/>
                  <w:szCs w:val="18"/>
                  <w:color w:val="0000EE"/>
                  <w:w w:val="93"/>
                </w:rPr>
                <w:t>RISK FACTORS</w:t>
              </w:r>
            </w:hyperlink>
          </w:p>
        </w:tc>
        <w:tc>
          <w:tcPr>
            <w:tcW w:w="7720" w:type="dxa"/>
            <w:vAlign w:val="bottom"/>
            <w:gridSpan w:val="19"/>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ITEM 1B.</w:t>
              </w:r>
            </w:hyperlink>
          </w:p>
        </w:tc>
        <w:tc>
          <w:tcPr>
            <w:tcW w:w="840" w:type="dxa"/>
            <w:vAlign w:val="bottom"/>
          </w:tcPr>
          <w:p>
            <w:pPr>
              <w:spacing w:after="0"/>
              <w:rPr>
                <w:sz w:val="21"/>
                <w:szCs w:val="21"/>
                <w:color w:val="auto"/>
              </w:rPr>
            </w:pPr>
          </w:p>
        </w:tc>
        <w:tc>
          <w:tcPr>
            <w:tcW w:w="8980" w:type="dxa"/>
            <w:vAlign w:val="bottom"/>
            <w:gridSpan w:val="2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UNRESOLVED STAFF COMMENTS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37">
              <w:r>
                <w:rPr>
                  <w:rFonts w:ascii="Arial" w:cs="Arial" w:eastAsia="Arial" w:hAnsi="Arial"/>
                  <w:sz w:val="18"/>
                  <w:szCs w:val="18"/>
                  <w:color w:val="0000EE"/>
                  <w:w w:val="95"/>
                </w:rPr>
                <w:t>ITEM 2.</w:t>
              </w:r>
            </w:hyperlink>
          </w:p>
        </w:tc>
        <w:tc>
          <w:tcPr>
            <w:tcW w:w="140" w:type="dxa"/>
            <w:vAlign w:val="bottom"/>
            <w:gridSpan w:val="4"/>
          </w:tcPr>
          <w:p>
            <w:pPr>
              <w:spacing w:after="0"/>
              <w:rPr>
                <w:sz w:val="21"/>
                <w:szCs w:val="21"/>
                <w:color w:val="auto"/>
              </w:rPr>
            </w:pPr>
          </w:p>
        </w:tc>
        <w:tc>
          <w:tcPr>
            <w:tcW w:w="840" w:type="dxa"/>
            <w:vAlign w:val="bottom"/>
          </w:tcPr>
          <w:p>
            <w:pPr>
              <w:spacing w:after="0"/>
              <w:rPr>
                <w:sz w:val="21"/>
                <w:szCs w:val="21"/>
                <w:color w:val="auto"/>
              </w:rPr>
            </w:pPr>
          </w:p>
        </w:tc>
        <w:tc>
          <w:tcPr>
            <w:tcW w:w="1060" w:type="dxa"/>
            <w:vAlign w:val="bottom"/>
            <w:gridSpan w:val="2"/>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PROPERTIES</w:t>
              </w:r>
            </w:hyperlink>
          </w:p>
        </w:tc>
        <w:tc>
          <w:tcPr>
            <w:tcW w:w="1760" w:type="dxa"/>
            <w:vAlign w:val="bottom"/>
            <w:gridSpan w:val="9"/>
          </w:tcPr>
          <w:p>
            <w:pPr>
              <w:spacing w:after="0"/>
              <w:rPr>
                <w:sz w:val="21"/>
                <w:szCs w:val="21"/>
                <w:color w:val="auto"/>
              </w:rPr>
            </w:pPr>
          </w:p>
        </w:tc>
        <w:tc>
          <w:tcPr>
            <w:tcW w:w="6160" w:type="dxa"/>
            <w:vAlign w:val="bottom"/>
            <w:gridSpan w:val="12"/>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37">
              <w:r>
                <w:rPr>
                  <w:rFonts w:ascii="Arial" w:cs="Arial" w:eastAsia="Arial" w:hAnsi="Arial"/>
                  <w:sz w:val="18"/>
                  <w:szCs w:val="18"/>
                  <w:color w:val="0000EE"/>
                  <w:w w:val="95"/>
                </w:rPr>
                <w:t>ITEM 3.</w:t>
              </w:r>
            </w:hyperlink>
          </w:p>
        </w:tc>
        <w:tc>
          <w:tcPr>
            <w:tcW w:w="980" w:type="dxa"/>
            <w:vAlign w:val="bottom"/>
            <w:gridSpan w:val="5"/>
          </w:tcPr>
          <w:p>
            <w:pPr>
              <w:spacing w:after="0"/>
              <w:rPr>
                <w:sz w:val="21"/>
                <w:szCs w:val="21"/>
                <w:color w:val="auto"/>
              </w:rPr>
            </w:pPr>
          </w:p>
        </w:tc>
        <w:tc>
          <w:tcPr>
            <w:tcW w:w="1880" w:type="dxa"/>
            <w:vAlign w:val="bottom"/>
            <w:gridSpan w:val="6"/>
          </w:tcPr>
          <w:p>
            <w:pPr>
              <w:spacing w:after="0"/>
              <w:rPr>
                <w:rFonts w:ascii="Arial" w:cs="Arial" w:eastAsia="Arial" w:hAnsi="Arial"/>
                <w:sz w:val="18"/>
                <w:szCs w:val="18"/>
                <w:color w:val="0000EE"/>
                <w:w w:val="94"/>
              </w:rPr>
            </w:pPr>
            <w:hyperlink w:anchor="page37">
              <w:r>
                <w:rPr>
                  <w:rFonts w:ascii="Arial" w:cs="Arial" w:eastAsia="Arial" w:hAnsi="Arial"/>
                  <w:sz w:val="18"/>
                  <w:szCs w:val="18"/>
                  <w:color w:val="0000EE"/>
                  <w:w w:val="94"/>
                </w:rPr>
                <w:t>LEGAL PROCEEDINGS</w:t>
              </w:r>
            </w:hyperlink>
          </w:p>
        </w:tc>
        <w:tc>
          <w:tcPr>
            <w:tcW w:w="7100" w:type="dxa"/>
            <w:vAlign w:val="bottom"/>
            <w:gridSpan w:val="17"/>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37">
              <w:r>
                <w:rPr>
                  <w:rFonts w:ascii="Arial" w:cs="Arial" w:eastAsia="Arial" w:hAnsi="Arial"/>
                  <w:sz w:val="18"/>
                  <w:szCs w:val="18"/>
                  <w:color w:val="0000EE"/>
                  <w:w w:val="95"/>
                </w:rPr>
                <w:t>ITEM 4.</w:t>
              </w:r>
            </w:hyperlink>
          </w:p>
        </w:tc>
        <w:tc>
          <w:tcPr>
            <w:tcW w:w="980" w:type="dxa"/>
            <w:vAlign w:val="bottom"/>
            <w:gridSpan w:val="5"/>
          </w:tcPr>
          <w:p>
            <w:pPr>
              <w:spacing w:after="0"/>
              <w:rPr>
                <w:sz w:val="21"/>
                <w:szCs w:val="21"/>
                <w:color w:val="auto"/>
              </w:rPr>
            </w:pPr>
          </w:p>
        </w:tc>
        <w:tc>
          <w:tcPr>
            <w:tcW w:w="8980" w:type="dxa"/>
            <w:vAlign w:val="bottom"/>
            <w:gridSpan w:val="2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bottom w:val="single" w:sz="8" w:color="0000EE"/>
            </w:tcBorders>
            <w:gridSpan w:val="3"/>
          </w:tcPr>
          <w:p>
            <w:pPr>
              <w:spacing w:after="0"/>
              <w:rPr>
                <w:rFonts w:ascii="Arial" w:cs="Arial" w:eastAsia="Arial" w:hAnsi="Arial"/>
                <w:sz w:val="18"/>
                <w:szCs w:val="18"/>
                <w:b w:val="1"/>
                <w:bCs w:val="1"/>
                <w:color w:val="0000EE"/>
                <w:w w:val="99"/>
              </w:rPr>
            </w:pPr>
            <w:hyperlink w:anchor="page38">
              <w:r>
                <w:rPr>
                  <w:rFonts w:ascii="Arial" w:cs="Arial" w:eastAsia="Arial" w:hAnsi="Arial"/>
                  <w:sz w:val="18"/>
                  <w:szCs w:val="18"/>
                  <w:b w:val="1"/>
                  <w:bCs w:val="1"/>
                  <w:color w:val="0000EE"/>
                  <w:w w:val="99"/>
                </w:rPr>
                <w:t>PART II</w:t>
              </w:r>
            </w:hyperlink>
          </w:p>
        </w:tc>
        <w:tc>
          <w:tcPr>
            <w:tcW w:w="940" w:type="dxa"/>
            <w:vAlign w:val="bottom"/>
            <w:gridSpan w:val="4"/>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ITEM 5.</w:t>
              </w:r>
            </w:hyperlink>
          </w:p>
        </w:tc>
        <w:tc>
          <w:tcPr>
            <w:tcW w:w="980" w:type="dxa"/>
            <w:vAlign w:val="bottom"/>
            <w:gridSpan w:val="5"/>
          </w:tcPr>
          <w:p>
            <w:pPr>
              <w:spacing w:after="0"/>
              <w:rPr>
                <w:sz w:val="21"/>
                <w:szCs w:val="21"/>
                <w:color w:val="auto"/>
              </w:rPr>
            </w:pPr>
          </w:p>
        </w:tc>
        <w:tc>
          <w:tcPr>
            <w:tcW w:w="8980" w:type="dxa"/>
            <w:vAlign w:val="bottom"/>
            <w:gridSpan w:val="2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MARKET FOR REGISTRANT'S COMMON EQUITY, RELATED SHAREHOLDER MATTERS AND ISSUER</w:t>
              </w:r>
            </w:hyperlink>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100" w:type="dxa"/>
            <w:vAlign w:val="bottom"/>
            <w:tcBorders>
              <w:top w:val="single" w:sz="8" w:color="0000EE"/>
            </w:tcBorders>
            <w:gridSpan w:val="12"/>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PURCHASES OF EQUITY SECURITIES</w:t>
              </w:r>
            </w:hyperlink>
          </w:p>
        </w:tc>
        <w:tc>
          <w:tcPr>
            <w:tcW w:w="5140" w:type="dxa"/>
            <w:vAlign w:val="bottom"/>
            <w:tcBorders>
              <w:top w:val="single" w:sz="8" w:color="0000EE"/>
            </w:tcBorders>
            <w:gridSpan w:val="9"/>
          </w:tcPr>
          <w:p>
            <w:pPr>
              <w:spacing w:after="0"/>
              <w:rPr>
                <w:sz w:val="17"/>
                <w:szCs w:val="17"/>
                <w:color w:val="auto"/>
              </w:rPr>
            </w:pPr>
          </w:p>
        </w:tc>
        <w:tc>
          <w:tcPr>
            <w:tcW w:w="740" w:type="dxa"/>
            <w:vAlign w:val="bottom"/>
            <w:gridSpan w:val="2"/>
          </w:tcPr>
          <w:p>
            <w:pPr>
              <w:spacing w:after="0"/>
              <w:rPr>
                <w:sz w:val="17"/>
                <w:szCs w:val="17"/>
                <w:color w:val="auto"/>
              </w:rPr>
            </w:pPr>
          </w:p>
        </w:tc>
        <w:tc>
          <w:tcPr>
            <w:tcW w:w="800" w:type="dxa"/>
            <w:vAlign w:val="bottom"/>
            <w:gridSpan w:val="5"/>
          </w:tcPr>
          <w:p>
            <w:pPr>
              <w:jc w:val="right"/>
              <w:ind w:right="20"/>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39">
              <w:r>
                <w:rPr>
                  <w:rFonts w:ascii="Arial" w:cs="Arial" w:eastAsia="Arial" w:hAnsi="Arial"/>
                  <w:sz w:val="18"/>
                  <w:szCs w:val="18"/>
                  <w:color w:val="0000EE"/>
                  <w:w w:val="95"/>
                </w:rPr>
                <w:t>ITEM 6.</w:t>
              </w:r>
            </w:hyperlink>
          </w:p>
        </w:tc>
        <w:tc>
          <w:tcPr>
            <w:tcW w:w="980" w:type="dxa"/>
            <w:vAlign w:val="bottom"/>
            <w:gridSpan w:val="5"/>
          </w:tcPr>
          <w:p>
            <w:pPr>
              <w:spacing w:after="0"/>
              <w:rPr>
                <w:sz w:val="21"/>
                <w:szCs w:val="21"/>
                <w:color w:val="auto"/>
              </w:rPr>
            </w:pPr>
          </w:p>
        </w:tc>
        <w:tc>
          <w:tcPr>
            <w:tcW w:w="3100" w:type="dxa"/>
            <w:vAlign w:val="bottom"/>
            <w:gridSpan w:val="1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SELECTED FINANCIAL DATA</w:t>
              </w:r>
            </w:hyperlink>
          </w:p>
        </w:tc>
        <w:tc>
          <w:tcPr>
            <w:tcW w:w="5880" w:type="dxa"/>
            <w:vAlign w:val="bottom"/>
            <w:gridSpan w:val="11"/>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40">
              <w:r>
                <w:rPr>
                  <w:rFonts w:ascii="Arial" w:cs="Arial" w:eastAsia="Arial" w:hAnsi="Arial"/>
                  <w:sz w:val="18"/>
                  <w:szCs w:val="18"/>
                  <w:color w:val="0000EE"/>
                  <w:w w:val="95"/>
                </w:rPr>
                <w:t>ITEM 7.</w:t>
              </w:r>
            </w:hyperlink>
          </w:p>
        </w:tc>
        <w:tc>
          <w:tcPr>
            <w:tcW w:w="980" w:type="dxa"/>
            <w:vAlign w:val="bottom"/>
            <w:gridSpan w:val="5"/>
          </w:tcPr>
          <w:p>
            <w:pPr>
              <w:spacing w:after="0"/>
              <w:rPr>
                <w:sz w:val="21"/>
                <w:szCs w:val="21"/>
                <w:color w:val="auto"/>
              </w:rPr>
            </w:pPr>
          </w:p>
        </w:tc>
        <w:tc>
          <w:tcPr>
            <w:tcW w:w="8900" w:type="dxa"/>
            <w:vAlign w:val="bottom"/>
            <w:gridSpan w:val="22"/>
          </w:tcPr>
          <w:p>
            <w:pPr>
              <w:spacing w:after="0"/>
              <w:rPr>
                <w:rFonts w:ascii="Arial" w:cs="Arial" w:eastAsia="Arial" w:hAnsi="Arial"/>
                <w:sz w:val="18"/>
                <w:szCs w:val="18"/>
                <w:color w:val="0000EE"/>
                <w:w w:val="96"/>
              </w:rPr>
            </w:pPr>
            <w:hyperlink w:anchor="page40">
              <w:r>
                <w:rPr>
                  <w:rFonts w:ascii="Arial" w:cs="Arial" w:eastAsia="Arial" w:hAnsi="Arial"/>
                  <w:sz w:val="18"/>
                  <w:szCs w:val="18"/>
                  <w:color w:val="0000EE"/>
                  <w:w w:val="96"/>
                </w:rPr>
                <w:t>MANAGEMENT'S DISCUSSION AND ANALYSIS OF FINANCIAL CONDITION AND RESULTS OF OPERATIONS</w:t>
              </w:r>
            </w:hyperlink>
          </w:p>
        </w:tc>
        <w:tc>
          <w:tcPr>
            <w:tcW w:w="80" w:type="dxa"/>
            <w:vAlign w:val="bottom"/>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EE"/>
                <w:w w:val="95"/>
              </w:rPr>
            </w:pPr>
            <w:hyperlink w:anchor="page63">
              <w:r>
                <w:rPr>
                  <w:rFonts w:ascii="Arial" w:cs="Arial" w:eastAsia="Arial" w:hAnsi="Arial"/>
                  <w:sz w:val="18"/>
                  <w:szCs w:val="18"/>
                  <w:color w:val="0000EE"/>
                  <w:w w:val="95"/>
                </w:rPr>
                <w:t>ITEM 7A.</w:t>
              </w:r>
            </w:hyperlink>
          </w:p>
        </w:tc>
        <w:tc>
          <w:tcPr>
            <w:tcW w:w="840" w:type="dxa"/>
            <w:vAlign w:val="bottom"/>
          </w:tcPr>
          <w:p>
            <w:pPr>
              <w:spacing w:after="0"/>
              <w:rPr>
                <w:sz w:val="21"/>
                <w:szCs w:val="21"/>
                <w:color w:val="auto"/>
              </w:rPr>
            </w:pPr>
          </w:p>
        </w:tc>
        <w:tc>
          <w:tcPr>
            <w:tcW w:w="8980" w:type="dxa"/>
            <w:vAlign w:val="bottom"/>
            <w:gridSpan w:val="23"/>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QUANTITATIVE AND QUALITATIVE DISCLOSURES ABOUT MARKET RISK</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62</w:t>
              </w:r>
            </w:hyperlink>
          </w:p>
        </w:tc>
        <w:tc>
          <w:tcPr>
            <w:tcW w:w="0" w:type="dxa"/>
            <w:vAlign w:val="bottom"/>
          </w:tcPr>
          <w:p>
            <w:pPr>
              <w:spacing w:after="0"/>
              <w:rPr>
                <w:sz w:val="1"/>
                <w:szCs w:val="1"/>
                <w:color w:val="auto"/>
              </w:rPr>
            </w:pPr>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64">
              <w:r>
                <w:rPr>
                  <w:rFonts w:ascii="Arial" w:cs="Arial" w:eastAsia="Arial" w:hAnsi="Arial"/>
                  <w:sz w:val="18"/>
                  <w:szCs w:val="18"/>
                  <w:color w:val="0000EE"/>
                  <w:w w:val="95"/>
                </w:rPr>
                <w:t>ITEM 8.</w:t>
              </w:r>
            </w:hyperlink>
          </w:p>
        </w:tc>
        <w:tc>
          <w:tcPr>
            <w:tcW w:w="140" w:type="dxa"/>
            <w:vAlign w:val="bottom"/>
            <w:gridSpan w:val="4"/>
          </w:tcPr>
          <w:p>
            <w:pPr>
              <w:spacing w:after="0"/>
              <w:rPr>
                <w:sz w:val="21"/>
                <w:szCs w:val="21"/>
                <w:color w:val="auto"/>
              </w:rPr>
            </w:pPr>
          </w:p>
        </w:tc>
        <w:tc>
          <w:tcPr>
            <w:tcW w:w="840" w:type="dxa"/>
            <w:vAlign w:val="bottom"/>
          </w:tcPr>
          <w:p>
            <w:pPr>
              <w:spacing w:after="0"/>
              <w:rPr>
                <w:sz w:val="21"/>
                <w:szCs w:val="21"/>
                <w:color w:val="auto"/>
              </w:rPr>
            </w:pPr>
          </w:p>
        </w:tc>
        <w:tc>
          <w:tcPr>
            <w:tcW w:w="4660" w:type="dxa"/>
            <w:vAlign w:val="bottom"/>
            <w:gridSpan w:val="15"/>
          </w:tcPr>
          <w:p>
            <w:pPr>
              <w:spacing w:after="0"/>
              <w:rPr>
                <w:rFonts w:ascii="Arial" w:cs="Arial" w:eastAsia="Arial" w:hAnsi="Arial"/>
                <w:sz w:val="18"/>
                <w:szCs w:val="18"/>
                <w:color w:val="0000EE"/>
                <w:w w:val="96"/>
              </w:rPr>
            </w:pPr>
            <w:hyperlink w:anchor="page64">
              <w:r>
                <w:rPr>
                  <w:rFonts w:ascii="Arial" w:cs="Arial" w:eastAsia="Arial" w:hAnsi="Arial"/>
                  <w:sz w:val="18"/>
                  <w:szCs w:val="18"/>
                  <w:color w:val="0000EE"/>
                  <w:w w:val="96"/>
                </w:rPr>
                <w:t>FINANCIAL STATEMENTS AND SUPPLEMENTARY DATA</w:t>
              </w:r>
            </w:hyperlink>
          </w:p>
        </w:tc>
        <w:tc>
          <w:tcPr>
            <w:tcW w:w="1480" w:type="dxa"/>
            <w:vAlign w:val="bottom"/>
            <w:gridSpan w:val="2"/>
          </w:tcPr>
          <w:p>
            <w:pPr>
              <w:spacing w:after="0"/>
              <w:rPr>
                <w:sz w:val="21"/>
                <w:szCs w:val="21"/>
                <w:color w:val="auto"/>
              </w:rPr>
            </w:pPr>
          </w:p>
        </w:tc>
        <w:tc>
          <w:tcPr>
            <w:tcW w:w="2840" w:type="dxa"/>
            <w:vAlign w:val="bottom"/>
            <w:gridSpan w:val="6"/>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63</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119">
              <w:r>
                <w:rPr>
                  <w:rFonts w:ascii="Arial" w:cs="Arial" w:eastAsia="Arial" w:hAnsi="Arial"/>
                  <w:sz w:val="18"/>
                  <w:szCs w:val="18"/>
                  <w:color w:val="0000EE"/>
                  <w:w w:val="95"/>
                </w:rPr>
                <w:t>ITEM 9.</w:t>
              </w:r>
            </w:hyperlink>
          </w:p>
        </w:tc>
        <w:tc>
          <w:tcPr>
            <w:tcW w:w="980" w:type="dxa"/>
            <w:vAlign w:val="bottom"/>
            <w:gridSpan w:val="5"/>
          </w:tcPr>
          <w:p>
            <w:pPr>
              <w:spacing w:after="0"/>
              <w:rPr>
                <w:sz w:val="21"/>
                <w:szCs w:val="21"/>
                <w:color w:val="auto"/>
              </w:rPr>
            </w:pPr>
          </w:p>
        </w:tc>
        <w:tc>
          <w:tcPr>
            <w:tcW w:w="8980" w:type="dxa"/>
            <w:vAlign w:val="bottom"/>
            <w:gridSpan w:val="23"/>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CHANGES IN AND DISAGREEMENTS WITH ACCOUNTANTS ON ACCOUNTING AND FINANCIAL</w:t>
              </w:r>
            </w:hyperlink>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119">
              <w:r>
                <w:rPr>
                  <w:rFonts w:ascii="Arial" w:cs="Arial" w:eastAsia="Arial" w:hAnsi="Arial"/>
                  <w:sz w:val="18"/>
                  <w:szCs w:val="18"/>
                  <w:color w:val="0000EE"/>
                  <w:w w:val="93"/>
                </w:rPr>
                <w:t>DISCLOSURE</w:t>
              </w:r>
            </w:hyperlink>
          </w:p>
        </w:tc>
        <w:tc>
          <w:tcPr>
            <w:tcW w:w="6820" w:type="dxa"/>
            <w:vAlign w:val="bottom"/>
            <w:tcBorders>
              <w:top w:val="single" w:sz="8" w:color="0000EE"/>
            </w:tcBorders>
            <w:gridSpan w:val="16"/>
          </w:tcPr>
          <w:p>
            <w:pPr>
              <w:spacing w:after="0"/>
              <w:rPr>
                <w:sz w:val="17"/>
                <w:szCs w:val="17"/>
                <w:color w:val="auto"/>
              </w:rPr>
            </w:pPr>
          </w:p>
        </w:tc>
        <w:tc>
          <w:tcPr>
            <w:tcW w:w="104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6"/>
              </w:rPr>
            </w:pPr>
            <w:hyperlink w:anchor="page119">
              <w:r>
                <w:rPr>
                  <w:rFonts w:ascii="Arial" w:cs="Arial" w:eastAsia="Arial" w:hAnsi="Arial"/>
                  <w:sz w:val="18"/>
                  <w:szCs w:val="18"/>
                  <w:color w:val="0000EE"/>
                  <w:w w:val="86"/>
                </w:rPr>
                <w:t>118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EE"/>
                <w:w w:val="95"/>
              </w:rPr>
            </w:pPr>
            <w:hyperlink w:anchor="page119">
              <w:r>
                <w:rPr>
                  <w:rFonts w:ascii="Arial" w:cs="Arial" w:eastAsia="Arial" w:hAnsi="Arial"/>
                  <w:sz w:val="18"/>
                  <w:szCs w:val="18"/>
                  <w:color w:val="0000EE"/>
                  <w:w w:val="95"/>
                </w:rPr>
                <w:t>ITEM 9A.</w:t>
              </w:r>
            </w:hyperlink>
          </w:p>
        </w:tc>
        <w:tc>
          <w:tcPr>
            <w:tcW w:w="840" w:type="dxa"/>
            <w:vAlign w:val="bottom"/>
          </w:tcPr>
          <w:p>
            <w:pPr>
              <w:spacing w:after="0"/>
              <w:rPr>
                <w:sz w:val="21"/>
                <w:szCs w:val="21"/>
                <w:color w:val="auto"/>
              </w:rPr>
            </w:pPr>
          </w:p>
        </w:tc>
        <w:tc>
          <w:tcPr>
            <w:tcW w:w="8980" w:type="dxa"/>
            <w:vAlign w:val="bottom"/>
            <w:gridSpan w:val="23"/>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CONTROLS AND PROCEDURES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119">
              <w:r>
                <w:rPr>
                  <w:rFonts w:ascii="Arial" w:cs="Arial" w:eastAsia="Arial" w:hAnsi="Arial"/>
                  <w:sz w:val="18"/>
                  <w:szCs w:val="18"/>
                  <w:color w:val="0000EE"/>
                </w:rPr>
                <w:t>118</w:t>
              </w:r>
            </w:hyperlink>
          </w:p>
        </w:tc>
        <w:tc>
          <w:tcPr>
            <w:tcW w:w="0" w:type="dxa"/>
            <w:vAlign w:val="bottom"/>
          </w:tcPr>
          <w:p>
            <w:pPr>
              <w:spacing w:after="0"/>
              <w:rPr>
                <w:sz w:val="1"/>
                <w:szCs w:val="1"/>
                <w:color w:val="auto"/>
              </w:rPr>
            </w:pPr>
          </w:p>
        </w:tc>
      </w:tr>
      <w:tr>
        <w:trPr>
          <w:trHeight w:val="250"/>
        </w:trPr>
        <w:tc>
          <w:tcPr>
            <w:tcW w:w="760" w:type="dxa"/>
            <w:vAlign w:val="bottom"/>
            <w:tcBorders>
              <w:top w:val="single" w:sz="8" w:color="0000EE"/>
            </w:tcBorders>
            <w:gridSpan w:val="6"/>
          </w:tcPr>
          <w:p>
            <w:pPr>
              <w:spacing w:after="0"/>
              <w:rPr>
                <w:rFonts w:ascii="Arial" w:cs="Arial" w:eastAsia="Arial" w:hAnsi="Arial"/>
                <w:sz w:val="18"/>
                <w:szCs w:val="18"/>
                <w:color w:val="0000EE"/>
                <w:w w:val="95"/>
              </w:rPr>
            </w:pPr>
            <w:hyperlink w:anchor="page121">
              <w:r>
                <w:rPr>
                  <w:rFonts w:ascii="Arial" w:cs="Arial" w:eastAsia="Arial" w:hAnsi="Arial"/>
                  <w:sz w:val="18"/>
                  <w:szCs w:val="18"/>
                  <w:color w:val="0000EE"/>
                  <w:w w:val="95"/>
                </w:rPr>
                <w:t>ITEM 9B.</w:t>
              </w:r>
            </w:hyperlink>
          </w:p>
        </w:tc>
        <w:tc>
          <w:tcPr>
            <w:tcW w:w="840" w:type="dxa"/>
            <w:vAlign w:val="bottom"/>
          </w:tcPr>
          <w:p>
            <w:pPr>
              <w:spacing w:after="0"/>
              <w:rPr>
                <w:sz w:val="21"/>
                <w:szCs w:val="21"/>
                <w:color w:val="auto"/>
              </w:rPr>
            </w:pPr>
          </w:p>
        </w:tc>
        <w:tc>
          <w:tcPr>
            <w:tcW w:w="2600" w:type="dxa"/>
            <w:vAlign w:val="bottom"/>
            <w:tcBorders>
              <w:top w:val="single" w:sz="8" w:color="0000EE"/>
            </w:tcBorders>
            <w:gridSpan w:val="10"/>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OTHER INFORMATION</w:t>
              </w:r>
            </w:hyperlink>
          </w:p>
        </w:tc>
        <w:tc>
          <w:tcPr>
            <w:tcW w:w="6380" w:type="dxa"/>
            <w:vAlign w:val="bottom"/>
            <w:gridSpan w:val="13"/>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21">
              <w:r>
                <w:rPr>
                  <w:rFonts w:ascii="Arial" w:cs="Arial" w:eastAsia="Arial" w:hAnsi="Arial"/>
                  <w:sz w:val="18"/>
                  <w:szCs w:val="18"/>
                  <w:color w:val="0000EE"/>
                  <w:w w:val="86"/>
                </w:rPr>
                <w:t>120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rPr>
            </w:pPr>
            <w:hyperlink w:anchor="page122">
              <w:r>
                <w:rPr>
                  <w:rFonts w:ascii="Arial" w:cs="Arial" w:eastAsia="Arial" w:hAnsi="Arial"/>
                  <w:sz w:val="18"/>
                  <w:szCs w:val="18"/>
                  <w:b w:val="1"/>
                  <w:bCs w:val="1"/>
                  <w:color w:val="0000EE"/>
                </w:rPr>
                <w:t>PART III</w:t>
              </w:r>
            </w:hyperlink>
          </w:p>
        </w:tc>
        <w:tc>
          <w:tcPr>
            <w:tcW w:w="840" w:type="dxa"/>
            <w:vAlign w:val="bottom"/>
          </w:tcPr>
          <w:p>
            <w:pPr>
              <w:spacing w:after="0"/>
              <w:rPr>
                <w:sz w:val="21"/>
                <w:szCs w:val="21"/>
                <w:color w:val="auto"/>
              </w:rPr>
            </w:pPr>
          </w:p>
        </w:tc>
        <w:tc>
          <w:tcPr>
            <w:tcW w:w="86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56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0" w:type="dxa"/>
            <w:vAlign w:val="bottom"/>
            <w:gridSpan w:val="7"/>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ITEM 10.</w:t>
              </w:r>
            </w:hyperlink>
          </w:p>
        </w:tc>
        <w:tc>
          <w:tcPr>
            <w:tcW w:w="8980" w:type="dxa"/>
            <w:vAlign w:val="bottom"/>
            <w:gridSpan w:val="23"/>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DIRECTORS, EXECUTIVE OFFICERS AND CORPORATE GOVERNANCE</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122">
              <w:r>
                <w:rPr>
                  <w:rFonts w:ascii="Arial" w:cs="Arial" w:eastAsia="Arial" w:hAnsi="Arial"/>
                  <w:sz w:val="18"/>
                  <w:szCs w:val="18"/>
                  <w:color w:val="0000EE"/>
                </w:rPr>
                <w:t>121</w:t>
              </w:r>
            </w:hyperlink>
          </w:p>
        </w:tc>
        <w:tc>
          <w:tcPr>
            <w:tcW w:w="0" w:type="dxa"/>
            <w:vAlign w:val="bottom"/>
          </w:tcPr>
          <w:p>
            <w:pPr>
              <w:spacing w:after="0"/>
              <w:rPr>
                <w:sz w:val="1"/>
                <w:szCs w:val="1"/>
                <w:color w:val="auto"/>
              </w:rPr>
            </w:pPr>
          </w:p>
        </w:tc>
      </w:tr>
      <w:tr>
        <w:trPr>
          <w:trHeight w:val="250"/>
        </w:trPr>
        <w:tc>
          <w:tcPr>
            <w:tcW w:w="700" w:type="dxa"/>
            <w:vAlign w:val="bottom"/>
            <w:tcBorders>
              <w:top w:val="single" w:sz="8" w:color="0000EE"/>
            </w:tcBorders>
            <w:gridSpan w:val="4"/>
          </w:tcPr>
          <w:p>
            <w:pPr>
              <w:spacing w:after="0"/>
              <w:rPr>
                <w:rFonts w:ascii="Arial" w:cs="Arial" w:eastAsia="Arial" w:hAnsi="Arial"/>
                <w:sz w:val="18"/>
                <w:szCs w:val="18"/>
                <w:color w:val="0000EE"/>
                <w:w w:val="93"/>
              </w:rPr>
            </w:pPr>
            <w:hyperlink w:anchor="page122">
              <w:r>
                <w:rPr>
                  <w:rFonts w:ascii="Arial" w:cs="Arial" w:eastAsia="Arial" w:hAnsi="Arial"/>
                  <w:sz w:val="18"/>
                  <w:szCs w:val="18"/>
                  <w:color w:val="0000EE"/>
                  <w:w w:val="93"/>
                </w:rPr>
                <w:t>ITEM 11.</w:t>
              </w:r>
            </w:hyperlink>
          </w:p>
        </w:tc>
        <w:tc>
          <w:tcPr>
            <w:tcW w:w="900" w:type="dxa"/>
            <w:vAlign w:val="bottom"/>
            <w:gridSpan w:val="3"/>
          </w:tcPr>
          <w:p>
            <w:pPr>
              <w:spacing w:after="0"/>
              <w:rPr>
                <w:sz w:val="21"/>
                <w:szCs w:val="21"/>
                <w:color w:val="auto"/>
              </w:rPr>
            </w:pPr>
          </w:p>
        </w:tc>
        <w:tc>
          <w:tcPr>
            <w:tcW w:w="5800" w:type="dxa"/>
            <w:vAlign w:val="bottom"/>
            <w:tcBorders>
              <w:top w:val="single" w:sz="8" w:color="0000EE"/>
            </w:tcBorders>
            <w:gridSpan w:val="16"/>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EXECUTIVE COMPENSATION</w:t>
              </w:r>
            </w:hyperlink>
          </w:p>
        </w:tc>
        <w:tc>
          <w:tcPr>
            <w:tcW w:w="3180" w:type="dxa"/>
            <w:vAlign w:val="bottom"/>
            <w:gridSpan w:val="7"/>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22">
              <w:r>
                <w:rPr>
                  <w:rFonts w:ascii="Arial" w:cs="Arial" w:eastAsia="Arial" w:hAnsi="Arial"/>
                  <w:sz w:val="18"/>
                  <w:szCs w:val="18"/>
                  <w:color w:val="0000EE"/>
                  <w:w w:val="86"/>
                </w:rPr>
                <w:t>121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2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7"/>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ITEM 12.</w:t>
              </w:r>
            </w:hyperlink>
          </w:p>
        </w:tc>
        <w:tc>
          <w:tcPr>
            <w:tcW w:w="8980" w:type="dxa"/>
            <w:vAlign w:val="bottom"/>
            <w:gridSpan w:val="23"/>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SECURITY OWNERSHIP OF CERTAIN BENEFICIAL OWNERS AND MANAGEMENT AND RELATED</w:t>
              </w:r>
            </w:hyperlink>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STOCKHOLDERS MATTERS</w:t>
              </w:r>
            </w:hyperlink>
          </w:p>
        </w:tc>
        <w:tc>
          <w:tcPr>
            <w:tcW w:w="960" w:type="dxa"/>
            <w:vAlign w:val="bottom"/>
            <w:gridSpan w:val="3"/>
          </w:tcPr>
          <w:p>
            <w:pPr>
              <w:spacing w:after="0"/>
              <w:rPr>
                <w:sz w:val="17"/>
                <w:szCs w:val="17"/>
                <w:color w:val="auto"/>
              </w:rPr>
            </w:pPr>
          </w:p>
        </w:tc>
        <w:tc>
          <w:tcPr>
            <w:tcW w:w="800" w:type="dxa"/>
            <w:vAlign w:val="bottom"/>
            <w:gridSpan w:val="5"/>
          </w:tcPr>
          <w:p>
            <w:pPr>
              <w:jc w:val="right"/>
              <w:ind w:right="20"/>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121</w:t>
              </w:r>
            </w:hyperlink>
          </w:p>
        </w:tc>
        <w:tc>
          <w:tcPr>
            <w:tcW w:w="0" w:type="dxa"/>
            <w:vAlign w:val="bottom"/>
          </w:tcPr>
          <w:p>
            <w:pPr>
              <w:spacing w:after="0"/>
              <w:rPr>
                <w:sz w:val="1"/>
                <w:szCs w:val="1"/>
                <w:color w:val="auto"/>
              </w:rPr>
            </w:pPr>
          </w:p>
        </w:tc>
      </w:tr>
      <w:tr>
        <w:trPr>
          <w:trHeight w:val="20"/>
        </w:trPr>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7"/>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ITEM 13.</w:t>
              </w:r>
            </w:hyperlink>
          </w:p>
        </w:tc>
        <w:tc>
          <w:tcPr>
            <w:tcW w:w="8980" w:type="dxa"/>
            <w:vAlign w:val="bottom"/>
            <w:gridSpan w:val="23"/>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CERTAIN RELATIONSHIPS AND RELATED TRANSACTIONS AND DIRECTOR INDEPENDENCE</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122">
              <w:r>
                <w:rPr>
                  <w:rFonts w:ascii="Arial" w:cs="Arial" w:eastAsia="Arial" w:hAnsi="Arial"/>
                  <w:sz w:val="18"/>
                  <w:szCs w:val="18"/>
                  <w:color w:val="0000EE"/>
                </w:rPr>
                <w:t>121</w:t>
              </w:r>
            </w:hyperlink>
          </w:p>
        </w:tc>
        <w:tc>
          <w:tcPr>
            <w:tcW w:w="0" w:type="dxa"/>
            <w:vAlign w:val="bottom"/>
          </w:tcPr>
          <w:p>
            <w:pPr>
              <w:spacing w:after="0"/>
              <w:rPr>
                <w:sz w:val="1"/>
                <w:szCs w:val="1"/>
                <w:color w:val="auto"/>
              </w:rPr>
            </w:pPr>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4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20" w:type="dxa"/>
            <w:vAlign w:val="bottom"/>
            <w:gridSpan w:val="4"/>
            <w:shd w:val="clear" w:color="auto" w:fill="0000EE"/>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7"/>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ITEM 14.</w:t>
              </w:r>
            </w:hyperlink>
          </w:p>
        </w:tc>
        <w:tc>
          <w:tcPr>
            <w:tcW w:w="8980" w:type="dxa"/>
            <w:vAlign w:val="bottom"/>
            <w:gridSpan w:val="23"/>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PRINCIPAL ACCOUNTING FEES AND SERVICES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122">
              <w:r>
                <w:rPr>
                  <w:rFonts w:ascii="Arial" w:cs="Arial" w:eastAsia="Arial" w:hAnsi="Arial"/>
                  <w:sz w:val="18"/>
                  <w:szCs w:val="18"/>
                  <w:color w:val="0000EE"/>
                </w:rPr>
                <w:t>121</w:t>
              </w:r>
            </w:hyperlink>
          </w:p>
        </w:tc>
        <w:tc>
          <w:tcPr>
            <w:tcW w:w="0" w:type="dxa"/>
            <w:vAlign w:val="bottom"/>
          </w:tcPr>
          <w:p>
            <w:pPr>
              <w:spacing w:after="0"/>
              <w:rPr>
                <w:sz w:val="1"/>
                <w:szCs w:val="1"/>
                <w:color w:val="auto"/>
              </w:rPr>
            </w:pPr>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123">
              <w:r>
                <w:rPr>
                  <w:rFonts w:ascii="Arial" w:cs="Arial" w:eastAsia="Arial" w:hAnsi="Arial"/>
                  <w:sz w:val="18"/>
                  <w:szCs w:val="18"/>
                  <w:b w:val="1"/>
                  <w:bCs w:val="1"/>
                  <w:color w:val="0000EE"/>
                  <w:w w:val="98"/>
                </w:rPr>
                <w:t>PART IV</w:t>
              </w:r>
            </w:hyperlink>
          </w:p>
        </w:tc>
        <w:tc>
          <w:tcPr>
            <w:tcW w:w="880" w:type="dxa"/>
            <w:vAlign w:val="bottom"/>
            <w:gridSpan w:val="2"/>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0" w:type="dxa"/>
            <w:vAlign w:val="bottom"/>
            <w:gridSpan w:val="7"/>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ITEM 15.</w:t>
              </w:r>
            </w:hyperlink>
          </w:p>
        </w:tc>
        <w:tc>
          <w:tcPr>
            <w:tcW w:w="8980" w:type="dxa"/>
            <w:vAlign w:val="bottom"/>
            <w:gridSpan w:val="23"/>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EXHIBITS, FINANCIAL STATEMENT SCHEDULES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123">
              <w:r>
                <w:rPr>
                  <w:rFonts w:ascii="Arial" w:cs="Arial" w:eastAsia="Arial" w:hAnsi="Arial"/>
                  <w:sz w:val="18"/>
                  <w:szCs w:val="18"/>
                  <w:color w:val="0000EE"/>
                </w:rPr>
                <w:t>122</w:t>
              </w:r>
            </w:hyperlink>
          </w:p>
        </w:tc>
        <w:tc>
          <w:tcPr>
            <w:tcW w:w="0" w:type="dxa"/>
            <w:vAlign w:val="bottom"/>
          </w:tcPr>
          <w:p>
            <w:pPr>
              <w:spacing w:after="0"/>
              <w:rPr>
                <w:sz w:val="1"/>
                <w:szCs w:val="1"/>
                <w:color w:val="auto"/>
              </w:rPr>
            </w:pPr>
          </w:p>
        </w:tc>
      </w:tr>
      <w:tr>
        <w:trPr>
          <w:trHeight w:val="20"/>
        </w:trPr>
        <w:tc>
          <w:tcPr>
            <w:tcW w:w="700" w:type="dxa"/>
            <w:vAlign w:val="bottom"/>
            <w:gridSpan w:val="4"/>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7"/>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ITEM 16.</w:t>
              </w:r>
            </w:hyperlink>
          </w:p>
        </w:tc>
        <w:tc>
          <w:tcPr>
            <w:tcW w:w="1900" w:type="dxa"/>
            <w:vAlign w:val="bottom"/>
            <w:gridSpan w:val="7"/>
            <w:vMerge w:val="restart"/>
          </w:tcPr>
          <w:p>
            <w:pPr>
              <w:spacing w:after="0"/>
              <w:rPr>
                <w:rFonts w:ascii="Arial" w:cs="Arial" w:eastAsia="Arial" w:hAnsi="Arial"/>
                <w:sz w:val="18"/>
                <w:szCs w:val="18"/>
                <w:color w:val="0000EE"/>
                <w:w w:val="97"/>
              </w:rPr>
            </w:pPr>
            <w:hyperlink w:anchor="page123">
              <w:r>
                <w:rPr>
                  <w:rFonts w:ascii="Arial" w:cs="Arial" w:eastAsia="Arial" w:hAnsi="Arial"/>
                  <w:sz w:val="18"/>
                  <w:szCs w:val="18"/>
                  <w:color w:val="0000EE"/>
                  <w:w w:val="97"/>
                </w:rPr>
                <w:t>FORM 10-K SUMMARY</w:t>
              </w:r>
            </w:hyperlink>
          </w:p>
        </w:tc>
        <w:tc>
          <w:tcPr>
            <w:tcW w:w="7080" w:type="dxa"/>
            <w:vAlign w:val="bottom"/>
            <w:gridSpan w:val="16"/>
            <w:vMerge w:val="restart"/>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5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00" w:type="dxa"/>
            <w:vAlign w:val="bottom"/>
            <w:tcBorders>
              <w:bottom w:val="single" w:sz="8" w:color="0000EE"/>
            </w:tcBorders>
            <w:gridSpan w:val="7"/>
            <w:vMerge w:val="continue"/>
          </w:tcPr>
          <w:p>
            <w:pPr>
              <w:spacing w:after="0"/>
              <w:rPr>
                <w:sz w:val="10"/>
                <w:szCs w:val="10"/>
                <w:color w:val="auto"/>
              </w:rPr>
            </w:pPr>
          </w:p>
        </w:tc>
        <w:tc>
          <w:tcPr>
            <w:tcW w:w="7080" w:type="dxa"/>
            <w:vAlign w:val="bottom"/>
            <w:gridSpan w:val="16"/>
            <w:vMerge w:val="continue"/>
          </w:tcPr>
          <w:p>
            <w:pPr>
              <w:spacing w:after="0"/>
              <w:rPr>
                <w:sz w:val="10"/>
                <w:szCs w:val="10"/>
                <w:color w:val="auto"/>
              </w:rPr>
            </w:pPr>
          </w:p>
        </w:tc>
        <w:tc>
          <w:tcPr>
            <w:tcW w:w="500" w:type="dxa"/>
            <w:vAlign w:val="bottom"/>
            <w:vMerge w:val="restart"/>
          </w:tcPr>
          <w:p>
            <w:pPr>
              <w:spacing w:after="0"/>
              <w:rPr>
                <w:sz w:val="10"/>
                <w:szCs w:val="10"/>
                <w:color w:val="auto"/>
              </w:rPr>
            </w:pPr>
          </w:p>
        </w:tc>
        <w:tc>
          <w:tcPr>
            <w:tcW w:w="280" w:type="dxa"/>
            <w:vAlign w:val="bottom"/>
            <w:gridSpan w:val="3"/>
            <w:vMerge w:val="restart"/>
          </w:tcPr>
          <w:p>
            <w:pPr>
              <w:jc w:val="right"/>
              <w:spacing w:after="0"/>
              <w:rPr>
                <w:rFonts w:ascii="Arial" w:cs="Arial" w:eastAsia="Arial" w:hAnsi="Arial"/>
                <w:sz w:val="18"/>
                <w:szCs w:val="18"/>
                <w:color w:val="0000EE"/>
                <w:w w:val="86"/>
              </w:rPr>
            </w:pPr>
            <w:hyperlink w:anchor="page123">
              <w:r>
                <w:rPr>
                  <w:rFonts w:ascii="Arial" w:cs="Arial" w:eastAsia="Arial" w:hAnsi="Arial"/>
                  <w:sz w:val="18"/>
                  <w:szCs w:val="18"/>
                  <w:color w:val="0000EE"/>
                  <w:w w:val="86"/>
                </w:rPr>
                <w:t>122</w:t>
              </w:r>
            </w:hyperlink>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980" w:type="dxa"/>
            <w:vAlign w:val="bottom"/>
            <w:gridSpan w:val="23"/>
            <w:vMerge w:val="restart"/>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EXHIBIT INDEX</w:t>
              </w:r>
            </w:hyperlink>
          </w:p>
        </w:tc>
        <w:tc>
          <w:tcPr>
            <w:tcW w:w="500" w:type="dxa"/>
            <w:vAlign w:val="bottom"/>
            <w:vMerge w:val="continue"/>
          </w:tcPr>
          <w:p>
            <w:pPr>
              <w:spacing w:after="0"/>
              <w:rPr>
                <w:sz w:val="10"/>
                <w:szCs w:val="10"/>
                <w:color w:val="auto"/>
              </w:rPr>
            </w:pPr>
          </w:p>
        </w:tc>
        <w:tc>
          <w:tcPr>
            <w:tcW w:w="280" w:type="dxa"/>
            <w:vAlign w:val="bottom"/>
            <w:tcBorders>
              <w:bottom w:val="single" w:sz="8" w:color="0000EE"/>
            </w:tcBorders>
            <w:gridSpan w:val="3"/>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980" w:type="dxa"/>
            <w:vAlign w:val="bottom"/>
            <w:gridSpan w:val="23"/>
            <w:vMerge w:val="continue"/>
          </w:tcPr>
          <w:p>
            <w:pPr>
              <w:spacing w:after="0"/>
              <w:rPr>
                <w:sz w:val="24"/>
                <w:szCs w:val="24"/>
                <w:color w:val="auto"/>
              </w:rPr>
            </w:pPr>
          </w:p>
        </w:tc>
        <w:tc>
          <w:tcPr>
            <w:tcW w:w="500" w:type="dxa"/>
            <w:vAlign w:val="bottom"/>
            <w:vMerge w:val="restart"/>
          </w:tcPr>
          <w:p>
            <w:pPr>
              <w:spacing w:after="0"/>
              <w:rPr>
                <w:sz w:val="24"/>
                <w:szCs w:val="24"/>
                <w:color w:val="auto"/>
              </w:rPr>
            </w:pPr>
          </w:p>
        </w:tc>
        <w:tc>
          <w:tcPr>
            <w:tcW w:w="280" w:type="dxa"/>
            <w:vAlign w:val="bottom"/>
            <w:gridSpan w:val="3"/>
            <w:vMerge w:val="restart"/>
          </w:tcPr>
          <w:p>
            <w:pPr>
              <w:jc w:val="right"/>
              <w:spacing w:after="0"/>
              <w:rPr>
                <w:rFonts w:ascii="Arial" w:cs="Arial" w:eastAsia="Arial" w:hAnsi="Arial"/>
                <w:sz w:val="18"/>
                <w:szCs w:val="18"/>
                <w:color w:val="0000EE"/>
                <w:w w:val="86"/>
              </w:rPr>
            </w:pPr>
            <w:hyperlink w:anchor="page124">
              <w:r>
                <w:rPr>
                  <w:rFonts w:ascii="Arial" w:cs="Arial" w:eastAsia="Arial" w:hAnsi="Arial"/>
                  <w:sz w:val="18"/>
                  <w:szCs w:val="18"/>
                  <w:color w:val="0000EE"/>
                  <w:w w:val="86"/>
                </w:rPr>
                <w:t>123</w:t>
              </w:r>
            </w:hyperlink>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280" w:type="dxa"/>
            <w:vAlign w:val="bottom"/>
            <w:tcBorders>
              <w:bottom w:val="single" w:sz="8" w:color="0000EE"/>
            </w:tcBorders>
            <w:gridSpan w:val="3"/>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980" w:type="dxa"/>
            <w:vAlign w:val="bottom"/>
            <w:gridSpan w:val="23"/>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SIGNATURES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129">
              <w:r>
                <w:rPr>
                  <w:rFonts w:ascii="Arial" w:cs="Arial" w:eastAsia="Arial" w:hAnsi="Arial"/>
                  <w:sz w:val="18"/>
                  <w:szCs w:val="18"/>
                  <w:color w:val="0000EE"/>
                </w:rPr>
                <w:t>128</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0"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80" w:firstLine="45"/>
        <w:spacing w:after="0" w:line="271" w:lineRule="auto"/>
        <w:rPr>
          <w:sz w:val="20"/>
          <w:szCs w:val="20"/>
          <w:color w:val="auto"/>
        </w:rPr>
      </w:pPr>
      <w:r>
        <w:rPr>
          <w:rFonts w:ascii="Arial" w:cs="Arial" w:eastAsia="Arial" w:hAnsi="Arial"/>
          <w:sz w:val="17"/>
          <w:szCs w:val="17"/>
          <w:i w:val="1"/>
          <w:iCs w:val="1"/>
          <w:color w:val="auto"/>
        </w:rPr>
        <w:t xml:space="preserve">This Annual Report on Form 10-K includes information regarding Penn National Gaming, Inc., a Pennsylvania corporation, and its subsidiaries (collectively "Penn"), Eldorado Resorts, Inc., a Nevada corporation, and its subsidiaries (collectively "Eldorado") and Boyd Gaming Corporation, a Nevada corporation, and its subsidiaries (collectively "Boyd"). Penn, Eldorado and Boyd are subject to the reporting requirements of the U.S. Securities and Exchange Commission ("SEC") and are required to file with the SEC annual reports containing audited financial information and quarterly reports containing unaudited financial information. The information related to Penn, Eldorado and Boyd provided in this Annual Report on Form 10-K has been derived from Penn's, Eldorado's and Boyd's respective public filings. We have not independently verified this information. We have no reason to believe that this information derived from such public filings is inaccurate in any material respect that has not been disclosed publicly. We are providing this data for information purposes only. Penn's, Eldorado's and Boyd's filings with the SEC can be found at </w:t>
      </w:r>
      <w:r>
        <w:rPr>
          <w:rFonts w:ascii="Arial" w:cs="Arial" w:eastAsia="Arial" w:hAnsi="Arial"/>
          <w:sz w:val="17"/>
          <w:szCs w:val="17"/>
          <w:color w:val="auto"/>
        </w:rPr>
        <w:t>www.sec.gov.</w:t>
      </w:r>
    </w:p>
    <w:p>
      <w:pPr>
        <w:spacing w:after="0" w:line="233"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In this Annual Report on Form 10-K, the terms "we," "us," "our," the "Company" and "GLPI" refer to Gaming and Leisure Properties, Inc. and subsidiaries, unless the context indicates otherwise.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9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 xml:space="preserve">GLPI is a self-administered and self-managed Pennsylvania REIT. The Company was formed from the 2013 tax-free spin-off of the real estate assets of Penn and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Louisiana Casino Cruises, Inc. (d/b/a Hollywood Casino Baton Rouge) and Penn Cecil Maryland, Inc. (d/b/a Hollywood Casino Perryville), which are referred to as the "TRS Properties," and then spun-off GLPI to holders of Penn's common and preferred stock in a tax-free distribution (the "Spin-Off"). The assets and liabilities of GLPI were recorded at their respective historical carrying values at the time of the Spin-Off in accordance with the provisions of Financial Accounting Standards Board ("FASB") Accounting Standards Codification ("ASC") 505-60 - </w:t>
      </w:r>
      <w:r>
        <w:rPr>
          <w:rFonts w:ascii="Arial" w:cs="Arial" w:eastAsia="Arial" w:hAnsi="Arial"/>
          <w:sz w:val="16"/>
          <w:szCs w:val="16"/>
          <w:i w:val="1"/>
          <w:iCs w:val="1"/>
          <w:color w:val="auto"/>
        </w:rPr>
        <w:t>Spinoffs and Reverse Spinoffs</w:t>
      </w:r>
      <w:r>
        <w:rPr>
          <w:rFonts w:ascii="Arial" w:cs="Arial" w:eastAsia="Arial" w:hAnsi="Arial"/>
          <w:sz w:val="16"/>
          <w:szCs w:val="16"/>
          <w:color w:val="auto"/>
        </w:rPr>
        <w:t>. GLPI owns and operates the TRS Properties through its indirect wholly-owned subsidiary, GLP Holdings, Inc.</w:t>
      </w:r>
    </w:p>
    <w:p>
      <w:pPr>
        <w:spacing w:after="0" w:line="220"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color w:val="auto"/>
        </w:rPr>
        <w:t>The Company elected on its United States ("U.S.") federal income tax return for its taxable year that began on January 1, 2014 to be treated as a REIT and GLPI, together with GLP Holdings, Inc., jointly elected to treat each of GLP Holdings, Inc., Louisiana Casino Cruises, Inc. and Penn Cecil Maryland, Inc. as a "taxable REIT subsidiary" ("TRS") effective on the first day of the first taxable year of GLPI as a REIT. 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for the year ended December 31, 2014,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 (the "Purging Distribution").</w:t>
      </w:r>
    </w:p>
    <w:p>
      <w:pPr>
        <w:spacing w:after="0" w:line="246"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As a result of the Spin-Off, GLPI owns substantially all of Penn's former real property assets and leases back most of these assets to Penn for use by its subsidiaries pursuant to a unitary master lease (the "Penn Master Lease"). The Penn Master Lease is a triple-net operating lease with an initial term of</w:t>
      </w:r>
    </w:p>
    <w:p>
      <w:pPr>
        <w:ind w:right="80"/>
        <w:spacing w:after="0" w:line="267" w:lineRule="auto"/>
        <w:rPr>
          <w:sz w:val="20"/>
          <w:szCs w:val="20"/>
          <w:color w:val="auto"/>
        </w:rPr>
      </w:pPr>
      <w:r>
        <w:rPr>
          <w:rFonts w:ascii="Arial" w:cs="Arial" w:eastAsia="Arial" w:hAnsi="Arial"/>
          <w:sz w:val="17"/>
          <w:szCs w:val="17"/>
          <w:color w:val="auto"/>
        </w:rPr>
        <w:t>15 years (expiring October 31, 2028) with no purchase option, followed by four 5-year renewal options (exercisable by Penn) on the same terms and conditions. In April 2016, the Company acquired substantially all of the real estate assets of Pinnacle Entertainment, Inc. ("Pinnacle") for approximately $4.8 billion. GLPI originally leased these assets back to Pinnacle, under a unitary triple-net lease with an initial term of 10 years (expiring April 30, 2026) with no purchase option, followed by five 5-year renewal options (exercisable by Pinnacle) on the same terms and conditions (the "Pinnacle Master Lease"). On October 15, 2018, the Company completed its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for these properties on terms similar to the Company’s existing master leases.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30"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Park"), whereby the Company loaned Boyd $57.7 million (the "Belterra Park Loan"). See Note 4 for further details surrounding the original Pinnacle acquisition and the subsequent acquisition of Pinnacle by Penn.</w:t>
      </w:r>
    </w:p>
    <w:p>
      <w:pPr>
        <w:spacing w:after="0" w:line="224"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GLPI's primary business consists of acquiring, financing, and owning real estate property to be leased to gaming operators in triple-net lease arrangements. Triple-net leases are leases in which the lessee pays rent to the lessor, as well as all taxes, insurance, and maintenance expenses that arise from the use of the property. As of December 31, 2018, GLPI’s portfolio consisted of interests in 46 gaming and related facilities, including the TRS Properties, the real property associated with 33 gaming and related facilities operated by Penn, the real property associated with 6 gaming and related facilities operated by Eldorado (including one mortgaged facility), the real property associated with 4 gaming and related facilities operated by Boyd (including one mortgaged property) and the real property associated with the Casino Queen in East St. Louis, Illinois. These facilities are geographically diversified across 16 states and contain approximately 23.5 million square feet. As of December 31, 2018, the Company's properties were 100% occupied.</w:t>
      </w:r>
    </w:p>
    <w:p>
      <w:pPr>
        <w:spacing w:after="0" w:line="221"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expect to grow our portfolio by pursuing opportunities to acquire additional gaming facilities to lease to gaming operators under prudent terms. In addition to the acquisition of Plainridge Park described above, on October 1, 2018, the Company closed its previously announced transaction to acquire certain real property assets from Tropicana Entertainment Inc. (“Tropicana”) and certain of its affiliates pursuant to a Purchase and Sale Agreement (the “Real Estate Purchase Agreement”) dated April 15, 2018 between Tropicana and GLP Capital L.P. (“GLP Capital”), the operating partnership of GLPI,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("Eldorado") acquired the operating assets of these properties from Tropicana pursuant to an Agreement and Plan of Merger dated April 15, 2018 by and among Tropicana, GLP Capital, Eldorado and a wholly-owned subsidiary of Eldorado (the "Tropicana Merger Agreement") and leased the GLP Assets from the Company pursuant to the terms of a new unitary triple-net master lease with a 15-year initial term, with no purchase option followed by four successive 5 -year renewal periods (exercisable by Eldorado) on the same terms and conditions (the “Eldorado Master Lease”). Additionally, on October 1, 2018 the Company made a mortgage loan to Eldorado in the amount of $246.0 million in connection with Eldorado’s acquisition of Lumière Place (together with the Tropicana Acquisition the "Tropicana Transactions").</w:t>
      </w:r>
    </w:p>
    <w:p>
      <w:pPr>
        <w:spacing w:after="0" w:line="239"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Additionally, we believe we have the ability to leverage the expertise our management team has developed over the years to secure additional avenues for growth beyond the gaming industry.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283"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We elected on our 2014 U.S. federal income tax return to be treated as a REIT and intend to continue to be organized and to operate in a manner that will permit us to qualify as a REIT. To qualify as a REIT, we must meet certain organizational and operational requirements, including a requirement to distribute at least 90% of our annual REIT taxable income to shareholders. As a REIT, we generally will not be subject to federal income tax on income that we distribute as dividends to our shareholders. If we fail to qualify as a REIT in any taxable year, we will be subject to U.S. federal income tax, including any applicable alternative minimum tax, on our taxable income at regular corporate income tax rates, and dividends paid to our shareholders would not be deductible by us in computing taxable income. Any resulting corporate liability could be substantial and could materially and adversely affect our net income and net cash available for distribution to shareholders. Unless we were entitled to relief under certain provisions of the Code, we also would be disqualified from re-electing to be taxed as a REIT for the four taxable years following the year in which we failed to qualify to be taxed as a REIT.</w:t>
      </w:r>
    </w:p>
    <w:p>
      <w:pPr>
        <w:spacing w:after="0" w:line="220"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Our TRS Properties are able to engage in activities resulting in income that is not qualifying income for a REIT. As a result, certain activities of the Company which occur within our TRS Properties are subject to federal and state income taxes.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Tenants</w:t>
      </w:r>
    </w:p>
    <w:p>
      <w:pPr>
        <w:spacing w:after="0" w:line="14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As of December 31, 2018, 20 of the Company’s real estate investment properties were leased to a subsidiary of Penn under the Penn Master Lease, 12 of the Company's real estate investment properties were leased to a subsidiary of Penn under the Amended Pinnacle Master Lease, 5 of the Company's real estate investment properties were leased to a subsidiary of Eldorado under the Eldorado Master Lease and 3 of the Company's real estate investment properties were leased to a subsidiary of Boyd under the Boyd Master Lease. Penn, Eldorado and Boyd are leading, diversified, multi-jurisdictional owners and managers of gaming and pari-mutuel properties and established gaming providers with strong financial performance. The obligations under the Penn and Amended Pinnacle Master Leases are guaranteed by Penn and by most of Penn's subsidiaries that occupy and operate the facilities leased under the respective master leases. The obligations under the Eldorado Master Lease are guaranteed by Eldorado and by most of Eldorado's subsidiaries that occupy and operate the facilities under the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Eldorado Master Lease. The obligations under the Boyd Master Lease are guaranteed by most of Boyd's subsidiaries that occupy and operate the facilities leased under the Boyd Master Lease. Additionally, the real estate assets of the Meadows Racetrack and Casino (the "Meadows") are leased to Penn under a single property triple-net operating lease (the "Meadows Lease"). GLPI also leases the Casino Queen property back to its operator on a triple-net basis on terms similar to those in the master leases (the "Casino Queen Lease").</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rent structure under the Penn Master Lease includes a fixed component, a portion of which is subject to an annual 2% escalator if certain rent coverage ratio thresholds are met, and a component that is based on the performance of the facilities, which is adjusted, subject to certain floors (i) every five years to an amount equal to 4% of the average net revenues of all facilities under the Penn Master Lease (other than Hollywood Casino Columbus and Hollywood Casino Toledo) during the preceding five years, and (ii) monthly by an amount equal to 20% of the net revenues of Hollywood Casino Columbus and Hollywood Casino Toledo during the preceding month.</w:t>
      </w:r>
    </w:p>
    <w:p>
      <w:pPr>
        <w:spacing w:after="0" w:line="188"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Similar to the Penn Master Lease, the Amended Pinnacle Master Lease also includes a fixed component, a portion of which is subject to an annual 2% escalator if certain rent coverage ratio thresholds are met and a component that is based on the performance of the facilities, which is adjusted, subject to certain floors, every two years to an amount equal to 4% of the average annual net revenues of all facilities under the Amended Pinnacle Master Lease during the preceding two years.</w:t>
      </w:r>
    </w:p>
    <w:p>
      <w:pPr>
        <w:spacing w:after="0" w:line="187" w:lineRule="exact"/>
        <w:rPr>
          <w:sz w:val="20"/>
          <w:szCs w:val="20"/>
          <w:color w:val="auto"/>
        </w:rPr>
      </w:pPr>
    </w:p>
    <w:p>
      <w:pPr>
        <w:ind w:right="20" w:firstLine="690"/>
        <w:spacing w:after="0" w:line="286" w:lineRule="auto"/>
        <w:rPr>
          <w:sz w:val="20"/>
          <w:szCs w:val="20"/>
          <w:color w:val="auto"/>
        </w:rPr>
      </w:pPr>
      <w:r>
        <w:rPr>
          <w:rFonts w:ascii="Arial" w:cs="Arial" w:eastAsia="Arial" w:hAnsi="Arial"/>
          <w:sz w:val="17"/>
          <w:szCs w:val="17"/>
          <w:color w:val="auto"/>
        </w:rPr>
        <w:t>The Eldorado Master Lease includes a fixed component, a portion of which is subject to an annual 2% escalator if certain rent coverage ratio thresholds are met and a component that is based on the performance of the facilities, which is adjusted, subject to certain floors every two years to an amount equal to 4% of the average annual net revenues of all facilities under the Eldorado Master Lease during the preceding two years.</w:t>
      </w:r>
    </w:p>
    <w:p>
      <w:pPr>
        <w:spacing w:after="0" w:line="166" w:lineRule="exact"/>
        <w:rPr>
          <w:sz w:val="20"/>
          <w:szCs w:val="20"/>
          <w:color w:val="auto"/>
        </w:rPr>
      </w:pPr>
    </w:p>
    <w:p>
      <w:pPr>
        <w:ind w:right="80" w:firstLine="690"/>
        <w:spacing w:after="0" w:line="286" w:lineRule="auto"/>
        <w:rPr>
          <w:sz w:val="20"/>
          <w:szCs w:val="20"/>
          <w:color w:val="auto"/>
        </w:rPr>
      </w:pPr>
      <w:r>
        <w:rPr>
          <w:rFonts w:ascii="Arial" w:cs="Arial" w:eastAsia="Arial" w:hAnsi="Arial"/>
          <w:sz w:val="17"/>
          <w:szCs w:val="17"/>
          <w:color w:val="auto"/>
        </w:rPr>
        <w:t>The Boyd Master Lease includes a fixed component, a portion of which is subject to an annual 2% escalator if certain rent coverage ratio thresholds are met and a component that is based on the performance of the facilities, which is adjusted, subject to certain floors every two years to an amount equal to 4% of the average annual net revenues of all facilities under the Boyd Master Lease during the preceding two years.</w:t>
      </w:r>
    </w:p>
    <w:p>
      <w:pPr>
        <w:spacing w:after="0" w:line="166"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Meadows Lease contains a fixed component, subject to annual escalators, and a component that is based on the performance of the facility, which is reset every two years to a fixed amount determined by multiplying (i) 4% by (ii) the average annual net revenues of the facility for the trailing two year period. The Meadows Lease contains an annual escalator provision for up to 5% of the base rent, if certain rent coverage ratio thresholds are met, which remains at 5% until the earlier of ten years or the year in which total rent is $31 million, at which point the escalator will be reduced to 2% annually thereafter.</w:t>
      </w:r>
    </w:p>
    <w:p>
      <w:pPr>
        <w:spacing w:after="0" w:line="154"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rent structure under the Casino Queen Lease also includes a fixed component, a portion of which is subject to an annual 2% escalator if certain rent coverage ratio thresholds are met, and a component that is based on the performance of the facility, which is reset every five years to a fixed amount equal to the greater of (i) the annual amount of non-fixed rent applicable for the lease year immediately preceding such rent reset year and (ii) an amount equal to 4% of the average annual net revenues of the facility for the trailing five-year period.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rent, as triple-net lessees, all of the Company's tenants are required to pay the following executory costs: (1) all facility maintenance,</w:t>
      </w:r>
    </w:p>
    <w:p>
      <w:pPr>
        <w:spacing w:after="0" w:line="46" w:lineRule="exact"/>
        <w:rPr>
          <w:sz w:val="20"/>
          <w:szCs w:val="20"/>
          <w:color w:val="auto"/>
        </w:rPr>
      </w:pPr>
    </w:p>
    <w:p>
      <w:pPr>
        <w:ind w:right="260" w:firstLine="8"/>
        <w:spacing w:after="0" w:line="255"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09"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Our tenants do not have the ability to terminate their obligations under our long-term tenant leases prior to their initial expiration without the Company's consent. If our long-term tenant leases are terminated prior to their initial expiration other than with our consent, our tenants may be liable for damages and incur charges such as continued payment of rent through the end of the lease term and maintenance costs for the leased property. All of our tenant leases contain a limited number of renewal options which may be exercised at our tenants' option. The Penn Master Lease, the Eldorado Master Lease and the Casino Queen Lease each have an initial term of 15 years with no purchase option, followed by four 5-year renewal options (exercisable by Penn, Eldorado or Casino Queen, respectively) on the same terms and conditions, while the Amended Pinnacle Master Lease and the Boyd Master Lease each have an initial term of 10 years (from the original April 2016 commencement date of the Pinnacle Master Lease) with no purchase option, followed by five 5-year renewal options (exercisable by Penn or Boyd, respectively) on the same terms and conditions. The Meadows Lease has an initial term of 10 years with no purchase option and the option to renew for three successive 5-year terms and one 4-year term (exercisable by Penn) on the same terms and conditions.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features of our properties as of December 31, 2018:</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Approx.</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Property</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Square</w:t>
            </w: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Owned</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Leased</w:t>
            </w:r>
          </w:p>
        </w:tc>
        <w:tc>
          <w:tcPr>
            <w:tcW w:w="680" w:type="dxa"/>
            <w:vAlign w:val="bottom"/>
          </w:tcPr>
          <w:p>
            <w:pPr>
              <w:jc w:val="right"/>
              <w:ind w:right="128"/>
              <w:spacing w:after="0" w:line="135" w:lineRule="exact"/>
              <w:rPr>
                <w:sz w:val="20"/>
                <w:szCs w:val="20"/>
                <w:color w:val="auto"/>
              </w:rPr>
            </w:pPr>
            <w:r>
              <w:rPr>
                <w:rFonts w:ascii="Arial" w:cs="Arial" w:eastAsia="Arial" w:hAnsi="Arial"/>
                <w:sz w:val="13"/>
                <w:szCs w:val="13"/>
                <w:b w:val="1"/>
                <w:bCs w:val="1"/>
                <w:color w:val="auto"/>
              </w:rPr>
              <w:t>Hotel</w:t>
            </w:r>
          </w:p>
        </w:tc>
        <w:tc>
          <w:tcPr>
            <w:tcW w:w="0" w:type="dxa"/>
            <w:vAlign w:val="bottom"/>
          </w:tcPr>
          <w:p>
            <w:pPr>
              <w:spacing w:after="0"/>
              <w:rPr>
                <w:sz w:val="1"/>
                <w:szCs w:val="1"/>
                <w:color w:val="auto"/>
              </w:rPr>
            </w:pPr>
          </w:p>
        </w:tc>
      </w:tr>
      <w:tr>
        <w:trPr>
          <w:trHeight w:val="174"/>
        </w:trPr>
        <w:tc>
          <w:tcPr>
            <w:tcW w:w="2740" w:type="dxa"/>
            <w:vAlign w:val="bottom"/>
          </w:tcPr>
          <w:p>
            <w:pPr>
              <w:spacing w:after="0"/>
              <w:rPr>
                <w:sz w:val="15"/>
                <w:szCs w:val="15"/>
                <w:color w:val="auto"/>
              </w:rPr>
            </w:pPr>
          </w:p>
        </w:tc>
        <w:tc>
          <w:tcPr>
            <w:tcW w:w="2180" w:type="dxa"/>
            <w:vAlign w:val="bottom"/>
          </w:tcPr>
          <w:p>
            <w:pPr>
              <w:ind w:left="700"/>
              <w:spacing w:after="0"/>
              <w:rPr>
                <w:sz w:val="20"/>
                <w:szCs w:val="20"/>
                <w:color w:val="auto"/>
              </w:rPr>
            </w:pPr>
            <w:r>
              <w:rPr>
                <w:rFonts w:ascii="Arial" w:cs="Arial" w:eastAsia="Arial" w:hAnsi="Arial"/>
                <w:sz w:val="13"/>
                <w:szCs w:val="13"/>
                <w:b w:val="1"/>
                <w:bCs w:val="1"/>
                <w:color w:val="auto"/>
              </w:rPr>
              <w:t>Location</w:t>
            </w:r>
          </w:p>
        </w:tc>
        <w:tc>
          <w:tcPr>
            <w:tcW w:w="29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8"/>
              </w:rPr>
              <w:t>Tenant/Operator</w:t>
            </w:r>
          </w:p>
        </w:tc>
        <w:tc>
          <w:tcPr>
            <w:tcW w:w="11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 xml:space="preserve">Footage </w:t>
            </w:r>
            <w:r>
              <w:rPr>
                <w:rFonts w:ascii="Arial" w:cs="Arial" w:eastAsia="Arial" w:hAnsi="Arial"/>
                <w:sz w:val="8"/>
                <w:szCs w:val="8"/>
                <w:b w:val="1"/>
                <w:bCs w:val="1"/>
                <w:color w:val="auto"/>
                <w:w w:val="90"/>
              </w:rPr>
              <w:t>(1)</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Acreage</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 xml:space="preserve">Acreage </w:t>
            </w:r>
            <w:r>
              <w:rPr>
                <w:rFonts w:ascii="Arial" w:cs="Arial" w:eastAsia="Arial" w:hAnsi="Arial"/>
                <w:sz w:val="8"/>
                <w:szCs w:val="8"/>
                <w:b w:val="1"/>
                <w:bCs w:val="1"/>
                <w:color w:val="auto"/>
                <w:w w:val="89"/>
              </w:rPr>
              <w:t>(2)</w:t>
            </w:r>
          </w:p>
        </w:tc>
        <w:tc>
          <w:tcPr>
            <w:tcW w:w="680" w:type="dxa"/>
            <w:vAlign w:val="bottom"/>
          </w:tcPr>
          <w:p>
            <w:pPr>
              <w:jc w:val="right"/>
              <w:ind w:right="88"/>
              <w:spacing w:after="0"/>
              <w:rPr>
                <w:sz w:val="20"/>
                <w:szCs w:val="20"/>
                <w:color w:val="auto"/>
              </w:rPr>
            </w:pPr>
            <w:r>
              <w:rPr>
                <w:rFonts w:ascii="Arial" w:cs="Arial" w:eastAsia="Arial" w:hAnsi="Arial"/>
                <w:sz w:val="13"/>
                <w:szCs w:val="13"/>
                <w:b w:val="1"/>
                <w:bCs w:val="1"/>
                <w:color w:val="auto"/>
              </w:rPr>
              <w:t>Rooms</w:t>
            </w:r>
          </w:p>
        </w:tc>
        <w:tc>
          <w:tcPr>
            <w:tcW w:w="0" w:type="dxa"/>
            <w:vAlign w:val="bottom"/>
          </w:tcPr>
          <w:p>
            <w:pPr>
              <w:spacing w:after="0"/>
              <w:rPr>
                <w:sz w:val="1"/>
                <w:szCs w:val="1"/>
                <w:color w:val="auto"/>
              </w:rPr>
            </w:pPr>
          </w:p>
        </w:tc>
      </w:tr>
      <w:tr>
        <w:trPr>
          <w:trHeight w:val="257"/>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Tenant Occupied Properties</w:t>
            </w:r>
          </w:p>
        </w:tc>
        <w:tc>
          <w:tcPr>
            <w:tcW w:w="2180" w:type="dxa"/>
            <w:vAlign w:val="bottom"/>
            <w:tcBorders>
              <w:top w:val="single" w:sz="8" w:color="auto"/>
            </w:tcBorders>
            <w:shd w:val="clear" w:color="auto" w:fill="CCEEFF"/>
          </w:tcPr>
          <w:p>
            <w:pPr>
              <w:spacing w:after="0"/>
              <w:rPr>
                <w:sz w:val="22"/>
                <w:szCs w:val="22"/>
                <w:color w:val="auto"/>
              </w:rPr>
            </w:pPr>
          </w:p>
        </w:tc>
        <w:tc>
          <w:tcPr>
            <w:tcW w:w="28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Hollywood Casino Lawrenceburg</w:t>
            </w:r>
          </w:p>
        </w:tc>
        <w:tc>
          <w:tcPr>
            <w:tcW w:w="2180" w:type="dxa"/>
            <w:vAlign w:val="bottom"/>
          </w:tcPr>
          <w:p>
            <w:pPr>
              <w:ind w:left="40"/>
              <w:spacing w:after="0"/>
              <w:rPr>
                <w:sz w:val="20"/>
                <w:szCs w:val="20"/>
                <w:color w:val="auto"/>
              </w:rPr>
            </w:pPr>
            <w:r>
              <w:rPr>
                <w:rFonts w:ascii="Arial" w:cs="Arial" w:eastAsia="Arial" w:hAnsi="Arial"/>
                <w:sz w:val="14"/>
                <w:szCs w:val="14"/>
                <w:color w:val="auto"/>
              </w:rPr>
              <w:t>Lawrenceburg, IN</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634,000</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73.1</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Hollywood Casino Aurora</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Aurora, IL</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222,189</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Hollywood Casino Joliet</w:t>
            </w:r>
          </w:p>
        </w:tc>
        <w:tc>
          <w:tcPr>
            <w:tcW w:w="2180" w:type="dxa"/>
            <w:vAlign w:val="bottom"/>
          </w:tcPr>
          <w:p>
            <w:pPr>
              <w:ind w:left="40"/>
              <w:spacing w:after="0"/>
              <w:rPr>
                <w:sz w:val="20"/>
                <w:szCs w:val="20"/>
                <w:color w:val="auto"/>
              </w:rPr>
            </w:pPr>
            <w:r>
              <w:rPr>
                <w:rFonts w:ascii="Arial" w:cs="Arial" w:eastAsia="Arial" w:hAnsi="Arial"/>
                <w:sz w:val="14"/>
                <w:szCs w:val="14"/>
                <w:color w:val="auto"/>
              </w:rPr>
              <w:t>Joliet, IL</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322,446</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275.6</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Argosy Casino Alton</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Alton, IL</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124,569</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Hollywood Casino Toledo</w:t>
            </w:r>
          </w:p>
        </w:tc>
        <w:tc>
          <w:tcPr>
            <w:tcW w:w="2180" w:type="dxa"/>
            <w:vAlign w:val="bottom"/>
          </w:tcPr>
          <w:p>
            <w:pPr>
              <w:ind w:left="40"/>
              <w:spacing w:after="0"/>
              <w:rPr>
                <w:sz w:val="20"/>
                <w:szCs w:val="20"/>
                <w:color w:val="auto"/>
              </w:rPr>
            </w:pPr>
            <w:r>
              <w:rPr>
                <w:rFonts w:ascii="Arial" w:cs="Arial" w:eastAsia="Arial" w:hAnsi="Arial"/>
                <w:sz w:val="14"/>
                <w:szCs w:val="14"/>
                <w:color w:val="auto"/>
              </w:rPr>
              <w:t>Toledo, OH</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285,335</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Hollywood Casino Columbus</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Columbus, OH</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354,075</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116.2</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Hollywood Casino at Charles Town Races</w:t>
            </w:r>
          </w:p>
        </w:tc>
        <w:tc>
          <w:tcPr>
            <w:tcW w:w="2180" w:type="dxa"/>
            <w:vAlign w:val="bottom"/>
          </w:tcPr>
          <w:p>
            <w:pPr>
              <w:ind w:left="40"/>
              <w:spacing w:after="0"/>
              <w:rPr>
                <w:sz w:val="20"/>
                <w:szCs w:val="20"/>
                <w:color w:val="auto"/>
              </w:rPr>
            </w:pPr>
            <w:r>
              <w:rPr>
                <w:rFonts w:ascii="Arial" w:cs="Arial" w:eastAsia="Arial" w:hAnsi="Arial"/>
                <w:sz w:val="14"/>
                <w:szCs w:val="14"/>
                <w:color w:val="auto"/>
              </w:rPr>
              <w:t>Charles Town, WV</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511,249</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298.6</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Hollywood Casino at Penn National Race</w:t>
            </w:r>
          </w:p>
        </w:tc>
        <w:tc>
          <w:tcPr>
            <w:tcW w:w="218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Course</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Grantville, PA</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451,758</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573.7</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M Resort</w:t>
            </w:r>
          </w:p>
        </w:tc>
        <w:tc>
          <w:tcPr>
            <w:tcW w:w="2180" w:type="dxa"/>
            <w:vAlign w:val="bottom"/>
          </w:tcPr>
          <w:p>
            <w:pPr>
              <w:ind w:left="40"/>
              <w:spacing w:after="0"/>
              <w:rPr>
                <w:sz w:val="20"/>
                <w:szCs w:val="20"/>
                <w:color w:val="auto"/>
              </w:rPr>
            </w:pPr>
            <w:r>
              <w:rPr>
                <w:rFonts w:ascii="Arial" w:cs="Arial" w:eastAsia="Arial" w:hAnsi="Arial"/>
                <w:sz w:val="14"/>
                <w:szCs w:val="14"/>
                <w:color w:val="auto"/>
              </w:rPr>
              <w:t>Henderson, NV</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910,173</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83.5</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Hollywood Casino Bangor</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Bangor, ME</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257,085</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 xml:space="preserve">Zia Park Casino </w:t>
            </w:r>
            <w:r>
              <w:rPr>
                <w:rFonts w:ascii="Arial" w:cs="Arial" w:eastAsia="Arial" w:hAnsi="Arial"/>
                <w:sz w:val="8"/>
                <w:szCs w:val="8"/>
                <w:color w:val="auto"/>
              </w:rPr>
              <w:t>(3)</w:t>
            </w:r>
          </w:p>
        </w:tc>
        <w:tc>
          <w:tcPr>
            <w:tcW w:w="2180" w:type="dxa"/>
            <w:vAlign w:val="bottom"/>
          </w:tcPr>
          <w:p>
            <w:pPr>
              <w:ind w:left="40"/>
              <w:spacing w:after="0"/>
              <w:rPr>
                <w:sz w:val="20"/>
                <w:szCs w:val="20"/>
                <w:color w:val="auto"/>
              </w:rPr>
            </w:pPr>
            <w:r>
              <w:rPr>
                <w:rFonts w:ascii="Arial" w:cs="Arial" w:eastAsia="Arial" w:hAnsi="Arial"/>
                <w:sz w:val="14"/>
                <w:szCs w:val="14"/>
                <w:color w:val="auto"/>
              </w:rPr>
              <w:t>Hobbs, NM</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109,067</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317.4</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Hollywood Casino Gulf Coast</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Bay St. Louis, MS</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425,920</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578.7</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Argosy Casino Riverside</w:t>
            </w:r>
          </w:p>
        </w:tc>
        <w:tc>
          <w:tcPr>
            <w:tcW w:w="2180" w:type="dxa"/>
            <w:vAlign w:val="bottom"/>
          </w:tcPr>
          <w:p>
            <w:pPr>
              <w:ind w:left="40"/>
              <w:spacing w:after="0"/>
              <w:rPr>
                <w:sz w:val="20"/>
                <w:szCs w:val="20"/>
                <w:color w:val="auto"/>
              </w:rPr>
            </w:pPr>
            <w:r>
              <w:rPr>
                <w:rFonts w:ascii="Arial" w:cs="Arial" w:eastAsia="Arial" w:hAnsi="Arial"/>
                <w:sz w:val="14"/>
                <w:szCs w:val="14"/>
                <w:color w:val="auto"/>
              </w:rPr>
              <w:t>Riverside, MO</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450,397</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Hollywood Casino Tunica</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Tunica, MS</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315,831</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Boomtown Biloxi</w:t>
            </w:r>
          </w:p>
        </w:tc>
        <w:tc>
          <w:tcPr>
            <w:tcW w:w="2180" w:type="dxa"/>
            <w:vAlign w:val="bottom"/>
          </w:tcPr>
          <w:p>
            <w:pPr>
              <w:ind w:left="40"/>
              <w:spacing w:after="0"/>
              <w:rPr>
                <w:sz w:val="20"/>
                <w:szCs w:val="20"/>
                <w:color w:val="auto"/>
              </w:rPr>
            </w:pPr>
            <w:r>
              <w:rPr>
                <w:rFonts w:ascii="Arial" w:cs="Arial" w:eastAsia="Arial" w:hAnsi="Arial"/>
                <w:sz w:val="14"/>
                <w:szCs w:val="14"/>
                <w:color w:val="auto"/>
              </w:rPr>
              <w:t>Biloxi, MS</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134,800</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Hollywood Casino St. Louis</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 Heights, MO</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645,270</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222.4</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Hollywood Gaming at Dayton Raceway</w:t>
            </w:r>
          </w:p>
        </w:tc>
        <w:tc>
          <w:tcPr>
            <w:tcW w:w="2180" w:type="dxa"/>
            <w:vAlign w:val="bottom"/>
          </w:tcPr>
          <w:p>
            <w:pPr>
              <w:ind w:left="40"/>
              <w:spacing w:after="0"/>
              <w:rPr>
                <w:sz w:val="20"/>
                <w:szCs w:val="20"/>
                <w:color w:val="auto"/>
              </w:rPr>
            </w:pPr>
            <w:r>
              <w:rPr>
                <w:rFonts w:ascii="Arial" w:cs="Arial" w:eastAsia="Arial" w:hAnsi="Arial"/>
                <w:sz w:val="14"/>
                <w:szCs w:val="14"/>
                <w:color w:val="auto"/>
              </w:rPr>
              <w:t>Dayton, OH</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191,037</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119.7</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Hollywood Gaming at Mahoning Valley Race</w:t>
            </w:r>
          </w:p>
        </w:tc>
        <w:tc>
          <w:tcPr>
            <w:tcW w:w="218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Course</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Youngstown, OH</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177,448</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193.4</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Resorts Casino Tunica</w:t>
            </w:r>
          </w:p>
        </w:tc>
        <w:tc>
          <w:tcPr>
            <w:tcW w:w="2180" w:type="dxa"/>
            <w:vAlign w:val="bottom"/>
          </w:tcPr>
          <w:p>
            <w:pPr>
              <w:ind w:left="40"/>
              <w:spacing w:after="0"/>
              <w:rPr>
                <w:sz w:val="20"/>
                <w:szCs w:val="20"/>
                <w:color w:val="auto"/>
              </w:rPr>
            </w:pPr>
            <w:r>
              <w:rPr>
                <w:rFonts w:ascii="Arial" w:cs="Arial" w:eastAsia="Arial" w:hAnsi="Arial"/>
                <w:sz w:val="14"/>
                <w:szCs w:val="14"/>
                <w:color w:val="auto"/>
              </w:rPr>
              <w:t>Tunica, MS</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319,823</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86.6</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1st Jackpot Casino</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Tunica, MS</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78,941</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52.9</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Ameristar Black Hawk</w:t>
            </w:r>
          </w:p>
        </w:tc>
        <w:tc>
          <w:tcPr>
            <w:tcW w:w="2180" w:type="dxa"/>
            <w:vAlign w:val="bottom"/>
          </w:tcPr>
          <w:p>
            <w:pPr>
              <w:ind w:left="40"/>
              <w:spacing w:after="0"/>
              <w:rPr>
                <w:sz w:val="20"/>
                <w:szCs w:val="20"/>
                <w:color w:val="auto"/>
              </w:rPr>
            </w:pPr>
            <w:r>
              <w:rPr>
                <w:rFonts w:ascii="Arial" w:cs="Arial" w:eastAsia="Arial" w:hAnsi="Arial"/>
                <w:sz w:val="14"/>
                <w:szCs w:val="14"/>
                <w:color w:val="auto"/>
              </w:rPr>
              <w:t>Black Hawk, CO</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775,744</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104.1</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Ameristar East Chicago</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East Chicago, IN</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509,867</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 xml:space="preserve">Ameristar Council Bluffs </w:t>
            </w:r>
            <w:r>
              <w:rPr>
                <w:rFonts w:ascii="Arial" w:cs="Arial" w:eastAsia="Arial" w:hAnsi="Arial"/>
                <w:sz w:val="8"/>
                <w:szCs w:val="8"/>
                <w:color w:val="auto"/>
              </w:rPr>
              <w:t>(3)</w:t>
            </w:r>
          </w:p>
        </w:tc>
        <w:tc>
          <w:tcPr>
            <w:tcW w:w="2180" w:type="dxa"/>
            <w:vAlign w:val="bottom"/>
          </w:tcPr>
          <w:p>
            <w:pPr>
              <w:ind w:left="40"/>
              <w:spacing w:after="0"/>
              <w:rPr>
                <w:sz w:val="20"/>
                <w:szCs w:val="20"/>
                <w:color w:val="auto"/>
              </w:rPr>
            </w:pPr>
            <w:r>
              <w:rPr>
                <w:rFonts w:ascii="Arial" w:cs="Arial" w:eastAsia="Arial" w:hAnsi="Arial"/>
                <w:sz w:val="14"/>
                <w:szCs w:val="14"/>
                <w:color w:val="auto"/>
              </w:rPr>
              <w:t>Council Bluffs, IA</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312,047</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L'Auberge Baton Rouge</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Baton Rouge, LA</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436,461</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99.1</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Boomtown Bossier City</w:t>
            </w:r>
          </w:p>
        </w:tc>
        <w:tc>
          <w:tcPr>
            <w:tcW w:w="2180" w:type="dxa"/>
            <w:vAlign w:val="bottom"/>
          </w:tcPr>
          <w:p>
            <w:pPr>
              <w:ind w:left="40"/>
              <w:spacing w:after="0"/>
              <w:rPr>
                <w:sz w:val="20"/>
                <w:szCs w:val="20"/>
                <w:color w:val="auto"/>
              </w:rPr>
            </w:pPr>
            <w:r>
              <w:rPr>
                <w:rFonts w:ascii="Arial" w:cs="Arial" w:eastAsia="Arial" w:hAnsi="Arial"/>
                <w:sz w:val="14"/>
                <w:szCs w:val="14"/>
                <w:color w:val="auto"/>
              </w:rPr>
              <w:t>Bossier City, LA</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281,747</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L'Auberge Lake Charles</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Lake Charles, LA</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1,014,497</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Boomtown New Orleans</w:t>
            </w:r>
          </w:p>
        </w:tc>
        <w:tc>
          <w:tcPr>
            <w:tcW w:w="2180" w:type="dxa"/>
            <w:vAlign w:val="bottom"/>
          </w:tcPr>
          <w:p>
            <w:pPr>
              <w:ind w:left="40"/>
              <w:spacing w:after="0"/>
              <w:rPr>
                <w:sz w:val="20"/>
                <w:szCs w:val="20"/>
                <w:color w:val="auto"/>
              </w:rPr>
            </w:pPr>
            <w:r>
              <w:rPr>
                <w:rFonts w:ascii="Arial" w:cs="Arial" w:eastAsia="Arial" w:hAnsi="Arial"/>
                <w:sz w:val="14"/>
                <w:szCs w:val="14"/>
                <w:color w:val="auto"/>
              </w:rPr>
              <w:t>New Orleans, LA</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278,227</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53.6</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Ameristar Vicksburg</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Vicksburg, MS</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298,006</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74.1</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River City Casino and Hotel</w:t>
            </w:r>
          </w:p>
        </w:tc>
        <w:tc>
          <w:tcPr>
            <w:tcW w:w="2180" w:type="dxa"/>
            <w:vAlign w:val="bottom"/>
          </w:tcPr>
          <w:p>
            <w:pPr>
              <w:ind w:left="40"/>
              <w:spacing w:after="0"/>
              <w:rPr>
                <w:sz w:val="20"/>
                <w:szCs w:val="20"/>
                <w:color w:val="auto"/>
              </w:rPr>
            </w:pPr>
            <w:r>
              <w:rPr>
                <w:rFonts w:ascii="Arial" w:cs="Arial" w:eastAsia="Arial" w:hAnsi="Arial"/>
                <w:sz w:val="14"/>
                <w:szCs w:val="14"/>
                <w:color w:val="auto"/>
              </w:rPr>
              <w:t>St. Louis, MO</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431,226</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83.4</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Jackpot Properties </w:t>
            </w:r>
            <w:r>
              <w:rPr>
                <w:rFonts w:ascii="Arial" w:cs="Arial" w:eastAsia="Arial" w:hAnsi="Arial"/>
                <w:sz w:val="8"/>
                <w:szCs w:val="8"/>
                <w:color w:val="auto"/>
              </w:rPr>
              <w:t>(4)</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Jackpot, NV</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419,800</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79.5</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Plainridge Park Casino</w:t>
            </w:r>
          </w:p>
        </w:tc>
        <w:tc>
          <w:tcPr>
            <w:tcW w:w="2180" w:type="dxa"/>
            <w:vAlign w:val="bottom"/>
          </w:tcPr>
          <w:p>
            <w:pPr>
              <w:ind w:left="40"/>
              <w:spacing w:after="0"/>
              <w:rPr>
                <w:sz w:val="20"/>
                <w:szCs w:val="20"/>
                <w:color w:val="auto"/>
              </w:rPr>
            </w:pPr>
            <w:r>
              <w:rPr>
                <w:rFonts w:ascii="Arial" w:cs="Arial" w:eastAsia="Arial" w:hAnsi="Arial"/>
                <w:sz w:val="14"/>
                <w:szCs w:val="14"/>
                <w:color w:val="auto"/>
              </w:rPr>
              <w:t>Plainville, MA</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196,473</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87.9</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The Meadows Racetrack and Casino </w:t>
            </w:r>
            <w:r>
              <w:rPr>
                <w:rFonts w:ascii="Arial" w:cs="Arial" w:eastAsia="Arial" w:hAnsi="Arial"/>
                <w:sz w:val="8"/>
                <w:szCs w:val="8"/>
                <w:color w:val="auto"/>
              </w:rPr>
              <w:t>(3)</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Washington, PA</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417,921</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155.5</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Casino Queen</w:t>
            </w:r>
          </w:p>
        </w:tc>
        <w:tc>
          <w:tcPr>
            <w:tcW w:w="2180" w:type="dxa"/>
            <w:vAlign w:val="bottom"/>
          </w:tcPr>
          <w:p>
            <w:pPr>
              <w:ind w:left="40"/>
              <w:spacing w:after="0"/>
              <w:rPr>
                <w:sz w:val="20"/>
                <w:szCs w:val="20"/>
                <w:color w:val="auto"/>
              </w:rPr>
            </w:pPr>
            <w:r>
              <w:rPr>
                <w:rFonts w:ascii="Arial" w:cs="Arial" w:eastAsia="Arial" w:hAnsi="Arial"/>
                <w:sz w:val="14"/>
                <w:szCs w:val="14"/>
                <w:color w:val="auto"/>
              </w:rPr>
              <w:t>East St. Louis, IL</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Casino Queen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330,502</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67.2</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Belterra Casino Resort</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Florence, IN</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3"/>
              </w:rPr>
              <w:t>Boyd</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782,393</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167.1</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Ameristar Kansas City</w:t>
            </w:r>
          </w:p>
        </w:tc>
        <w:tc>
          <w:tcPr>
            <w:tcW w:w="2180" w:type="dxa"/>
            <w:vAlign w:val="bottom"/>
          </w:tcPr>
          <w:p>
            <w:pPr>
              <w:ind w:left="40"/>
              <w:spacing w:after="0"/>
              <w:rPr>
                <w:sz w:val="20"/>
                <w:szCs w:val="20"/>
                <w:color w:val="auto"/>
              </w:rPr>
            </w:pPr>
            <w:r>
              <w:rPr>
                <w:rFonts w:ascii="Arial" w:cs="Arial" w:eastAsia="Arial" w:hAnsi="Arial"/>
                <w:sz w:val="14"/>
                <w:szCs w:val="14"/>
                <w:color w:val="auto"/>
              </w:rPr>
              <w:t>Kansas City, MO</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3"/>
              </w:rPr>
              <w:t>Boyd</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763,939</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224.5</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Ameristar St. Charles</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 Charles, MO</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3"/>
              </w:rPr>
              <w:t>Boyd</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1,272,938</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241.2</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Tropicana Atlantic City</w:t>
            </w:r>
          </w:p>
        </w:tc>
        <w:tc>
          <w:tcPr>
            <w:tcW w:w="2180" w:type="dxa"/>
            <w:vAlign w:val="bottom"/>
          </w:tcPr>
          <w:p>
            <w:pPr>
              <w:ind w:left="40"/>
              <w:spacing w:after="0"/>
              <w:rPr>
                <w:sz w:val="20"/>
                <w:szCs w:val="20"/>
                <w:color w:val="auto"/>
              </w:rPr>
            </w:pPr>
            <w:r>
              <w:rPr>
                <w:rFonts w:ascii="Arial" w:cs="Arial" w:eastAsia="Arial" w:hAnsi="Arial"/>
                <w:sz w:val="14"/>
                <w:szCs w:val="14"/>
                <w:color w:val="auto"/>
              </w:rPr>
              <w:t>Atlantic City, NJ</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6"/>
              </w:rPr>
              <w:t>Eldorado</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4,232,018</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2,366</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Tropicana Evansville</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Evansville, IN</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6"/>
              </w:rPr>
              <w:t>Eldorado</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754,833</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Tropicana Laughlin</w:t>
            </w:r>
          </w:p>
        </w:tc>
        <w:tc>
          <w:tcPr>
            <w:tcW w:w="2180" w:type="dxa"/>
            <w:vAlign w:val="bottom"/>
          </w:tcPr>
          <w:p>
            <w:pPr>
              <w:ind w:left="40"/>
              <w:spacing w:after="0"/>
              <w:rPr>
                <w:sz w:val="20"/>
                <w:szCs w:val="20"/>
                <w:color w:val="auto"/>
              </w:rPr>
            </w:pPr>
            <w:r>
              <w:rPr>
                <w:rFonts w:ascii="Arial" w:cs="Arial" w:eastAsia="Arial" w:hAnsi="Arial"/>
                <w:sz w:val="14"/>
                <w:szCs w:val="14"/>
                <w:color w:val="auto"/>
              </w:rPr>
              <w:t>Laughlin, NV</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6"/>
              </w:rPr>
              <w:t>Eldorado</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936,453</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93.6</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1,487</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Trop Casino Greenville</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Greenville, MS</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6"/>
              </w:rPr>
              <w:t>Eldorado</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94,017</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Belle of Baton Rouge</w:t>
            </w:r>
          </w:p>
        </w:tc>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Baton Rouge, LA</w:t>
            </w:r>
          </w:p>
        </w:tc>
        <w:tc>
          <w:tcPr>
            <w:tcW w:w="2980" w:type="dxa"/>
            <w:vAlign w:val="bottom"/>
            <w:tcBorders>
              <w:bottom w:val="single" w:sz="8" w:color="CCEEFF"/>
            </w:tcBorders>
            <w:gridSpan w:val="2"/>
          </w:tcPr>
          <w:p>
            <w:pPr>
              <w:jc w:val="center"/>
              <w:ind w:right="440"/>
              <w:spacing w:after="0"/>
              <w:rPr>
                <w:sz w:val="20"/>
                <w:szCs w:val="20"/>
                <w:color w:val="auto"/>
              </w:rPr>
            </w:pPr>
            <w:r>
              <w:rPr>
                <w:rFonts w:ascii="Arial" w:cs="Arial" w:eastAsia="Arial" w:hAnsi="Arial"/>
                <w:sz w:val="14"/>
                <w:szCs w:val="14"/>
                <w:color w:val="auto"/>
                <w:w w:val="96"/>
              </w:rPr>
              <w:t>Eldorado</w:t>
            </w:r>
          </w:p>
        </w:tc>
        <w:tc>
          <w:tcPr>
            <w:tcW w:w="10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386,398</w:t>
            </w:r>
          </w:p>
        </w:tc>
        <w:tc>
          <w:tcPr>
            <w:tcW w:w="14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256"/>
        </w:trPr>
        <w:tc>
          <w:tcPr>
            <w:tcW w:w="274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2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21,846,920</w:t>
            </w: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4,549.1</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884.8</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12,026</w:t>
            </w:r>
          </w:p>
        </w:tc>
        <w:tc>
          <w:tcPr>
            <w:tcW w:w="0" w:type="dxa"/>
            <w:vAlign w:val="bottom"/>
          </w:tcPr>
          <w:p>
            <w:pPr>
              <w:spacing w:after="0"/>
              <w:rPr>
                <w:sz w:val="1"/>
                <w:szCs w:val="1"/>
                <w:color w:val="auto"/>
              </w:rPr>
            </w:pPr>
          </w:p>
        </w:tc>
      </w:tr>
      <w:tr>
        <w:trPr>
          <w:trHeight w:val="284"/>
        </w:trPr>
        <w:tc>
          <w:tcPr>
            <w:tcW w:w="27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Mortgaged Properties</w:t>
            </w:r>
          </w:p>
        </w:tc>
        <w:tc>
          <w:tcPr>
            <w:tcW w:w="2180" w:type="dxa"/>
            <w:vAlign w:val="bottom"/>
            <w:shd w:val="clear" w:color="auto" w:fill="CCEEFF"/>
          </w:tcPr>
          <w:p>
            <w:pPr>
              <w:spacing w:after="0"/>
              <w:rPr>
                <w:sz w:val="23"/>
                <w:szCs w:val="23"/>
                <w:color w:val="auto"/>
              </w:rPr>
            </w:pPr>
          </w:p>
        </w:tc>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40"/>
              <w:spacing w:after="0"/>
              <w:rPr>
                <w:sz w:val="20"/>
                <w:szCs w:val="20"/>
                <w:color w:val="auto"/>
              </w:rPr>
            </w:pPr>
            <w:r>
              <w:rPr>
                <w:rFonts w:ascii="Arial" w:cs="Arial" w:eastAsia="Arial" w:hAnsi="Arial"/>
                <w:sz w:val="14"/>
                <w:szCs w:val="14"/>
                <w:color w:val="auto"/>
                <w:w w:val="94"/>
              </w:rPr>
              <w:t>Belterra Park Gaming &amp; Entertainment Center</w:t>
            </w:r>
          </w:p>
        </w:tc>
        <w:tc>
          <w:tcPr>
            <w:tcW w:w="2180" w:type="dxa"/>
            <w:vAlign w:val="bottom"/>
            <w:vMerge w:val="restart"/>
          </w:tcPr>
          <w:p>
            <w:pPr>
              <w:ind w:left="40"/>
              <w:spacing w:after="0"/>
              <w:rPr>
                <w:sz w:val="20"/>
                <w:szCs w:val="20"/>
                <w:color w:val="auto"/>
              </w:rPr>
            </w:pPr>
            <w:r>
              <w:rPr>
                <w:rFonts w:ascii="Arial" w:cs="Arial" w:eastAsia="Arial" w:hAnsi="Arial"/>
                <w:sz w:val="14"/>
                <w:szCs w:val="14"/>
                <w:color w:val="auto"/>
              </w:rPr>
              <w:t>Cincinnati, OH</w:t>
            </w:r>
          </w:p>
        </w:tc>
        <w:tc>
          <w:tcPr>
            <w:tcW w:w="298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3"/>
              </w:rPr>
              <w:t>Boyd</w:t>
            </w:r>
          </w:p>
        </w:tc>
        <w:tc>
          <w:tcPr>
            <w:tcW w:w="1040" w:type="dxa"/>
            <w:vAlign w:val="bottom"/>
            <w:vMerge w:val="restart"/>
          </w:tcPr>
          <w:p>
            <w:pPr>
              <w:jc w:val="right"/>
              <w:ind w:right="49"/>
              <w:spacing w:after="0"/>
              <w:rPr>
                <w:sz w:val="20"/>
                <w:szCs w:val="20"/>
                <w:color w:val="auto"/>
              </w:rPr>
            </w:pPr>
            <w:r>
              <w:rPr>
                <w:rFonts w:ascii="Arial" w:cs="Arial" w:eastAsia="Arial" w:hAnsi="Arial"/>
                <w:sz w:val="14"/>
                <w:szCs w:val="14"/>
                <w:color w:val="auto"/>
              </w:rPr>
              <w:t>372,650</w:t>
            </w:r>
          </w:p>
        </w:tc>
        <w:tc>
          <w:tcPr>
            <w:tcW w:w="140" w:type="dxa"/>
            <w:vAlign w:val="bottom"/>
          </w:tcPr>
          <w:p>
            <w:pPr>
              <w:spacing w:after="0"/>
              <w:rPr>
                <w:sz w:val="14"/>
                <w:szCs w:val="14"/>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160.0</w:t>
            </w:r>
          </w:p>
        </w:tc>
        <w:tc>
          <w:tcPr>
            <w:tcW w:w="120" w:type="dxa"/>
            <w:vAlign w:val="bottom"/>
          </w:tcPr>
          <w:p>
            <w:pPr>
              <w:spacing w:after="0"/>
              <w:rPr>
                <w:sz w:val="14"/>
                <w:szCs w:val="1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740" w:type="dxa"/>
            <w:vAlign w:val="bottom"/>
          </w:tcPr>
          <w:p>
            <w:pPr>
              <w:ind w:left="200"/>
              <w:spacing w:after="0"/>
              <w:rPr>
                <w:sz w:val="20"/>
                <w:szCs w:val="20"/>
                <w:color w:val="auto"/>
              </w:rPr>
            </w:pPr>
            <w:r>
              <w:rPr>
                <w:rFonts w:ascii="Arial" w:cs="Arial" w:eastAsia="Arial" w:hAnsi="Arial"/>
                <w:sz w:val="9"/>
                <w:szCs w:val="9"/>
                <w:color w:val="auto"/>
              </w:rPr>
              <w:t>(5)</w:t>
            </w:r>
          </w:p>
        </w:tc>
        <w:tc>
          <w:tcPr>
            <w:tcW w:w="2180" w:type="dxa"/>
            <w:vAlign w:val="bottom"/>
            <w:vMerge w:val="continue"/>
          </w:tcPr>
          <w:p>
            <w:pPr>
              <w:spacing w:after="0"/>
              <w:rPr>
                <w:sz w:val="11"/>
                <w:szCs w:val="11"/>
                <w:color w:val="auto"/>
              </w:rPr>
            </w:pPr>
          </w:p>
        </w:tc>
        <w:tc>
          <w:tcPr>
            <w:tcW w:w="2980" w:type="dxa"/>
            <w:vAlign w:val="bottom"/>
            <w:gridSpan w:val="2"/>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30" w:right="239" w:bottom="1440"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Lumiére Place </w:t>
            </w:r>
            <w:r>
              <w:rPr>
                <w:rFonts w:ascii="Arial" w:cs="Arial" w:eastAsia="Arial" w:hAnsi="Arial"/>
                <w:sz w:val="8"/>
                <w:szCs w:val="8"/>
                <w:color w:val="auto"/>
              </w:rPr>
              <w:t>(5)</w:t>
            </w:r>
          </w:p>
        </w:tc>
        <w:tc>
          <w:tcPr>
            <w:tcW w:w="24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 Louis, MO</w:t>
            </w:r>
          </w:p>
        </w:tc>
        <w:tc>
          <w:tcPr>
            <w:tcW w:w="3040" w:type="dxa"/>
            <w:vAlign w:val="bottom"/>
            <w:shd w:val="clear" w:color="auto" w:fill="CCEEFF"/>
          </w:tcPr>
          <w:p>
            <w:pPr>
              <w:jc w:val="center"/>
              <w:ind w:right="308"/>
              <w:spacing w:after="0"/>
              <w:rPr>
                <w:sz w:val="20"/>
                <w:szCs w:val="20"/>
                <w:color w:val="auto"/>
              </w:rPr>
            </w:pPr>
            <w:r>
              <w:rPr>
                <w:rFonts w:ascii="Arial" w:cs="Arial" w:eastAsia="Arial" w:hAnsi="Arial"/>
                <w:sz w:val="14"/>
                <w:szCs w:val="14"/>
                <w:color w:val="auto"/>
                <w:w w:val="96"/>
              </w:rPr>
              <w:t>Eldorado</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1,020,782</w:t>
            </w:r>
          </w:p>
        </w:tc>
        <w:tc>
          <w:tcPr>
            <w:tcW w:w="14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18.5</w:t>
            </w:r>
          </w:p>
        </w:tc>
        <w:tc>
          <w:tcPr>
            <w:tcW w:w="12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494</w:t>
            </w:r>
          </w:p>
        </w:tc>
      </w:tr>
      <w:tr>
        <w:trPr>
          <w:trHeight w:val="250"/>
        </w:trPr>
        <w:tc>
          <w:tcPr>
            <w:tcW w:w="24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1,393,432</w:t>
            </w:r>
          </w:p>
        </w:tc>
        <w:tc>
          <w:tcPr>
            <w:tcW w:w="14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178.5</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494</w:t>
            </w:r>
          </w:p>
        </w:tc>
      </w:tr>
      <w:tr>
        <w:trPr>
          <w:trHeight w:val="290"/>
        </w:trPr>
        <w:tc>
          <w:tcPr>
            <w:tcW w:w="240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30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64"/>
        </w:trPr>
        <w:tc>
          <w:tcPr>
            <w:tcW w:w="2400" w:type="dxa"/>
            <w:vAlign w:val="bottom"/>
          </w:tcPr>
          <w:p>
            <w:pPr>
              <w:ind w:left="40"/>
              <w:spacing w:after="0"/>
              <w:rPr>
                <w:sz w:val="20"/>
                <w:szCs w:val="20"/>
                <w:color w:val="auto"/>
              </w:rPr>
            </w:pPr>
            <w:r>
              <w:rPr>
                <w:rFonts w:ascii="Arial" w:cs="Arial" w:eastAsia="Arial" w:hAnsi="Arial"/>
                <w:sz w:val="14"/>
                <w:szCs w:val="14"/>
                <w:b w:val="1"/>
                <w:bCs w:val="1"/>
                <w:color w:val="auto"/>
              </w:rPr>
              <w:t>Other Properties</w:t>
            </w:r>
          </w:p>
        </w:tc>
        <w:tc>
          <w:tcPr>
            <w:tcW w:w="246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6"/>
        </w:trPr>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Other owned buildings and land </w:t>
            </w:r>
            <w:r>
              <w:rPr>
                <w:rFonts w:ascii="Arial" w:cs="Arial" w:eastAsia="Arial" w:hAnsi="Arial"/>
                <w:sz w:val="8"/>
                <w:szCs w:val="8"/>
                <w:color w:val="auto"/>
              </w:rPr>
              <w:t>(6)</w:t>
            </w:r>
          </w:p>
        </w:tc>
        <w:tc>
          <w:tcPr>
            <w:tcW w:w="24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various</w:t>
            </w:r>
          </w:p>
        </w:tc>
        <w:tc>
          <w:tcPr>
            <w:tcW w:w="3040" w:type="dxa"/>
            <w:vAlign w:val="bottom"/>
            <w:shd w:val="clear" w:color="auto" w:fill="CCEEFF"/>
          </w:tcPr>
          <w:p>
            <w:pPr>
              <w:jc w:val="center"/>
              <w:ind w:right="308"/>
              <w:spacing w:after="0"/>
              <w:rPr>
                <w:sz w:val="20"/>
                <w:szCs w:val="20"/>
                <w:color w:val="auto"/>
              </w:rPr>
            </w:pPr>
            <w:r>
              <w:rPr>
                <w:rFonts w:ascii="Arial" w:cs="Arial" w:eastAsia="Arial" w:hAnsi="Arial"/>
                <w:sz w:val="14"/>
                <w:szCs w:val="14"/>
                <w:color w:val="auto"/>
              </w:rPr>
              <w:t>N/A</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23,400</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84"/>
        </w:trPr>
        <w:tc>
          <w:tcPr>
            <w:tcW w:w="24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0"/>
        </w:trPr>
        <w:tc>
          <w:tcPr>
            <w:tcW w:w="2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TRS Properties</w:t>
            </w:r>
          </w:p>
        </w:tc>
        <w:tc>
          <w:tcPr>
            <w:tcW w:w="2460" w:type="dxa"/>
            <w:vAlign w:val="bottom"/>
            <w:shd w:val="clear" w:color="auto" w:fill="CCEEFF"/>
          </w:tcPr>
          <w:p>
            <w:pPr>
              <w:spacing w:after="0"/>
              <w:rPr>
                <w:sz w:val="23"/>
                <w:szCs w:val="23"/>
                <w:color w:val="auto"/>
              </w:rPr>
            </w:pPr>
          </w:p>
        </w:tc>
        <w:tc>
          <w:tcPr>
            <w:tcW w:w="30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64"/>
        </w:trPr>
        <w:tc>
          <w:tcPr>
            <w:tcW w:w="2400" w:type="dxa"/>
            <w:vAlign w:val="bottom"/>
          </w:tcPr>
          <w:p>
            <w:pPr>
              <w:ind w:left="40"/>
              <w:spacing w:after="0"/>
              <w:rPr>
                <w:sz w:val="20"/>
                <w:szCs w:val="20"/>
                <w:color w:val="auto"/>
              </w:rPr>
            </w:pPr>
            <w:r>
              <w:rPr>
                <w:rFonts w:ascii="Arial" w:cs="Arial" w:eastAsia="Arial" w:hAnsi="Arial"/>
                <w:sz w:val="14"/>
                <w:szCs w:val="14"/>
                <w:color w:val="auto"/>
              </w:rPr>
              <w:t>Hollywood Casino Baton Rouge</w:t>
            </w:r>
          </w:p>
        </w:tc>
        <w:tc>
          <w:tcPr>
            <w:tcW w:w="2460" w:type="dxa"/>
            <w:vAlign w:val="bottom"/>
          </w:tcPr>
          <w:p>
            <w:pPr>
              <w:ind w:left="380"/>
              <w:spacing w:after="0"/>
              <w:rPr>
                <w:sz w:val="20"/>
                <w:szCs w:val="20"/>
                <w:color w:val="auto"/>
              </w:rPr>
            </w:pPr>
            <w:r>
              <w:rPr>
                <w:rFonts w:ascii="Arial" w:cs="Arial" w:eastAsia="Arial" w:hAnsi="Arial"/>
                <w:sz w:val="14"/>
                <w:szCs w:val="14"/>
                <w:color w:val="auto"/>
              </w:rPr>
              <w:t>Baton Rouge, LA</w:t>
            </w:r>
          </w:p>
        </w:tc>
        <w:tc>
          <w:tcPr>
            <w:tcW w:w="3040" w:type="dxa"/>
            <w:vAlign w:val="bottom"/>
          </w:tcPr>
          <w:p>
            <w:pPr>
              <w:jc w:val="center"/>
              <w:ind w:right="328"/>
              <w:spacing w:after="0"/>
              <w:rPr>
                <w:sz w:val="20"/>
                <w:szCs w:val="20"/>
                <w:color w:val="auto"/>
              </w:rPr>
            </w:pPr>
            <w:r>
              <w:rPr>
                <w:rFonts w:ascii="Arial" w:cs="Arial" w:eastAsia="Arial" w:hAnsi="Arial"/>
                <w:sz w:val="14"/>
                <w:szCs w:val="14"/>
                <w:color w:val="auto"/>
              </w:rPr>
              <w:t>GLPI</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95,318</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Hollywood Casino Perryville</w:t>
            </w:r>
          </w:p>
        </w:tc>
        <w:tc>
          <w:tcPr>
            <w:tcW w:w="24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Perryville, MD</w:t>
            </w:r>
          </w:p>
        </w:tc>
        <w:tc>
          <w:tcPr>
            <w:tcW w:w="3040" w:type="dxa"/>
            <w:vAlign w:val="bottom"/>
            <w:shd w:val="clear" w:color="auto" w:fill="CCEEFF"/>
          </w:tcPr>
          <w:p>
            <w:pPr>
              <w:jc w:val="center"/>
              <w:ind w:right="328"/>
              <w:spacing w:after="0"/>
              <w:rPr>
                <w:sz w:val="20"/>
                <w:szCs w:val="20"/>
                <w:color w:val="auto"/>
              </w:rPr>
            </w:pPr>
            <w:r>
              <w:rPr>
                <w:rFonts w:ascii="Arial" w:cs="Arial" w:eastAsia="Arial" w:hAnsi="Arial"/>
                <w:sz w:val="14"/>
                <w:szCs w:val="14"/>
                <w:color w:val="auto"/>
              </w:rPr>
              <w:t>GLPI</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97,961</w:t>
            </w:r>
          </w:p>
        </w:tc>
        <w:tc>
          <w:tcPr>
            <w:tcW w:w="14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36.4</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24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193,279</w:t>
            </w:r>
          </w:p>
        </w:tc>
        <w:tc>
          <w:tcPr>
            <w:tcW w:w="14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61.5</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2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2460" w:type="dxa"/>
            <w:vAlign w:val="bottom"/>
            <w:tcBorders>
              <w:top w:val="single" w:sz="8" w:color="CCEEFF"/>
              <w:bottom w:val="single" w:sz="8" w:color="CCEEFF"/>
            </w:tcBorders>
            <w:shd w:val="clear" w:color="auto" w:fill="CCEEFF"/>
          </w:tcPr>
          <w:p>
            <w:pPr>
              <w:spacing w:after="0"/>
              <w:rPr>
                <w:sz w:val="21"/>
                <w:szCs w:val="21"/>
                <w:color w:val="auto"/>
              </w:rPr>
            </w:pPr>
          </w:p>
        </w:tc>
        <w:tc>
          <w:tcPr>
            <w:tcW w:w="304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23,457,031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4,793.0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12,520</w:t>
            </w:r>
          </w:p>
        </w:tc>
      </w:tr>
      <w:tr>
        <w:trPr>
          <w:trHeight w:val="20"/>
        </w:trPr>
        <w:tc>
          <w:tcPr>
            <w:tcW w:w="24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4147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Square footage includes air-conditioned space and excludes parking garages and barns.</w:t>
      </w:r>
    </w:p>
    <w:p>
      <w:pPr>
        <w:spacing w:after="0" w:line="201" w:lineRule="exact"/>
        <w:rPr>
          <w:rFonts w:ascii="Arial" w:cs="Arial" w:eastAsia="Arial" w:hAnsi="Arial"/>
          <w:sz w:val="25"/>
          <w:szCs w:val="25"/>
          <w:color w:val="auto"/>
          <w:vertAlign w:val="superscript"/>
        </w:rPr>
      </w:pPr>
    </w:p>
    <w:p>
      <w:pPr>
        <w:ind w:left="660" w:right="200" w:hanging="652"/>
        <w:spacing w:after="0" w:line="21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Leased acreage reflects land subject to leases with third-parties and includes land on which certain of the current facilities and ancillary supporting structures are located as well as parking lots and access rights.</w:t>
      </w:r>
    </w:p>
    <w:p>
      <w:pPr>
        <w:spacing w:after="0" w:line="203" w:lineRule="exact"/>
        <w:rPr>
          <w:rFonts w:ascii="Arial" w:cs="Arial" w:eastAsia="Arial" w:hAnsi="Arial"/>
          <w:sz w:val="25"/>
          <w:szCs w:val="25"/>
          <w:color w:val="auto"/>
          <w:vertAlign w:val="superscript"/>
        </w:rPr>
      </w:pPr>
    </w:p>
    <w:p>
      <w:pPr>
        <w:ind w:left="660" w:right="180" w:hanging="652"/>
        <w:spacing w:after="0" w:line="21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These properties include hotels not owned by the Company. Square footage and rooms associated with properties not owned by GLPI are excluded from the table above.</w:t>
      </w:r>
    </w:p>
    <w:p>
      <w:pPr>
        <w:spacing w:after="0" w:line="146"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Encompasses two gaming properties in Jackpot, Nevada, Cactus Petes and The Horseshu.</w:t>
      </w:r>
    </w:p>
    <w:p>
      <w:pPr>
        <w:spacing w:after="0" w:line="201" w:lineRule="exact"/>
        <w:rPr>
          <w:rFonts w:ascii="Arial" w:cs="Arial" w:eastAsia="Arial" w:hAnsi="Arial"/>
          <w:sz w:val="25"/>
          <w:szCs w:val="25"/>
          <w:color w:val="auto"/>
          <w:vertAlign w:val="superscript"/>
        </w:rPr>
      </w:pPr>
    </w:p>
    <w:p>
      <w:pPr>
        <w:ind w:left="660" w:right="140" w:hanging="652"/>
        <w:spacing w:after="0" w:line="252" w:lineRule="auto"/>
        <w:tabs>
          <w:tab w:leader="none" w:pos="66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The Company financed the purchase of these properties by their respective owner-operators through mortgage loans to the owner-operators. Square footage, acreage and rooms associated with these properties that we do not own are included in this table for informational purposes only.</w:t>
      </w:r>
    </w:p>
    <w:p>
      <w:pPr>
        <w:spacing w:after="0" w:line="166" w:lineRule="exact"/>
        <w:rPr>
          <w:rFonts w:ascii="Arial" w:cs="Arial" w:eastAsia="Arial" w:hAnsi="Arial"/>
          <w:sz w:val="22"/>
          <w:szCs w:val="22"/>
          <w:color w:val="auto"/>
          <w:vertAlign w:val="superscript"/>
        </w:rPr>
      </w:pPr>
    </w:p>
    <w:p>
      <w:pPr>
        <w:ind w:left="660" w:hanging="652"/>
        <w:spacing w:after="0"/>
        <w:tabs>
          <w:tab w:leader="none" w:pos="66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This includes our corporate headquarters building and undeveloped land the Company owns at locations other than its tenant occupied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Lawrenceburg</w:t>
      </w:r>
    </w:p>
    <w:p>
      <w:pPr>
        <w:spacing w:after="0" w:line="279"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We own 73.1 acres and lease 32.1 acres in Lawrenceburg, Indiana, a portion of which serves as the dockside embarkation for the gaming vessel, and includes a Hollywood-themed casino riverboat, an entertainment pavilion, a 295-room hotel, two parking garages and an adjacent surface lot, with an additional surface lot used for remote parking. This property is leased to Penn as part of the Penn Master Lease.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Aurora</w:t>
      </w:r>
    </w:p>
    <w:p>
      <w:pPr>
        <w:spacing w:after="0" w:line="279" w:lineRule="exact"/>
        <w:rPr>
          <w:sz w:val="20"/>
          <w:szCs w:val="20"/>
          <w:color w:val="auto"/>
        </w:rPr>
      </w:pPr>
    </w:p>
    <w:p>
      <w:pPr>
        <w:jc w:val="both"/>
        <w:ind w:right="580" w:firstLine="432"/>
        <w:spacing w:after="0" w:line="286" w:lineRule="auto"/>
        <w:rPr>
          <w:sz w:val="20"/>
          <w:szCs w:val="20"/>
          <w:color w:val="auto"/>
        </w:rPr>
      </w:pPr>
      <w:r>
        <w:rPr>
          <w:rFonts w:ascii="Arial" w:cs="Arial" w:eastAsia="Arial" w:hAnsi="Arial"/>
          <w:sz w:val="17"/>
          <w:szCs w:val="17"/>
          <w:color w:val="auto"/>
        </w:rPr>
        <w:t>We own a dockside barge structure and land-based pavilion in Aurora, Illinois. We own the land, which is approximately 0.4 acres, on which the pavilion is located. The property also includes two parking garages under capital lease agreements and rights to a pedestrian walkway bridge under an operating lease, together comprising 1.7 acres. This property is leased to Penn as part of the Penn Master Lease.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Joliet</w:t>
      </w:r>
    </w:p>
    <w:p>
      <w:pPr>
        <w:spacing w:after="0" w:line="279"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We own 275.6 acres in Joliet, Illinois, which includes a barge-based casino, land-based pavilion, a 100-room hotel, a parking garage, surface parking areas and a recreational vehicle park. This property is leased to Penn as part of the Penn Master Lease.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Argosy Casino Alton</w:t>
      </w:r>
    </w:p>
    <w:p>
      <w:pPr>
        <w:spacing w:after="0" w:line="279"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We lease 3.6 acres in Alton, Illinois, a portion of which serves as the dockside boarding for the Alton Belle II, a riverboat casino. The dockside facility includes an entertainment pavilion and office space, as well as surface parking areas. In addition, we own an office building property consisting of 0.2 acres. This property is leased to Penn as part of the Penn Master Lease.</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30" w:right="239" w:bottom="1440" w:gutter="0" w:footer="0" w:header="0"/>
          <w:type w:val="continuous"/>
        </w:sectPr>
      </w:pPr>
    </w:p>
    <w:bookmarkStart w:id="9" w:name="page10"/>
    <w:bookmarkEnd w:id="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Toledo</w:t>
      </w:r>
    </w:p>
    <w:p>
      <w:pPr>
        <w:spacing w:after="0" w:line="27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We own a 42.3 acre site in Toledo, Ohio, where Hollywood Casino Toledo is located. The property includes a casino as well as structured and surface parking. This property is leased to Penn as part of the Penn Master Lease.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Columbus</w:t>
      </w:r>
    </w:p>
    <w:p>
      <w:pPr>
        <w:spacing w:after="0" w:line="27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own 116.2 acres of land in Columbus, Ohio, where Hollywood Casino Columbus is located. The property includes a casino as well as structured and surface parking. this property is leased to Penn as part of the Penn Master Lease.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at Charles Town Races</w:t>
      </w:r>
    </w:p>
    <w:p>
      <w:pPr>
        <w:spacing w:after="0" w:line="27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own 298.6 acres on various parcels in Charles Town and Ranson, West Virginia of which 155 acres comprise the Hollywood Casino at Charles Town Races. The facility includes a 150-room hotel and a 3/4-mile all-weather lighted thoroughbred racetrack, a training track, two parking garages, an employee parking lot, an enclosed grandstand/clubhouse and stable facilities for over 1,300 horses. This property is leased to Penn as part of the Penn Master Lease.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at Penn National Race Course</w:t>
      </w:r>
    </w:p>
    <w:p>
      <w:pPr>
        <w:spacing w:after="0" w:line="279" w:lineRule="exact"/>
        <w:rPr>
          <w:sz w:val="20"/>
          <w:szCs w:val="20"/>
          <w:color w:val="auto"/>
        </w:rPr>
      </w:pPr>
    </w:p>
    <w:p>
      <w:pPr>
        <w:jc w:val="both"/>
        <w:ind w:right="180" w:firstLine="432"/>
        <w:spacing w:after="0" w:line="259" w:lineRule="auto"/>
        <w:rPr>
          <w:sz w:val="20"/>
          <w:szCs w:val="20"/>
          <w:color w:val="auto"/>
        </w:rPr>
      </w:pPr>
      <w:r>
        <w:rPr>
          <w:rFonts w:ascii="Arial" w:cs="Arial" w:eastAsia="Arial" w:hAnsi="Arial"/>
          <w:sz w:val="18"/>
          <w:szCs w:val="18"/>
          <w:color w:val="auto"/>
        </w:rPr>
        <w:t>We own 573.7 acres in Grantville, Pennsylvania, where Penn National Race Course is located on 181 acres. The facility includes a casino, a one-mile all-weather lighted thoroughbred racetrack and a 7/8-mile turf track, a parking garage and surface parking spaces. The property also includes approximately 393 acres surrounding the Penn National Race Course that are available for future expansion or development. This property is leased to Penn as part of the Penn Master Lease.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 Resort</w:t>
      </w:r>
    </w:p>
    <w:p>
      <w:pPr>
        <w:spacing w:after="0" w:line="27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own 83.5 acres on the southeast corner of Las Vegas Boulevard and St. Rose Parkway in Henderson, Nevada, where the M Resort is located. The M Resort property includes a casino, a 390-room hotel and a parking facility. In addition, our tenant has rights to 4.0 acres of land at the casino site. This property is leased to Penn as part of the Penn Master Lease.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Bangor</w:t>
      </w:r>
    </w:p>
    <w:p>
      <w:pPr>
        <w:spacing w:after="0" w:line="27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lease 2.5 acres in Bangor, Maine on which Hollywood Casino Bangor is located. We also own 6.4 acres adjacent to the casino on which a 152-room hotel and a four-story parking garage are located. In addition, we lease 35.4 acres at and around historic Bass Park, which is adjacent to the casino and includes a one-half mile standardbred racetrack, a grandstand with over 12,000 square feet and seating for 3,500 patrons and parking. This property is leased to Penn as part of the Penn Master Lease.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Zia Park Casino</w:t>
      </w:r>
    </w:p>
    <w:p>
      <w:pPr>
        <w:spacing w:after="0" w:line="279" w:lineRule="exact"/>
        <w:rPr>
          <w:sz w:val="20"/>
          <w:szCs w:val="20"/>
          <w:color w:val="auto"/>
        </w:rPr>
      </w:pPr>
    </w:p>
    <w:p>
      <w:pPr>
        <w:ind w:right="940" w:firstLine="432"/>
        <w:spacing w:after="0" w:line="277" w:lineRule="auto"/>
        <w:rPr>
          <w:sz w:val="20"/>
          <w:szCs w:val="20"/>
          <w:color w:val="auto"/>
        </w:rPr>
      </w:pPr>
      <w:r>
        <w:rPr>
          <w:rFonts w:ascii="Arial" w:cs="Arial" w:eastAsia="Arial" w:hAnsi="Arial"/>
          <w:sz w:val="18"/>
          <w:szCs w:val="18"/>
          <w:color w:val="auto"/>
        </w:rPr>
        <w:t>We own 317.4 acres in Hobbs, New Mexico, where the Zia Park Casino is located. The property also includes a one-mile thoroughbred and quarterhorse racetrack. This property is leased to Penn as part of the Penn Master Lease.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Gulf Coast</w:t>
      </w:r>
    </w:p>
    <w:p>
      <w:pPr>
        <w:spacing w:after="0" w:line="279"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We own 578.7 acres in the city of Bay St. Louis, Mississippi, including a 20-slip marina. The property includes a casino, an 18-hole golf course, a 291-room hotel, a recreational vehicle park and other facilities. This property is leased to Penn as part of the Penn Master Lease.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Argosy Casino Riverside</w:t>
      </w:r>
    </w:p>
    <w:p>
      <w:pPr>
        <w:spacing w:after="0" w:line="279"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We own 37.9 acres in Riverside, Missouri, which includes a barge-based casino, a 248-room hotel, an entertainment/banquet facility and a parking garage. This property is leased to Penn as part of the Penn Master Lease.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Tunica</w:t>
      </w:r>
    </w:p>
    <w:p>
      <w:pPr>
        <w:spacing w:after="0" w:line="279"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We lease 67.7 acres of land in Tunica, Mississippi. The property includes a dockside single-level casino, a 494-room hotel, surface parking and other land-based facilities. This property is leased to Penn as part of the Penn Master Lease.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Boomtown Biloxi</w:t>
      </w:r>
    </w:p>
    <w:p>
      <w:pPr>
        <w:spacing w:after="0" w:line="279"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We lease 1.0 acre of land mostly used for parking and a welcome center and own an additional 1.5 acres in Biloxi, Mississippi. In addition, our tenant has rights to 18.5 acres of land, most of which is utilized for the dockside casino and 4.5 acres of submerged tidelands at the casino site. This property is leased to Penn as part of the Penn Master Lease.</w:t>
      </w:r>
    </w:p>
    <w:p>
      <w:pPr>
        <w:sectPr>
          <w:pgSz w:w="11900" w:h="16838" w:orient="portrait"/>
          <w:cols w:equalWidth="0" w:num="1">
            <w:col w:w="11420"/>
          </w:cols>
          <w:pgMar w:left="240" w:top="13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30" w:right="239" w:bottom="0" w:gutter="0" w:footer="0" w:header="0"/>
          <w:type w:val="continuous"/>
        </w:sectPr>
      </w:pPr>
    </w:p>
    <w:bookmarkStart w:id="10" w:name="page11"/>
    <w:bookmarkEnd w:id="1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St. Louis</w:t>
      </w:r>
    </w:p>
    <w:p>
      <w:pPr>
        <w:spacing w:after="0" w:line="279"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We own 222.4 acres along the Missouri River in Maryland Heights, Missouri. The property includes a casino, a 502-room hotel and structure and surface parking. This property is leased to Penn as part of the Penn Master Lease.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Gaming at Dayton Raceway</w:t>
      </w:r>
    </w:p>
    <w:p>
      <w:pPr>
        <w:spacing w:after="0" w:line="279" w:lineRule="exact"/>
        <w:rPr>
          <w:sz w:val="20"/>
          <w:szCs w:val="20"/>
          <w:color w:val="auto"/>
        </w:rPr>
      </w:pPr>
    </w:p>
    <w:p>
      <w:pPr>
        <w:ind w:right="40" w:firstLine="432"/>
        <w:spacing w:after="0" w:line="308" w:lineRule="auto"/>
        <w:rPr>
          <w:sz w:val="20"/>
          <w:szCs w:val="20"/>
          <w:color w:val="auto"/>
        </w:rPr>
      </w:pPr>
      <w:r>
        <w:rPr>
          <w:rFonts w:ascii="Arial" w:cs="Arial" w:eastAsia="Arial" w:hAnsi="Arial"/>
          <w:sz w:val="17"/>
          <w:szCs w:val="17"/>
          <w:color w:val="auto"/>
        </w:rPr>
        <w:t>We own 119.7 acres in Dayton, Ohio, where Penn opened Hollywood Gaming at Dayton Raceway on August 28, 2014. The property includes a gaming facility, a 5/8-mile all-weather standardbred racetrack and surface parking. This property is leased to Penn as part of the Penn Master Lease.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Gaming at Mahoning Valley Race Course</w:t>
      </w:r>
    </w:p>
    <w:p>
      <w:pPr>
        <w:spacing w:after="0" w:line="279" w:lineRule="exact"/>
        <w:rPr>
          <w:sz w:val="20"/>
          <w:szCs w:val="20"/>
          <w:color w:val="auto"/>
        </w:rPr>
      </w:pPr>
    </w:p>
    <w:p>
      <w:pPr>
        <w:ind w:right="120" w:firstLine="486"/>
        <w:spacing w:after="0" w:line="342" w:lineRule="auto"/>
        <w:rPr>
          <w:sz w:val="20"/>
          <w:szCs w:val="20"/>
          <w:color w:val="auto"/>
        </w:rPr>
      </w:pPr>
      <w:r>
        <w:rPr>
          <w:rFonts w:ascii="Arial" w:cs="Arial" w:eastAsia="Arial" w:hAnsi="Arial"/>
          <w:sz w:val="16"/>
          <w:szCs w:val="16"/>
          <w:color w:val="auto"/>
        </w:rPr>
        <w:t>We own 193.4 acres in Youngstown, Ohio, where Penn opened Hollywood Gaming at Mahoning Valley Race Course on September 17, 2014. The property includes a gaming facility, a one-mile thoroughbred racetrack and surface parking. This property is leased to Penn as part of the Penn Master Lease.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Resorts Casino Tunica</w:t>
      </w:r>
    </w:p>
    <w:p>
      <w:pPr>
        <w:spacing w:after="0" w:line="27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We lease 86.6 acres in Tunica, Mississippi, where the Resorts Casino Tunica is located. The property is located along the Mississippi River and includes a dockside casino, surface parking, a 201-room hotel and other land-based facilities. This property is leased to Penn as part of the Penn Master Lease.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1st Jackpot Casino</w:t>
      </w:r>
    </w:p>
    <w:p>
      <w:pPr>
        <w:spacing w:after="0" w:line="144"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We own 52.9 acres of wetlands and lease an additional 93.8 acres in Tunica, Mississippi located approximately 30 miles from downtown Memphis, Tennessee. The property is located along the Mississippi River and includes a dockside casino, surface parking and other land-based facilities. This property is leased to Penn as part of the Penn Master Lease.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Ameristar Black Hawk</w:t>
      </w:r>
    </w:p>
    <w:p>
      <w:pPr>
        <w:spacing w:after="0" w:line="18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own 104.1 acres in Black Hawk, Colorado which includes a casino and a 535 room hotel. The casino property sits on approximately 6 acres and the remaining 98 acres, which are located across the street from the casino, are used mainly for overflow parking, administrative offices and a warehouse. This property is leased to Penn as part of the Amended Pinnacle Master Lease.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Ameristar East Chicago</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lease 21.6 acres in East Chicago, Indiana located approximately 25 miles from downtown Chicago, Illinois. The property includes a dockside riverboat casino and a 288 room hotel. This property is leased to Penn as part of the Amended Pinnacle Master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Ameristar Council Bluffs</w:t>
      </w:r>
    </w:p>
    <w:p>
      <w:pPr>
        <w:spacing w:after="0" w:line="225"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We own 36.2 acres and lease an additional 22.6 acres in Council Bluffs, Iowa. The property is located across the Missouri River from Omaha, Nebraska. The property includes a dockside casino and a 160 room hotel. This property is leased to Penn as part of the Amended Pinnacle Master Lease.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 Auberge Baton Rouge</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own 99.1 acres in Baton Rouge, Louisiana. The property includes a dockside casino and a 205 room hotel and is located approximately 10 miles south of downtown Baton Rouge. This property is leased to Penn as part of the Amended Pinnacle Master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Boomtown Bossier City</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own 21.8 acres on the banks of the Red River in Bossier City, Louisiana. The property features a 187 room hotel adjoining a dockside riverboat casino. This property is leased to Penn as part of the Amended Pinnacle Master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L’Auberge Lake Charles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lease 234.5 acres in Lake Charles, Louisiana. The property includes a dockside casino and a 995 room hotel and is one of the closest full-scale casino-hotel facilities to Houston, Texas. This property is leased to Penn as part of the Amended Pinnacle Master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Boomtown New Orleans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own 53.6 acres in Harvey, Louisiana. The property includes a dockside riverboat casino and a 150 room hotel. This property is leased to Penn as part of the Amended Pinnacle Master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Ameristar Vicksburg</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own 74.1 acres in Vicksburg, Mississippi. The property includes a dockside riverboat casino and a 148 room hotel. Also located on the property is a recreational vehicle park and buildings which are used for warehousing and support services. This property is leased to Penn as part of the Amended Pinnacle Master Lease.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River City Casino and Hotel</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lease 83.4 acres in St. Louis County Missouri approximately 12 miles south of downtown St. Louis. The property includes a dockside casino and a 200 room hotel. This property is leased to Penn as part of the Amended Pinnacle Master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Jackpot Properties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own 79.5 acres in Jackpot, Nevada, encompassing Cactus Petes and The Horseshu. In addition to these two casinos, the property includes a 416 room hotel and a recreational vehicle park. These two properties sit directly across from each other with Highway 93 separating them. These properties are leased to Penn as part of the Amended Pinnacle Master Lease.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Plainridge Park Casino</w:t>
      </w:r>
    </w:p>
    <w:p>
      <w:pPr>
        <w:spacing w:after="0" w:line="22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We own 87.9 acres in Plainridge, Massachusetts. The property includes a gaming facility, live harness racing on a 5/8 mile track, 1,620 structured and surface parking spaces, a grandstand and a clubhouse. This property is leased to Penn as part of the Amended Pinnacle Master Lease.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Meadows Racetrack and Casino</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own 155.5 acres in Washington, Pennsylvania. The property includes a casino, an off-track wagering facility, a 24-lane bowling alley and a state-of-the-art 5/8- mile harness track with a 500-seat grandstand. This property is leased to Penn under the Meadows Lease.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Queen</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own 67.2 acres in East St. Louis, Illinois,. The property includes a casino, a 157-room hotel, a recreational vehicle park and surface parking areas.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property is leased to Casino Queen under the Casino Queen Lease.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Belterra Casino Resort</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own 167.1 acres and lease an additional 148.5 acres in Florence, Indiana. The property is located along the Ohio River and includes a dockside riverboat casino, an 18-hole golf course and a 608 room casino hotel, in addition to the 54 room Ogle Haus Inn. This property is leased to Boyd as part of the Boyd Master Lease.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Ameristar Kansas City</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own 224.5 acres in Kansas City, Missouri, along the north bank of the Missouri River and lease an additional 31.4 adjacent acres. The property includes a dockside casino and a 184 room hotel. This property is leased to Boyd as part of the Boyd Master Lease.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30" w:right="27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Ameristar St. Charles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own 241.2 acres in St. Charles, Missouri, along the west bank of the Missouri River. The property includes a dockside casino and a 397 room hotel. This property is leased to Boyd as part of the Boyd Master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Atlantic City</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own 18.3 acres in Atlantic City, New Jersey. The property includes a casino and 2,366 hotel rooms across five hotel towers. This property is leased to Eldorado as part of the Eldorado Master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Evansville</w:t>
      </w:r>
    </w:p>
    <w:p>
      <w:pPr>
        <w:spacing w:after="0" w:line="225"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We own 18.4 acres and lease another 10.2 acres along the banks of the Ohio river in Evansville, Indiana. The property includes a casino and two hotels with a combined 338 rooms along with a 1,660 vehicle attached parking garage. This property is leased to Eldorado as part of the Eldorado Master Lease.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Laughlin</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own 93.6 acres in Laughlin, Nevada. The property includes a casino and a 1,487 room hotel. This property is leased to Eldorado as part of the Eldorado Master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 Casino Greenville</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lease 7.4 acres in historic downtown Greenville, Mississippi. The property includes a riverboat and casino and a 40 room hotel. This property is leased to Eldorado as part of the Eldorado Master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Belle of Baton Rouge</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own 13.1 acres and lease another 0.8 acres in the downtown historic district of Baton Rouge, Louisiana. The property includes a dockside casino and a 288 room hotel. This property is leased to Eldorado as part of the Eldorado Master 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Mortgaged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Belterra Park Gaming and Entertainment Center</w:t>
      </w:r>
    </w:p>
    <w:p>
      <w:pPr>
        <w:spacing w:after="0" w:line="22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We hold the mortgage on this property which encompasses 160.0 acres on the banks of the Ohio River approximately 10 minutes from downtown Cincinnati, Ohio. The property includes a gaming facility and live thoroughbred racing on two tracks, a 7/8 mile turf track and a one mile dirt track.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Lumière Place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hold the mortgage on this property which encompasses 18.5 acres overlooking the Mississippi River in historic downtown St. Louis, Missouri.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property includes a casino and two hotels with a combined 494 rooms.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TRS Properties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Baton Rouge</w:t>
      </w:r>
    </w:p>
    <w:p>
      <w:pPr>
        <w:spacing w:after="0" w:line="27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Hollywood Casino Baton Rouge is a dockside riverboat casino operating in Baton Rouge, Louisiana. The riverboat features approximately 29,000 square feet of gaming space with 894 gaming machines and 12 table games and also features a deli. The facility also includes a two-story, 66,318 square foot dockside building featuring a variety of amenities, including a grill, a 268-seat buffet, a premium players' lounge, an event venue, a lobby bar, a public atrium, two meeting rooms and 1,407 surface parking spaces.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Perryville</w:t>
      </w:r>
    </w:p>
    <w:p>
      <w:pPr>
        <w:spacing w:after="0" w:line="279"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Hollywood Casino Perryville is located directly off Interstate 95 in Cecil County, Maryland just 35 miles northeast of Baltimore and 70 miles from Washington, D.C. Hollywood Casino Perryville is a Hollywood-themed facility which offers 34,329 square feet of gaming space with 822 slot machines, 14 table games, 8 poker tables and a simulcast race book. The</w:t>
      </w:r>
    </w:p>
    <w:p>
      <w:pPr>
        <w:sectPr>
          <w:pgSz w:w="11900" w:h="16838" w:orient="portrait"/>
          <w:cols w:equalWidth="0" w:num="1">
            <w:col w:w="11400"/>
          </w:cols>
          <w:pgMar w:left="240" w:top="130" w:right="25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130" w:right="259" w:bottom="1440" w:gutter="0" w:footer="0" w:header="0"/>
          <w:type w:val="continuous"/>
        </w:sectPr>
      </w:pPr>
    </w:p>
    <w:bookmarkStart w:id="13" w:name="page14"/>
    <w:bookmarkEnd w:id="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facility also offers several third-party operated food and beverage options, including a bar and grill, a casino bar, a gift shop and 1,600 surface parking spaces with valet and self-parking.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compete for additional real property investments with other REITs, investment companies, private equity and hedge fund investors, sovereign funds, lenders, gaming companies and other investors. Some of our competitors are significantly larger and have greater financial resources and lower costs of capital than we have. Furthermore, in April 2016, MGM Resorts International ("MGM") formed MGM Growth Properties, a separate publicly traded REIT, holding a substantial portion of the real estate assets associated with MGM's operations. Additionally, in October 2017, Caesars Entertainment Corporation emerged from bankruptcy and completed the spin-off of substantially all of its real estate assets to VICI Properties, a separate publicly traded REIT. Increased competition will make it more challenging to identify and successfully capitalize on acquisition opportunities that meet our investment objectives.</w:t>
      </w:r>
    </w:p>
    <w:p>
      <w:pPr>
        <w:spacing w:after="0" w:line="219" w:lineRule="exact"/>
        <w:rPr>
          <w:sz w:val="20"/>
          <w:szCs w:val="20"/>
          <w:color w:val="auto"/>
        </w:rPr>
      </w:pPr>
    </w:p>
    <w:p>
      <w:pPr>
        <w:ind w:right="100" w:firstLine="432"/>
        <w:spacing w:after="0" w:line="287" w:lineRule="auto"/>
        <w:rPr>
          <w:sz w:val="20"/>
          <w:szCs w:val="20"/>
          <w:color w:val="auto"/>
        </w:rPr>
      </w:pPr>
      <w:r>
        <w:rPr>
          <w:rFonts w:ascii="Arial" w:cs="Arial" w:eastAsia="Arial" w:hAnsi="Arial"/>
          <w:sz w:val="16"/>
          <w:szCs w:val="16"/>
          <w:color w:val="auto"/>
        </w:rPr>
        <w:t>In addition, revenues from our gaming properties are dependent on the ability of our gaming tenants and operators to compete with other gaming operators. The gaming industry is characterized by an increasingly high degree of competition among a large number of participants, including riverboat casinos, dockside casinos, land-based casinos, video lottery, sweepstakes and poker machines not located in casinos, Native American gaming, emerging varieties of internet gaming, sports betting and other forms of gaming in the U.S. In a broader sense, our gaming tenants and operators face competition from all manner of leisure and entertainment activities, including: shopping, athletic events, television and movies, concerts and travel. Legalized gaming is currently permitted in various forms throughout the U.S., in several Canadian provinces and on various lands taken into trust for the benefit of certain Native Americans in the U.S. and Canada. Other jurisdictions, including states adjacent to states in which our gaming tenants and operators are located have legalized, and may expand gaming in the near future. In addition, established gaming jurisdictions could award additional gaming licenses or permit the expansion or relocation of existing gaming operations. New, relocated or expanded operations by other persons will increase competition for our gaming tenants and operators and could have a material adverse impact on our gaming tenants and operators and us as landlord. Finally, the imposition of smoking bans and/or higher gaming tax rates have a significant impact on our gaming tenants' and operators' ability to compete with facilities in nearby jurisdictions.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83"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 xml:space="preserve">Consistent with how our Chief Operating Decision Maker (as such term is defined in ASC 280 - </w:t>
      </w:r>
      <w:r>
        <w:rPr>
          <w:rFonts w:ascii="Arial" w:cs="Arial" w:eastAsia="Arial" w:hAnsi="Arial"/>
          <w:sz w:val="17"/>
          <w:szCs w:val="17"/>
          <w:i w:val="1"/>
          <w:iCs w:val="1"/>
          <w:color w:val="auto"/>
        </w:rPr>
        <w:t>Segment Reporting</w:t>
      </w:r>
      <w:r>
        <w:rPr>
          <w:rFonts w:ascii="Arial" w:cs="Arial" w:eastAsia="Arial" w:hAnsi="Arial"/>
          <w:sz w:val="17"/>
          <w:szCs w:val="17"/>
          <w:color w:val="auto"/>
        </w:rPr>
        <w:t>) reviews and assesses our financial performance, we have two reportable segments, GLP Capital, L.P. (a wholly-owned subsidiary of GLPI through which GLPI owns substantially all of its real estate assets) ("GLP Capital") and the TRS Properties. The GLP Capital reportable segment consists of the leased real property and represents the majority of our business. The TRS Properties reportable segment consists of Hollywood Casino Perryville and Hollywood Casino Baton Rouge. See "Item 7— Management's Discussion and Analysis of Financial Condition and Results of Operations" and "Item 8—Financial Statements and Supplementary Data— Note 16—Segment Information" for further information with respect to the Company's segments.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Name</w:t>
            </w:r>
          </w:p>
        </w:tc>
        <w:tc>
          <w:tcPr>
            <w:tcW w:w="660" w:type="dxa"/>
            <w:vAlign w:val="bottom"/>
            <w:gridSpan w:val="2"/>
          </w:tcPr>
          <w:p>
            <w:pPr>
              <w:ind w:left="160"/>
              <w:spacing w:after="0"/>
              <w:rPr>
                <w:sz w:val="20"/>
                <w:szCs w:val="20"/>
                <w:color w:val="auto"/>
              </w:rPr>
            </w:pPr>
            <w:r>
              <w:rPr>
                <w:rFonts w:ascii="Arial" w:cs="Arial" w:eastAsia="Arial" w:hAnsi="Arial"/>
                <w:sz w:val="14"/>
                <w:szCs w:val="14"/>
                <w:b w:val="1"/>
                <w:bCs w:val="1"/>
                <w:color w:val="auto"/>
              </w:rPr>
              <w:t>Age</w:t>
            </w:r>
          </w:p>
        </w:tc>
        <w:tc>
          <w:tcPr>
            <w:tcW w:w="5140" w:type="dxa"/>
            <w:vAlign w:val="bottom"/>
          </w:tcPr>
          <w:p>
            <w:pPr>
              <w:ind w:left="2320"/>
              <w:spacing w:after="0"/>
              <w:rPr>
                <w:sz w:val="20"/>
                <w:szCs w:val="20"/>
                <w:color w:val="auto"/>
              </w:rPr>
            </w:pPr>
            <w:r>
              <w:rPr>
                <w:rFonts w:ascii="Arial" w:cs="Arial" w:eastAsia="Arial" w:hAnsi="Arial"/>
                <w:sz w:val="14"/>
                <w:szCs w:val="14"/>
                <w:b w:val="1"/>
                <w:bCs w:val="1"/>
                <w:color w:val="auto"/>
              </w:rPr>
              <w:t>Position</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Peter M. Carlino</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Chairman of the Board and Chief Executive Officer</w:t>
            </w:r>
          </w:p>
        </w:tc>
      </w:tr>
      <w:tr>
        <w:trPr>
          <w:trHeight w:val="229"/>
        </w:trPr>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Interim Chief Financial Officer and Senior Vice President of</w:t>
            </w:r>
          </w:p>
        </w:tc>
      </w:tr>
      <w:tr>
        <w:trPr>
          <w:trHeight w:val="230"/>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Steven T. Snyder</w:t>
            </w: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Corporate Development</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Brandon J. Moore</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Vice President, General Counsel and Secretary</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Desiree A. Burke</w:t>
            </w: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Senior Vice President and Chief Accounting Officer</w:t>
            </w:r>
          </w:p>
        </w:tc>
      </w:tr>
    </w:tbl>
    <w:p>
      <w:pPr>
        <w:spacing w:after="0" w:line="144" w:lineRule="exact"/>
        <w:rPr>
          <w:sz w:val="20"/>
          <w:szCs w:val="20"/>
          <w:color w:val="auto"/>
        </w:rPr>
      </w:pPr>
    </w:p>
    <w:p>
      <w:pPr>
        <w:ind w:right="20" w:firstLine="432"/>
        <w:spacing w:after="0" w:line="281" w:lineRule="auto"/>
        <w:rPr>
          <w:sz w:val="20"/>
          <w:szCs w:val="20"/>
          <w:color w:val="auto"/>
        </w:rPr>
      </w:pPr>
      <w:r>
        <w:rPr>
          <w:rFonts w:ascii="Arial" w:cs="Arial" w:eastAsia="Arial" w:hAnsi="Arial"/>
          <w:sz w:val="17"/>
          <w:szCs w:val="17"/>
          <w:b w:val="1"/>
          <w:bCs w:val="1"/>
          <w:color w:val="auto"/>
        </w:rPr>
        <w:t xml:space="preserve">Peter M. Carlino. </w:t>
      </w:r>
      <w:r>
        <w:rPr>
          <w:rFonts w:ascii="Arial" w:cs="Arial" w:eastAsia="Arial" w:hAnsi="Arial"/>
          <w:sz w:val="17"/>
          <w:szCs w:val="17"/>
          <w:color w:val="auto"/>
        </w:rPr>
        <w:t>Mr. Carlino is Chairman of our Board of Directors and Chief Executive Officer. Mr. Carlino joined the Company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Spin-Off on November 1, 2013. Prior to the Spin-Off, Mr. Carlino served as Penn's founder and Chief Executive Officer. He continues as Penn's non-executive Chairman of the Board of Directors. Since 1976, Mr. Carlino has been President of Carlino Capital Management Corp. (formerly known as Carlino Financial Corporation), a holding company that owns and operates various Carlino family investments.</w:t>
      </w:r>
    </w:p>
    <w:p>
      <w:pPr>
        <w:spacing w:after="0" w:line="219" w:lineRule="exact"/>
        <w:rPr>
          <w:sz w:val="20"/>
          <w:szCs w:val="20"/>
          <w:color w:val="auto"/>
        </w:rPr>
      </w:pPr>
    </w:p>
    <w:p>
      <w:pPr>
        <w:ind w:firstLine="432"/>
        <w:spacing w:after="0" w:line="277" w:lineRule="auto"/>
        <w:rPr>
          <w:sz w:val="20"/>
          <w:szCs w:val="20"/>
          <w:color w:val="auto"/>
        </w:rPr>
      </w:pPr>
      <w:r>
        <w:rPr>
          <w:rFonts w:ascii="Arial" w:cs="Arial" w:eastAsia="Arial" w:hAnsi="Arial"/>
          <w:sz w:val="17"/>
          <w:szCs w:val="17"/>
          <w:b w:val="1"/>
          <w:bCs w:val="1"/>
          <w:color w:val="auto"/>
        </w:rPr>
        <w:t xml:space="preserve">Steven T. Snyder. </w:t>
      </w:r>
      <w:r>
        <w:rPr>
          <w:rFonts w:ascii="Arial" w:cs="Arial" w:eastAsia="Arial" w:hAnsi="Arial"/>
          <w:sz w:val="17"/>
          <w:szCs w:val="17"/>
          <w:color w:val="auto"/>
        </w:rPr>
        <w:t>Mr. Snyder is our Interim Chief Financial Officer and our Senior Vice President of Corporate Development. Mr. Snyder joined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in connection with the Spin-Off on November 1, 2013. Prior to the Spin-Off, he served as Penn's Senior Vice President of Corporate Development from 2003 and was responsible for identifying and conducting internal and industry analysis of potential acquisitions, partnerships and other opportunities. He joined Penn as Vice President of Corporate Development in May 1998 and held that position until his appointment to Senior Vice President in 2003. Prior to joining Penn, Mr. Snyder was a partner with Hamilton Partners, Ltd. and previously served as Managing Director of</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Municipal and Corporate Investment Banking for Meridian Capital Markets. Mr. Snyder began his career in finance at Butcher &amp; Singer, where he served as First Vice President of Public Finance.</w:t>
      </w:r>
    </w:p>
    <w:p>
      <w:pPr>
        <w:spacing w:after="0" w:line="220" w:lineRule="exact"/>
        <w:rPr>
          <w:sz w:val="20"/>
          <w:szCs w:val="20"/>
          <w:color w:val="auto"/>
        </w:rPr>
      </w:pPr>
    </w:p>
    <w:p>
      <w:pPr>
        <w:ind w:right="340" w:firstLine="432"/>
        <w:spacing w:after="0" w:line="303" w:lineRule="auto"/>
        <w:rPr>
          <w:sz w:val="20"/>
          <w:szCs w:val="20"/>
          <w:color w:val="auto"/>
        </w:rPr>
      </w:pPr>
      <w:r>
        <w:rPr>
          <w:rFonts w:ascii="Arial" w:cs="Arial" w:eastAsia="Arial" w:hAnsi="Arial"/>
          <w:sz w:val="16"/>
          <w:szCs w:val="16"/>
          <w:b w:val="1"/>
          <w:bCs w:val="1"/>
          <w:color w:val="auto"/>
        </w:rPr>
        <w:t xml:space="preserve">Brandon J. Moore. </w:t>
      </w:r>
      <w:r>
        <w:rPr>
          <w:rFonts w:ascii="Arial" w:cs="Arial" w:eastAsia="Arial" w:hAnsi="Arial"/>
          <w:sz w:val="16"/>
          <w:szCs w:val="16"/>
          <w:color w:val="auto"/>
        </w:rPr>
        <w:t>Mr. Moore is our Senior Vice President, General Counsel and Secretary. Mr. Moore joined the Company in January 2014.</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Previously, he served as Penn's Vice President, Senior Corporate Counsel from March 2010 where he was a member of the legal team responsible for a variety of transactional, regulatory and general legal matters. Prior to joining Penn, Mr. Moore was with Ballard Spahr LLP, where he provided advanced legal counsel to clients on matters including merger and acquisition transactions, debt and equity financings, and various other matters.</w:t>
      </w:r>
    </w:p>
    <w:p>
      <w:pPr>
        <w:spacing w:after="0" w:line="205" w:lineRule="exact"/>
        <w:rPr>
          <w:sz w:val="20"/>
          <w:szCs w:val="20"/>
          <w:color w:val="auto"/>
        </w:rPr>
      </w:pPr>
    </w:p>
    <w:p>
      <w:pPr>
        <w:ind w:right="160" w:firstLine="432"/>
        <w:spacing w:after="0" w:line="258" w:lineRule="auto"/>
        <w:rPr>
          <w:sz w:val="20"/>
          <w:szCs w:val="20"/>
          <w:color w:val="auto"/>
        </w:rPr>
      </w:pPr>
      <w:r>
        <w:rPr>
          <w:rFonts w:ascii="Arial" w:cs="Arial" w:eastAsia="Arial" w:hAnsi="Arial"/>
          <w:sz w:val="18"/>
          <w:szCs w:val="18"/>
          <w:b w:val="1"/>
          <w:bCs w:val="1"/>
          <w:color w:val="auto"/>
        </w:rPr>
        <w:t xml:space="preserve">Desiree A. Burke. </w:t>
      </w:r>
      <w:r>
        <w:rPr>
          <w:rFonts w:ascii="Arial" w:cs="Arial" w:eastAsia="Arial" w:hAnsi="Arial"/>
          <w:sz w:val="18"/>
          <w:szCs w:val="18"/>
          <w:color w:val="auto"/>
        </w:rPr>
        <w:t>Ms. Burke joined the Company in April 2014 as our Senior Vice President and Chief Accounting Officer. Previously, Ms. Burke</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Penn's Vice President and Chief Accounting Officer from November 2009. Additionally, she served as Penn's Vice President and Corporate Controller from November 2005 to October 2009. Prior to her time at Penn National Gaming, Inc., Ms. Burke was the Executive Vice President/Director of Financial Reporting and Control for MBNA America Bank, N.A. She joined MBNA in 1994 and held positions of ascending responsibility in the finance department during her tenure. Ms. Burke is a CPA.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Considerations</w:t>
      </w:r>
    </w:p>
    <w:p>
      <w:pPr>
        <w:spacing w:after="0" w:line="283"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elected to be treated as a REIT on our 2014 U.S. federal income tax return and we, together with an indirect wholly-owned subsidiary of the Company, GLP Holdings, Inc., jointly elected to treat each of GLP Holdings, Inc., Louisiana Casino Cruises, Inc. and Penn Cecil Maryland, Inc. as a "taxable REIT subsidiary" effective on the first day of the first taxable year of GLPI as a REIT. We intend to continue to be organized and to operate in a manner that will permit us to qualify as a REIT. Qualification and taxation as a REIT depends on our ability to meet on a continuing basis, through actual operating results, distribution levels, and diversity of stock ownership, various qualification requirements imposed upon REITs by the Code. Our ability to qualify to be taxed as a REIT also requires that we satisfy certain tests, some of which depend upon the fair market values of assets that we own directly or indirectly. The material qualification requirements are summarized below. Such values may not be susceptible to a precise determination. Accordingly, no assurance can be given that the actual results of our operations for any taxable year will satisfy such requirements for qualification and taxation as a REIT. Additionally, while we intend to operate so that we continue to qualify to be taxed as a REIT, no assurance can be given that the Internal Revenue Service (the "IRS") will not challenge our qualification, or that we will be able to operate in accordance with the REIT requirements in the future.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REITs in General</w:t>
      </w:r>
    </w:p>
    <w:p>
      <w:pPr>
        <w:spacing w:after="0" w:line="279"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As a REIT, generally we will be entitled to a deduction for dividends that we pay and therefore will not be subject to U.S. federal corporate income tax on our net REIT taxable income that is currently distributed to our shareholders. This treatment substantially eliminates the "double taxation" at the corporate and shareholder levels that generally results from an investment in a C corporation. A "C corporation" is a corporation that generally is required to pay tax at the corporate level. Double taxation means taxation once at the corporate level when income is earned and once again at the shareholder level when the income is distributed. In general, the income that we generate is taxed only at the shareholder level upon a distribution of dividends to our shareholders. We will nonetheless be subject to U.S. federal tax in the following circumstances:</w:t>
      </w:r>
    </w:p>
    <w:p>
      <w:pPr>
        <w:spacing w:after="0" w:line="97" w:lineRule="exact"/>
        <w:rPr>
          <w:sz w:val="20"/>
          <w:szCs w:val="20"/>
          <w:color w:val="auto"/>
        </w:rPr>
      </w:pPr>
    </w:p>
    <w:p>
      <w:pPr>
        <w:ind w:left="820" w:hanging="488"/>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be taxed at regular corporate rates on any undistributed net taxable income, including undistributed net capital gains.</w:t>
      </w:r>
    </w:p>
    <w:p>
      <w:pPr>
        <w:spacing w:after="0" w:line="225" w:lineRule="exact"/>
        <w:rPr>
          <w:rFonts w:ascii="Arial" w:cs="Arial" w:eastAsia="Arial" w:hAnsi="Arial"/>
          <w:sz w:val="18"/>
          <w:szCs w:val="18"/>
          <w:color w:val="auto"/>
        </w:rPr>
      </w:pPr>
    </w:p>
    <w:p>
      <w:pPr>
        <w:ind w:left="820" w:right="240" w:hanging="488"/>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tax years that began prior to January 1, 2018, we may be subject to the "alternative minimum tax" on our items of tax preference, including any deductions of net operating losses.</w:t>
      </w:r>
    </w:p>
    <w:p>
      <w:pPr>
        <w:spacing w:after="0" w:line="170" w:lineRule="exact"/>
        <w:rPr>
          <w:rFonts w:ascii="Arial" w:cs="Arial" w:eastAsia="Arial" w:hAnsi="Arial"/>
          <w:sz w:val="18"/>
          <w:szCs w:val="18"/>
          <w:color w:val="auto"/>
        </w:rPr>
      </w:pPr>
    </w:p>
    <w:p>
      <w:pPr>
        <w:ind w:left="820" w:right="220" w:hanging="488"/>
        <w:spacing w:after="0" w:line="342" w:lineRule="auto"/>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have net income from prohibited transactions, which are, in general, sales or other dispositions of inventory or property held primarily for sale to customers in the ordinary course of business, other than foreclosure property, such income will be subject to a 100% tax.</w:t>
      </w:r>
    </w:p>
    <w:p>
      <w:pPr>
        <w:spacing w:after="0" w:line="123" w:lineRule="exact"/>
        <w:rPr>
          <w:rFonts w:ascii="Arial" w:cs="Arial" w:eastAsia="Arial" w:hAnsi="Arial"/>
          <w:sz w:val="16"/>
          <w:szCs w:val="16"/>
          <w:color w:val="auto"/>
        </w:rPr>
      </w:pPr>
    </w:p>
    <w:p>
      <w:pPr>
        <w:ind w:left="820" w:right="160" w:hanging="488"/>
        <w:spacing w:after="0" w:line="259"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elect to treat property that we acquire in connection with a foreclosure of a mortgage loan or certain leasehold terminations as "foreclosure property," we may thereby avoid the 100% tax on gain from a resale of that property (if the sale would otherwise constitute a prohibited transaction), but the income from the sale or operation of the property may be subject to corporate income tax at the highest applicable rate (currently 21%).</w:t>
      </w:r>
    </w:p>
    <w:p>
      <w:pPr>
        <w:spacing w:after="0" w:line="186" w:lineRule="exact"/>
        <w:rPr>
          <w:rFonts w:ascii="Arial" w:cs="Arial" w:eastAsia="Arial" w:hAnsi="Arial"/>
          <w:sz w:val="18"/>
          <w:szCs w:val="18"/>
          <w:color w:val="auto"/>
        </w:rPr>
      </w:pPr>
    </w:p>
    <w:p>
      <w:pPr>
        <w:ind w:left="820" w:hanging="488"/>
        <w:spacing w:after="0" w:line="264"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fail to satisfy the 75% gross income test and/or the 95% gross income test, as discussed below, but nonetheless maintain our qualification as a REIT because we satisfy other requirements, we will be subject to a 100% tax on an amount based on the magnitude of the failure, as adjusted to reflect the profit margin associated with our gross income.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30" w:right="27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820" w:right="80" w:hanging="488"/>
        <w:spacing w:after="0" w:line="25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violate the asset tests (other than certain de minimis violations) or other requirements applicable to REITs, as described below, and yet maintain our qualification as a REIT because there is reasonable cause for the failure and other applicable requirements are met, we may be subject to a penalty tax. In that case, the amount of the penalty tax will be at least $50,000 per failure, and, in the case of certain asset test failures, will be determined as the amount of net income generated by the nonqualifying assets in question multiplied by the highest corporate tax rate (currently 21%) if that amount exceeds $50,000 per failure.</w:t>
      </w:r>
    </w:p>
    <w:p>
      <w:pPr>
        <w:spacing w:after="0" w:line="188" w:lineRule="exact"/>
        <w:rPr>
          <w:rFonts w:ascii="Arial" w:cs="Arial" w:eastAsia="Arial" w:hAnsi="Arial"/>
          <w:sz w:val="18"/>
          <w:szCs w:val="18"/>
          <w:color w:val="auto"/>
        </w:rPr>
      </w:pPr>
    </w:p>
    <w:p>
      <w:pPr>
        <w:ind w:left="820" w:hanging="488"/>
        <w:spacing w:after="0" w:line="259"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distribute during each calendar year at least the sum of (i) 85% of our ordinary income for such year, (ii) 95% of our capital gain net income for such year and (iii) any undistributed net taxable income from prior periods, we will be subject to a nondeductible 4% excise tax on the excess of the required distribution over the sum of (a) the amounts that we actually distributed and (b) the amounts we retained and upon which we paid income tax at the corporate level.</w:t>
      </w:r>
    </w:p>
    <w:p>
      <w:pPr>
        <w:spacing w:after="0" w:line="186" w:lineRule="exact"/>
        <w:rPr>
          <w:rFonts w:ascii="Arial" w:cs="Arial" w:eastAsia="Arial" w:hAnsi="Arial"/>
          <w:sz w:val="18"/>
          <w:szCs w:val="18"/>
          <w:color w:val="auto"/>
        </w:rPr>
      </w:pPr>
    </w:p>
    <w:p>
      <w:pPr>
        <w:ind w:left="820" w:right="520" w:hanging="488"/>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rules relating to the composition of a REIT's shareholders.</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100% tax may be imposed on transactions between us and a TRS that do not reflect arm's-length terms.</w:t>
      </w:r>
    </w:p>
    <w:p>
      <w:pPr>
        <w:spacing w:after="0" w:line="225" w:lineRule="exact"/>
        <w:rPr>
          <w:rFonts w:ascii="Arial" w:cs="Arial" w:eastAsia="Arial" w:hAnsi="Arial"/>
          <w:sz w:val="18"/>
          <w:szCs w:val="18"/>
          <w:color w:val="auto"/>
        </w:rPr>
      </w:pPr>
    </w:p>
    <w:p>
      <w:pPr>
        <w:ind w:left="820" w:right="20" w:hanging="488"/>
        <w:spacing w:after="0" w:line="254"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acquire appreciated assets from a corporation that is not a REIT (i.e., a corporation taxable under subchapter C of the Code) in a transaction in which the adjusted tax basis of the assets in our hands is determined by reference to the adjusted tax basis of the assets in the hands of the subchapter C corporation, we may be subject to tax on such appreciation at the highest corporate income tax rate then applicable if we subsequently recognize gain on a disposition of any such assets during the five-year period following their acquisition from the subchapter C corporation. (Notwithstanding the “Supplement to Certain United States Federal Income Tax Considerations” section of our Prospectus Supplement dated August 9, 2016, to our Prospectus dated March 28, 2016, final regulations were issued by the U.S. Department of the Treasury (the “Treasury”) on January 17, 2017, confirming that the recognition period during which this tax could apply is a 5-year period and not a 10-year period.)</w:t>
      </w:r>
    </w:p>
    <w:p>
      <w:pPr>
        <w:spacing w:after="0" w:line="192" w:lineRule="exact"/>
        <w:rPr>
          <w:rFonts w:ascii="Arial" w:cs="Arial" w:eastAsia="Arial" w:hAnsi="Arial"/>
          <w:sz w:val="18"/>
          <w:szCs w:val="18"/>
          <w:color w:val="auto"/>
        </w:rPr>
      </w:pPr>
    </w:p>
    <w:p>
      <w:pPr>
        <w:ind w:left="820" w:hanging="488"/>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earnings of our TRS Properties will generally be subject to U.S. federal corporate income tax.</w:t>
      </w:r>
    </w:p>
    <w:p>
      <w:pPr>
        <w:spacing w:after="0" w:line="144"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color w:val="auto"/>
        </w:rPr>
        <w:t>In addition, we and our subsidiaries may be subject to a variety of taxes, including payroll taxes and state, local, and foreign income, property, gross receipts and other taxes on our assets and operations. We could also be subject to tax in situations and on transactions not presently contemplated.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Requirements for Qualification—General</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Code defines a REIT as a corporation, trust or association:</w:t>
      </w:r>
    </w:p>
    <w:p>
      <w:pPr>
        <w:spacing w:after="0" w:line="279" w:lineRule="exact"/>
        <w:rPr>
          <w:sz w:val="20"/>
          <w:szCs w:val="20"/>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is managed by one or more trustees or directors;</w:t>
      </w:r>
    </w:p>
    <w:p>
      <w:pPr>
        <w:spacing w:after="0" w:line="144"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beneficial ownership of which is evidenced by transferable shares, or by transferable certificates of beneficial interest;</w:t>
      </w:r>
    </w:p>
    <w:p>
      <w:pPr>
        <w:spacing w:after="0" w:line="144"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would be taxable as a domestic corporation but for its election to be subject to tax as a REIT;</w:t>
      </w:r>
    </w:p>
    <w:p>
      <w:pPr>
        <w:spacing w:after="0" w:line="144"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is neither a financial institution nor an insurance company subject to specific provisions of the Code;</w:t>
      </w:r>
    </w:p>
    <w:p>
      <w:pPr>
        <w:spacing w:after="0" w:line="144"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beneficial ownership of which is held by 100 or more persons;</w:t>
      </w:r>
    </w:p>
    <w:p>
      <w:pPr>
        <w:spacing w:after="0" w:line="144" w:lineRule="exact"/>
        <w:rPr>
          <w:rFonts w:ascii="Arial" w:cs="Arial" w:eastAsia="Arial" w:hAnsi="Arial"/>
          <w:sz w:val="18"/>
          <w:szCs w:val="18"/>
          <w:color w:val="auto"/>
        </w:rPr>
      </w:pPr>
    </w:p>
    <w:p>
      <w:pPr>
        <w:ind w:left="820" w:right="160" w:hanging="488"/>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which, during the last half of each taxable year, not more than 50% in value of the outstanding stock is owned, directly or indirectly, by five or fewer "individuals" (as defined in the Code to include specified tax-exempt entities); and</w:t>
      </w:r>
    </w:p>
    <w:p>
      <w:pPr>
        <w:spacing w:after="0" w:line="89"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meets other tests described below, including with respect to the nature of its income and assets.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Code provides that conditions (1) through (4) must be met during the entire taxable year, and that condition (5) must be met during at least</w:t>
      </w:r>
    </w:p>
    <w:p>
      <w:pPr>
        <w:spacing w:after="0" w:line="35"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335 days of a taxable year of 12 months, or during a proportionate part of a shorter taxable year. Conditions (5) and (6) need not be met during a corporation's initial tax year as a REIT (which, in our case, was 2014). Our charter provides restrictions regarding the ownership and transfers of our stock, which are intended to assist us in satisfying the stock ownership requirements described in conditions (5) and (6) above. These restrictions, however, may not ensure that we will, in all cases, be able to satisfy the share ownership requirements described in conditions (5) and (6) above. If we fail to</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satisfy these share ownership requirements, except as provided in the next sentence, our status as a REIT will terminate. If, however, we comply with the rules contained in the applicable Treasury regulations that require us to ascertain the actual ownership of our shares and we do not know, or would not have known through the exercise of reasonable diligence, that we failed to meet the requirements described in condition (6) above, we will be treated as having met this requirement.</w:t>
      </w:r>
    </w:p>
    <w:p>
      <w:pPr>
        <w:spacing w:after="0" w:line="241"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To monitor compliance with the stock ownership requirements, we generally are required to maintain records regarding the actual ownership of our stock. To do so, we must demand written statements each year from the record holders of significant percentages of our stock pursuant to which the record holders must disclose the actual owners of the stock (i.e., the persons required to include our dividends in their gross income). We must maintain a list of those persons failing or refusing to comply with this demand as part of our records. We could be subject to monetary penalties if we fail to comply with these record-keeping requirements. If, upon request by the Company, a shareholder fails or refuses to comply with the demands, such holder will be required by Treasury regulations to submit a statement with his, her or its tax return disclosing the actual ownership of our stock and other information.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Qualified REIT Subsidiaries</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Code provides that a corporation that is a "qualified REIT subsidiary" shall not be treated as a separate corporation, and all assets, liabilities and items of income, deduction and credit of a "qualified REIT subsidiary" shall be treated as assets, liabilities and items of income, deduction and credit of the REIT. A "qualified REIT subsidiary" is a corporation, all of the capital stock of which is owned by the REIT, that has not elected to be a "taxable REIT subsidiary" (discussed below). In applying the requirements described herein, all of our "qualified REIT subsidiaries" will be ignored, and all assets, liabilities and items of income, deduction and credit of such subsidiaries will be treated as our assets, liabilities and items of income, deduction and credit. These subsidiaries, therefore, will not be subject to federal corporate income taxation, although they may be subject to state and local taxation.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Taxable REIT Subsidiaries</w:t>
      </w:r>
    </w:p>
    <w:p>
      <w:pPr>
        <w:spacing w:after="0" w:line="279"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general, we may jointly elect with a subsidiary corporation, whether or not wholly-owned, to treat such subsidiary corporation as a TRS. We generally may not own more than 10% of the securities of a taxable corporation, as measured by voting power or value, unless we and such corporation elect to treat such corporation as a TRS. The separate existence of a TRS is not ignored for U.S. federal income tax purposes. Accordingly, a TRS generally is subject to corporate income tax on its earnings, which may reduce the cash flow that we and our subsidiaries generate in the aggregate and may reduce our ability to make distributions to our shareholders.</w:t>
      </w:r>
    </w:p>
    <w:p>
      <w:pPr>
        <w:spacing w:after="0" w:line="242"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are not treated as holding the assets of a TRS or as receiving any income that the subsidiary earns. Rather, the stock issued by the TRS to us is an asset in our hands, and we treat the dividends paid to us, if any, as income. This treatment can affect our income and asset test calculations, as described below. Because we do not include the assets and income of TRSs on a look-through basis in determining our compliance with the REIT requirements, we may use such entities to undertake indirectly activities that the REIT rules might otherwise preclude us from doing directly or through pass-through subsidiaries. For example, we may use a TRS to perform services or conduct activities that give rise to certain categories of income or to conduct activities that, if conducted by us directly, would be treated in our hands as prohibited transactions.</w:t>
      </w:r>
    </w:p>
    <w:p>
      <w:pPr>
        <w:spacing w:after="0" w:line="233"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TRS rules impose a 100% excise tax on transactions between a TRS and its parent REIT or the REIT's tenants that are not conducted on an arm's-length basis. We intend that all of our transactions with our TRS, if any, will be conducted on an arm's-length basis.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Tests</w:t>
      </w:r>
    </w:p>
    <w:p>
      <w:pPr>
        <w:spacing w:after="0" w:line="279"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As a REIT, we must satisfy two gross income requirements on an annual basis. First, at least 75% of our gross income for each taxable year, excluding gross income from sales of inventory or dealer property in "prohibited transactions," discharge of indebtedness and certain hedging transactions, generally must be derived from "rents from real property," gains from the sale of real estate assets (but not including certain debt instruments of publicly offered REITs that are not secured by mortgages on real property), interest income derived from mortgage loans secured by real property (including certain types of mortgage-backed securities), dividends received from other REITs, and specified income from temporary investments. Second, at least 95% of our gross income in each taxable year, excluding gross income from prohibited transactions, discharge of indebtedness and certain hedging transactions, must be derived from some combination of income that qualifies under the 75% gross income test described above, as well as other dividends, interest, and gain from the sale or disposition of stock or securities, which need not have any relation to real property. Income and gain from certain hedging transactions will be excluded from both the numerator and the denominator for purposes of both the 75% and 95% gross income tests.</w:t>
      </w:r>
    </w:p>
    <w:p>
      <w:pPr>
        <w:spacing w:after="0" w:line="86"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Rents received by a REIT will qualify as "rents from real property" in satisfying the gross income requirements described above only if several conditions are met.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left="660" w:right="8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of rent must not be based in whole or in part on the income or profits of any person. However, an amount received or accrued generally will not be excluded from the term "rents from real property" solely by reason of being based on a fixed percentage or percentages of gross receipts or sales.</w:t>
      </w:r>
    </w:p>
    <w:p>
      <w:pPr>
        <w:spacing w:after="0" w:line="181"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Rents received from a tenant will not qualify as "rents from real property" in satisfying the gross income tests if the REIT, or a direct or indirect owner of 10% or more of the REIT, directly or constructively, owns 10% or more of such tenant (a "Related Party Tenant"). However, rental payments from a taxable REIT subsidiary will qualify as rents from real property even if we own more than 10% of the total value or combined voting power of the taxable REIT subsidiary if (i) at least 90% of the property is leased to unrelated tenants and the rent paid by the taxable REIT subsidiary is substantially comparable to the rent paid by the unrelated tenants for comparable space or (ii) the property leased is a “qualified lodging facility,” as defined in Section 856(d)(9)(D) of the Code, or a “qualified health care property,” as defined in Section 856(e)(6)(D)(i) of the Code, and certain other conditions are satisfied.</w:t>
      </w:r>
    </w:p>
    <w:p>
      <w:pPr>
        <w:spacing w:after="0" w:line="189"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Rent attributable to personal property leased in connection with a lease of real property will not qualify as "rents from real property" if such rent exceeds 15% of the total rent received under the lease.</w:t>
      </w:r>
    </w:p>
    <w:p>
      <w:pPr>
        <w:spacing w:after="0" w:line="170" w:lineRule="exact"/>
        <w:rPr>
          <w:rFonts w:ascii="Arial" w:cs="Arial" w:eastAsia="Arial" w:hAnsi="Arial"/>
          <w:sz w:val="18"/>
          <w:szCs w:val="18"/>
          <w:color w:val="auto"/>
        </w:rPr>
      </w:pPr>
    </w:p>
    <w:p>
      <w:pPr>
        <w:ind w:left="660" w:right="100" w:hanging="328"/>
        <w:spacing w:after="0" w:line="270"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REIT generally must not operate or manage the property or furnish or render services to tenants, except through an "independent contractor" who is adequately compensated and from whom the REIT derives no income, or through a taxable REIT subsidiary. The "independent contractor" requirement, however, does not apply to the extent the services provided by the REIT are "usually or customarily rendered" in connection with the rental of space for occupancy only, and are not otherwise considered "rendered to the occupant." In addition, a de minimis rule applies with respect to non-customary services. Specifically, if the value of the non-customary service income with respect to a property (valued at no less than 150% of the direct costs of performing such services) is 1% or less of the total income derived from the property, then all rental income except the non-customary service income will qualify as "rents from real property." A taxable REIT subsidiary may provide services (including noncustomary services) to a REIT’s tenants without "tainting" any of the rental income received by the REIT, and will be able to manage or operate properties for third parties and generally engage in other activities unrelated to real estate.</w:t>
      </w:r>
    </w:p>
    <w:p>
      <w:pPr>
        <w:spacing w:after="0" w:line="182"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We do not anticipate receiving rent that is based in whole or in part on the income or profits of any person (except by reason of being based on a fixed percentage or percentages of gross receipts or sales consistent with the rules described above). Our former parent, Penn, received a private letter ruling from the IRS that concluded certain rental formulas under the Penn Master Lease will not cause any amounts received under the Penn Master Lease to be treated as other than rents from real property. While we do not expect to seek similar rulings for additional leases we enter into that have substantially similar terms as the Penn Master Lease, we intend to treat amounts received under those leases consistent with the conclusions in the ruling, though there can be no assurance that the IRS will not challenge such treatment. We also do not anticipate receiving more than a de minimis amount of rents from any Related Party Tenant or rents attributable to personal property leased in connection with real property that will exceed 15% of the total rents received with respect to such real property. We may receive certain types of income that will not qualify under the 75% or 95% gross income tests. In particular, dividends received from a taxable REIT subsidiary will not qualify under the 75% test. We believe, however, that the aggregate amount of such items and other non-qualifying income in any taxable year will not cause GLPI to exceed the limits on non-qualifying income under either the 75% or 95% gross income tests.</w:t>
      </w:r>
    </w:p>
    <w:p>
      <w:pPr>
        <w:spacing w:after="0" w:line="88"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We may directly or indirectly receive distributions from TRSs or other corporations that are not REITs or qualified REIT subsidiaries. These distributions generally are treated as dividend income to the extent of the earnings and profits of the distributing corporation. Such distributions will generally constitute qualifying income for purposes of the 95% gross income test, but not for purposes of the 75% gross income test. Any dividends that we receive from another REIT or qualified REIT subsidiary, however, will be qualifying income for purposes of both the 95% and 75% gross income tests.</w:t>
      </w:r>
    </w:p>
    <w:p>
      <w:pPr>
        <w:spacing w:after="0" w:line="208" w:lineRule="exact"/>
        <w:rPr>
          <w:sz w:val="20"/>
          <w:szCs w:val="20"/>
          <w:color w:val="auto"/>
        </w:rPr>
      </w:pPr>
    </w:p>
    <w:p>
      <w:pPr>
        <w:jc w:val="both"/>
        <w:ind w:right="80" w:firstLine="432"/>
        <w:spacing w:after="0" w:line="288" w:lineRule="auto"/>
        <w:rPr>
          <w:sz w:val="20"/>
          <w:szCs w:val="20"/>
          <w:color w:val="auto"/>
        </w:rPr>
      </w:pPr>
      <w:r>
        <w:rPr>
          <w:rFonts w:ascii="Arial" w:cs="Arial" w:eastAsia="Arial" w:hAnsi="Arial"/>
          <w:sz w:val="16"/>
          <w:szCs w:val="16"/>
          <w:color w:val="auto"/>
        </w:rPr>
        <w:t>We believe that we have and will continue to be in compliance with these gross income tests. If we fail to satisfy one or both of the 75% or 95% gross income tests for any taxable year, we may still qualify to be taxed as a REIT for such year if we are entitled to relief under applicable provisions of the Code. These relief provisions will be generally available if (i) our failure to meet these tests was due to reasonable cause and not due to willful neglect and</w:t>
      </w:r>
    </w:p>
    <w:p>
      <w:pPr>
        <w:ind w:right="180" w:firstLine="8"/>
        <w:spacing w:after="0" w:line="271" w:lineRule="auto"/>
        <w:tabs>
          <w:tab w:leader="none" w:pos="265"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following our identification of the failure to meet the 75% or 95% gross income test for any taxable year, we file a schedule with the IRS setting forth each item of our gross income for purposes of the 75% or 95% gross income test for such taxable year in accordance with Treasury regulations. It is not possible to state whether we would be entitled to the benefit of these relief provisions in all circumstances. If these relief provisions are inapplicable to a particular set of circumstances, we will not qualify to be taxed as a REIT. Even if these relief provisions apply, and we retain our status as a REIT, the Code imposes a tax based upon the amount by which we fail to satisfy the particular gross income test.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Tests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30" w:right="25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At the close of each calendar quarter, we must also satisfy five tests relating to the nature of our assets. First, at least 75% of the value of our total assets must be represented by some combination of "real estate assets," cash, cash items, U.S. government securities, and, under some circumstances, stock or debt instruments purchased with new capital. For this purpose, real estate assets include interests in real property (such as land, buildings, leasehold interest in real property and, for taxable years that began or after January 1, 2016, personal property leased with real property if the rents attributable to the personal property would be rents from real property under the income tests discussed above), interests in mortgages on real property or on interests in real property, shares in other qualifying REITs, and stock or debt instruments held for less than one year purchased with the proceeds from an offering of shares of our stock or certain debt and, for tax years that began on or after January 1, 2016, debt instruments issued by publicly offered REITs. Assets that do not qualify for purposes of the 75% asset test are subject to the additional asset tests described below.</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Second, the value of any one issuer's securities that we own may not exceed 5% of the value of our total assets.</w:t>
      </w:r>
    </w:p>
    <w:p>
      <w:pPr>
        <w:spacing w:after="0" w:line="279"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Third, we may not own more than 10% of any one issuer's outstanding securities, as measured by either voting power or value. The 5% and 10% asset tests do not apply to securities of TRSs and qualified REIT subsidiaries and the 10% asset test does not apply to "straight debt" having specified characteristics and to certain other securities described below. Solely for purposes of the 10% asset test, the determination of our interest in the assets of a partnership or limited liability company in which we own an interest will be based on our proportionate interest in any securities issued by the partnership or limited liability company, excluding for this purpose certain securities described in the Code. The safe harbor under which certain types of securities are disregarded for purposes of the 10% value limitation includes (1) straight debt securities (including straight debt securities that provides for certain contingent payments); (2) any loan to an individual or an estate; (3) any rental agreement described in Section 467 of the Code, other than with a "related person"; (4) any obligation to pay rents from real property; (5) certain securities issued by a State or any political subdivision thereof, or the Commonwealth of Puerto Rico; (6) any security issued by a REIT; and (7) any other arrangement that, as determined by the Secretary of the Treasury, is excepted from the definition of a security. In addition, for purposes of applying the 10% value limitation, (a) a REIT’s interest as a partner in a partnership is not considered a security; (b) any debt instrument issued by a partnership is not treated as a security if at least 75% of the partnership’s gross income is from sources that would qualify for the 75% REIT gross income test; and (c) any debt instrument issued by a partnership is not treated as a security to the extent of the REIT’s interest as a partner in the partnership.</w:t>
      </w:r>
    </w:p>
    <w:p>
      <w:pPr>
        <w:spacing w:after="0" w:line="242"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Fourth, the aggregate value of all securities of TRSs that we hold, together with other non-qualified assets (such as furniture and equipment or other tangible personal property, or non-real estate securities) may not, in the aggregate, exceed 25% of the value of our total assets. Beginning after December 31, 2017, the aggregate value of all securities of the TRSs that we hold may not exceed 20% of our total assets.</w:t>
      </w:r>
    </w:p>
    <w:p>
      <w:pPr>
        <w:spacing w:after="0" w:line="220"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Fifth, not more than 25% of the value of our gross assets may be represented by debt instruments of publicly offered REITs that are not secured by mortgages on real property or interests in real property.</w:t>
      </w:r>
    </w:p>
    <w:p>
      <w:pPr>
        <w:spacing w:after="0" w:line="224"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However, certain relief provisions are available to allow REITs to satisfy the asset requirements or to maintain REIT qualification notwithstanding certain violations of the asset and other requirements. For example, if we should fail to satisfy the asset tests at the end of a calendar quarter such a failure would not cause us to lose our REIT qualification if we (i) satisfied the asset tests at the close of the preceding calendar quarter and (ii) the discrepancy between the value of our assets and the asset requirements was not wholly or partly caused by an acquisition of non-qualifying assets, but instead arose from changes in the relative market values of our assets. If the condition described in (ii) were not satisfied, we still could avoid disqualification by eliminating any discrepancy within 30 days after the close of the calendar quarter in which it arose or by making use of the relief provisions described above.</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In the case of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violations of the 10% and 5% asset tests, a REIT may maintain its qualification despite a violation of such requirements if</w:t>
      </w:r>
    </w:p>
    <w:p>
      <w:pPr>
        <w:spacing w:after="0" w:line="46" w:lineRule="exact"/>
        <w:rPr>
          <w:sz w:val="20"/>
          <w:szCs w:val="20"/>
          <w:color w:val="auto"/>
        </w:rPr>
      </w:pPr>
    </w:p>
    <w:p>
      <w:pPr>
        <w:ind w:firstLine="8"/>
        <w:spacing w:after="0" w:line="255" w:lineRule="auto"/>
        <w:tabs>
          <w:tab w:leader="none" w:pos="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value of the assets causing the violation does not exceed the lesser of 1% of the REIT's total assets and $10,000,000 and (ii) the REIT either disposes of the assets causing the failure within six months after the last day of the quarter in which it identifies the failure, or the relevant tests are otherwise satisfied within that time frame.</w:t>
      </w:r>
    </w:p>
    <w:p>
      <w:pPr>
        <w:spacing w:after="0" w:line="244"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Even if we did not qualify for the foregoing relief provisions, one additional provision allows a REIT which fails one or more of the asset requirements to nevertheless maintain its REIT qualification if (i) the REIT provides the IRS with a description of each asset causing the failure, (ii) the failure is due to reasonable cause and not willful neglect, (iii) the REIT pays a tax equal to the greater of (a) $50,000 per failure and (b) the product of the net income generated by the assets that caused the failure multiplied by the highest applicable corporate tax rate (currently 21%) and (iv) the REIT either disposes of the assets causing the failure within six months after the last day of the quarter in which it identifies the failure, or otherwise satisfies the relevant asset tests within that time frame.</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believe that we have been and will continue to be in compliance with the asset tests described above.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Distribution Requirements</w:t>
      </w:r>
    </w:p>
    <w:p>
      <w:pPr>
        <w:spacing w:after="0" w:line="279"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In order to qualify to be taxed as a REIT, we are required to distribute dividends, other than capital gain dividends, to our shareholders in an amount at least equal to:</w:t>
      </w:r>
    </w:p>
    <w:p>
      <w:pPr>
        <w:spacing w:after="0" w:line="89" w:lineRule="exact"/>
        <w:rPr>
          <w:sz w:val="20"/>
          <w:szCs w:val="20"/>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sum of</w:t>
      </w:r>
    </w:p>
    <w:p>
      <w:pPr>
        <w:spacing w:after="0" w:line="225" w:lineRule="exact"/>
        <w:rPr>
          <w:rFonts w:ascii="Arial" w:cs="Arial" w:eastAsia="Arial" w:hAnsi="Arial"/>
          <w:sz w:val="18"/>
          <w:szCs w:val="18"/>
          <w:color w:val="auto"/>
        </w:rPr>
      </w:pPr>
    </w:p>
    <w:p>
      <w:pPr>
        <w:ind w:left="1800" w:hanging="658"/>
        <w:spacing w:after="0"/>
        <w:tabs>
          <w:tab w:leader="none" w:pos="18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90% of our REIT taxable income, computed without regard to our net capital gains and the deduction for dividends paid; and</w:t>
      </w:r>
    </w:p>
    <w:p>
      <w:pPr>
        <w:spacing w:after="0" w:line="236" w:lineRule="exact"/>
        <w:rPr>
          <w:rFonts w:ascii="Arial" w:cs="Arial" w:eastAsia="Arial" w:hAnsi="Arial"/>
          <w:sz w:val="17"/>
          <w:szCs w:val="17"/>
          <w:color w:val="auto"/>
        </w:rPr>
      </w:pPr>
    </w:p>
    <w:p>
      <w:pPr>
        <w:ind w:left="1800" w:hanging="658"/>
        <w:spacing w:after="0"/>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90% of our after tax net income, if any, from foreclosure property (as described below); minus</w:t>
      </w:r>
    </w:p>
    <w:p>
      <w:pPr>
        <w:spacing w:after="0" w:line="225" w:lineRule="exact"/>
        <w:rPr>
          <w:sz w:val="20"/>
          <w:szCs w:val="20"/>
          <w:color w:val="auto"/>
        </w:rPr>
      </w:pPr>
    </w:p>
    <w:p>
      <w:pPr>
        <w:ind w:left="1140" w:right="80" w:hanging="484"/>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excess of the sum of specified items of non-cash income over 5% of our REIT taxable income, computed without regard to our net capital gain and the deduction for dividends paid.</w:t>
      </w:r>
    </w:p>
    <w:p>
      <w:pPr>
        <w:spacing w:after="0" w:line="8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generally must make these distributions in the taxable year to which they relate, or in the following taxable year if declared before we timely file our tax return for the year and if paid with or before the first regular dividend payment after such declaration. These distributions will be treated as received by our shareholders in the year in which paid. In order for distributions to be counted as satisfying the annual distribution requirements for REITs, and to provide us with a REIT-level tax deduction, the distributions must not be "preferential dividends." A dividend is not a preferential dividend if the distribution is (i) pro rata among all outstanding shares of stock within a particular class and (ii) in accordance with any preferences among different classes of stock as set forth in our organizational documents. Given our status as a "publicly offered REIT" (within the meaning of the Code), the preferential dividend rules do not apply to us for taxable years beginning after December 31, 2014.</w:t>
      </w:r>
    </w:p>
    <w:p>
      <w:pPr>
        <w:spacing w:after="0" w:line="243"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To the extent that we distribute at least 90%, but less than 100%, of our REIT taxable income, as adjusted, we will be subject to tax at ordinary corporate tax rates on the retained portion. We may elect to retain, rather than distribute, some or all of our net long-term capital gains and pay tax on such gains. In this case, we could elect for our shareholders to include their proportionate shares of such undistributed long-term capital gains in income, and to receive a corresponding credit for their share of the tax that we paid. Our shareholders would then increase the adjusted basis of their stock by the difference between (i) the amounts of capital gain dividends that we designated and that they include in their taxable income, minus (ii) the tax that we paid on their behalf with respect to that income.</w:t>
      </w:r>
    </w:p>
    <w:p>
      <w:pPr>
        <w:spacing w:after="0" w:line="24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To the extent that in the future we may have available net operating losses carried forward from prior tax years, such losses may reduce the amount of distributions that we must make in order to comply with the REIT distribution requirements.</w:t>
      </w:r>
    </w:p>
    <w:p>
      <w:pPr>
        <w:spacing w:after="0" w:line="224"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If we fail to distribute during each calendar year at least the sum of (i) 85% of our ordinary income for such year, (ii) 95% of our capital gain net income for such year and (iii) any undistributed net taxable income from prior periods, we will be subject to a non-deductible 4% excise tax on the excess of such required distribution over the sum of (a) the amounts actually distributed, plus (b) the amounts of income we retained and on which we have paid corporate income tax.</w:t>
      </w:r>
    </w:p>
    <w:p>
      <w:pPr>
        <w:spacing w:after="0" w:line="241"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We expect that our REIT taxable income will be less than our cash flow because of depreciation and other non-cash charges included in computing REIT taxable income. Accordingly, we anticipate that we generally will have sufficient cash or liquid assets to enable us to satisfy the distribution requirements described above. However, from time to time, we may not have sufficient cash or other liquid assets to meet these distribution requirements due to timing differences between the actual receipt of income and actual payment of deductible expenses, and the inclusion of income and deduction of expenses in determining our taxable income. In addition, we may decide to retain our cash, rather than distribute it, in order to repay debt, acquire assets, or for other reasons. If these timing differences occur, we may borrow funds to pay dividends or pay dividends through the distribution of other property (including shares of our stock) in order to meet the distribution requirements, while preserving our cash.</w:t>
      </w:r>
    </w:p>
    <w:p>
      <w:pPr>
        <w:spacing w:after="0" w:line="232"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If our taxable income for a particular year is subsequently determined to have been understated, we may be able to rectify a resultant failure to meet the distribution requirements for a year by paying "deficiency dividends" to shareholders in a later year, which may be included in our deduction for dividends paid for the earlier year. In this case, we may be able to avoid losing REIT qualification or being taxed on amounts distributed as deficiency dividends, subject to the 4% excise tax described above. We will be required to pay interest based on the amount of any deduction taken for deficiency dividends.</w:t>
      </w:r>
    </w:p>
    <w:p>
      <w:pPr>
        <w:spacing w:after="0" w:line="20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For purposes of the 90% distribution requirement and excise tax described above, any distribution must be paid in the taxable year to which they relate, or in the following taxable year if such distributions are declared in October, November or December of the taxable year, are payable to shareholders of record on a specified date in any such month, and are actually paid before the end of January of the following year. Such distributions are treated as both paid by us and received by our shareholders on December 31 of the year in which they are declared.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addition, at our election, a distribution for a taxable year may be declared before we timely file our tax return for the year, provided we pay such distribution with or before our first regular dividend payment after such declaration, and such payment is made during the 12-month period following the close of such taxable year. Such distributions are taxable to our shareholders in the year in which paid, even though the distributions relate to our prior taxable year for purposes of the 90% distribution requirement.</w:t>
      </w:r>
    </w:p>
    <w:p>
      <w:pPr>
        <w:spacing w:after="0" w:line="200"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We believe that we have satisfied the annual distribution requirements for the year ended December 31, 2018. Although we intend to satisfy the annual distribution requirements to continue to qualify as a REIT for the year ending December 31, 2019 and thereafter, economic, market, legal, tax or other considerations could limit our ability to meet those requirements.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Failure to Qualify</w:t>
      </w:r>
    </w:p>
    <w:p>
      <w:pPr>
        <w:spacing w:after="0" w:line="27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If we fail to satisfy one or more requirements for REIT qualification other than the income or asset tests, we could avoid disqualification as a REIT if our failure is due to reasonable cause and not to willful neglect and we pay a penalty of $50,000 for each such failure. Relief provisions are also available for failures of the income tests and asset tests, as described above in "—Income Tests" and "—Asset Tests."</w:t>
      </w:r>
    </w:p>
    <w:p>
      <w:pPr>
        <w:spacing w:after="0" w:line="235"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If we fail to qualify for taxation as a REIT in any taxable year, and the relief provisions described above do not apply, we would be subject to tax, including any applicable alternative minimum tax, on our taxable income at regular corporate rates. We cannot deduct distributions to shareholders in any year in which we are not a REIT, nor would we be required to make distributions in such a year. In this situation, to the extent of current and accumulated earnings and profits (as determined for U.S. federal income tax purposes), distributions to shareholders would be taxable as regular corporate dividends. Such dividends paid to U.S. shareholders that are individuals, trusts and estates may be taxable at the preferential income tax rates (i.e., currently the 20% maximum U.S. federal rate) for qualified dividends. In addition, subject to the limitations of the Code, corporate distributees may be eligible for the dividends received deduction. Unless we are entitled to relief under specific statutory provisions, we would also be disqualified from re-electing to be taxed as a REIT for the four taxable years following the year during which we lost our qualification. It is not possible to state whether, in all circumstances, we would be entitled to this statutory relief.</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Legislative or Other Actions Affecting REITs</w:t>
      </w:r>
    </w:p>
    <w:p>
      <w:pPr>
        <w:spacing w:after="0" w:line="279"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The present U.S. federal income tax treatment of REITs may be modified, possibly with retroactive effect, by legislative, judicial or administrative action at any time. The REIT rules are constantly under review by persons involved in the legislative process and by the IRS and the Treasury which may result in statutory changes as well as revisions to regulations and interpretations. Changes to the U.S. federal tax laws and interpretations thereof could adversely affect an investment in our common stock.</w:t>
      </w:r>
    </w:p>
    <w:p>
      <w:pPr>
        <w:spacing w:after="0" w:line="106"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On December 22, 2017, H.R. 1, known as the Act to provide for reconciliation pursuant to titles II and V of the concurrent resolution on the budget for fiscal year 2018 (the "Tax Cuts and Jobs Act") was signed into law. The Tax Cuts and Jobs Act makes significant changes to the U.S. federal income taxation of individuals and corporations, generally effective for taxable years beginning after December 31, 2017. In addition to reducing corporate and individual income tax rates, the Tax Cuts and Jobs Act eliminates or restricts various deductions that, along with other provisions, may change the way that we calculate our REIT taxable income and our TRS’s taxable income. Significant provisions of the Tax Cuts and Jobs Act that investors should be aware of include provisions that: (i) lower the corporate income tax rate to 21%, (ii) provide noncorporate taxpayers with a deduction of up to 20% of certain income earned through partnerships and REITs, (iii) limits the net operating loss deduction to 80% of taxable income, where taxable income is determined without regard to the net operating loss deduction itself, generally eliminates net operating loss carrybacks and allows unused net operating losses to be carried forward indefinitely, (iv) expand the ability of businesses to deduct the cost of certain property investments in the year in which the property is purchased, and</w:t>
      </w:r>
    </w:p>
    <w:p>
      <w:pPr>
        <w:spacing w:after="0" w:line="7" w:lineRule="exact"/>
        <w:rPr>
          <w:sz w:val="20"/>
          <w:szCs w:val="20"/>
          <w:color w:val="auto"/>
        </w:rPr>
      </w:pPr>
    </w:p>
    <w:p>
      <w:pPr>
        <w:ind w:right="80" w:firstLine="8"/>
        <w:spacing w:after="0" w:line="288" w:lineRule="auto"/>
        <w:tabs>
          <w:tab w:leader="none" w:pos="2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generally lower tax rates for individuals and other noncorporate taxpayers, while limiting deductions such as miscellaneous itemized deductions and state and local tax deductions. In addition, the Tax Cuts and Jobs Act limits the deduction for net interest expense incurred by a business to 30% of the “adjusted taxable income” of the taxpayer. However, the limitation on the interest expense deduction does not apply to certain small-business taxpayers or electing real property trades or businesses, such as any real property development, redevelopment, construction, reconstruction, acquisition, conversion, rental, operation, management, leasing, or brokerage trade or business. Making the election to be treated as a real property trade or business requires the electing real property trade or business to depreciate non-residential real property, residential rental property, and qualified improvement property over a longer period using the alternative depreciation system. We have not yet determined whether we will elect out of the new interest expense limitation.</w:t>
      </w:r>
    </w:p>
    <w:p>
      <w:pPr>
        <w:spacing w:after="0" w:line="16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effect of the Tax Cuts and Jobs Act is highly uncertain, both in terms of its direct effect on the taxation of holders of our common stock and its indirect effect on the value of our assets or market conditions generally. Furthermore, many of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30" w:right="25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provisions of the Tax Cuts and Jobs Act will require guidance through the issuance of Treasury regulations in order to assess their effect. While there have been recent regulations proposed in relation to the Tax Cuts and Jobs Act, there may be a substantial delay or modifications before such regulations are finalized, increasing the uncertainty as to the ultimate effect of the statutory amendments on us.</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Shareholders are urged to consult with their own tax advisors with respect to the impact that the Tax Cuts and Jobs Act and other legislation may have on their investment and the status of legislative, regulatory or administrative developments and proposals and their potential effect on their investment in our shares.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83"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The ownership, operation, and management of, and provision of certain products and services to, gaming and racing facilities are subject to pervasive regulation. Gaming laws are generally based upon declarations of public policy designed to protect gaming consumers and the viability and integrity of the gaming industry. Gaming laws also may be designed to protect and maximize state and local revenues derived through taxes and licensing fees imposed on gaming industry participants as well as to enhance economic development and tourism. To accomplish these public policy goals, gaming laws establish procedures to ensure that participants in the gaming industry, including landlords and other suppliers, meet certain standards of character and fitness. In addition, gaming laws require gaming industry participants to:</w:t>
      </w:r>
    </w:p>
    <w:p>
      <w:pPr>
        <w:spacing w:after="0" w:line="97" w:lineRule="exact"/>
        <w:rPr>
          <w:sz w:val="20"/>
          <w:szCs w:val="20"/>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ensure that unsuitable individuals and organizations have no role in gaming operations;</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procedures designed to prevent cheating and fraudulent practices;</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and maintain responsible accounting practices and procedures;</w:t>
      </w:r>
    </w:p>
    <w:p>
      <w:pPr>
        <w:spacing w:after="0" w:line="225" w:lineRule="exact"/>
        <w:rPr>
          <w:rFonts w:ascii="Arial" w:cs="Arial" w:eastAsia="Arial" w:hAnsi="Arial"/>
          <w:sz w:val="18"/>
          <w:szCs w:val="18"/>
          <w:color w:val="auto"/>
        </w:rPr>
      </w:pPr>
    </w:p>
    <w:p>
      <w:pPr>
        <w:ind w:left="820" w:right="620" w:hanging="488"/>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effective controls over their financial practices, including establishment of minimum procedures for internal fiscal affairs and the safeguarding of assets and revenues;</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systems for reliable record keeping;</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 periodic reports with gaming regulators;</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ensure that contracts and financial transactions are commercially reasonable, reflect fair market value and are arms-length transactions; and</w:t>
      </w:r>
    </w:p>
    <w:p>
      <w:pPr>
        <w:spacing w:after="0" w:line="236" w:lineRule="exact"/>
        <w:rPr>
          <w:rFonts w:ascii="Arial" w:cs="Arial" w:eastAsia="Arial" w:hAnsi="Arial"/>
          <w:sz w:val="17"/>
          <w:szCs w:val="17"/>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programs to promote responsible gaming.</w:t>
      </w:r>
    </w:p>
    <w:p>
      <w:pPr>
        <w:spacing w:after="0" w:line="144"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These regulations impact our business in three important ways: (1) our ownership and operation of the TRS Properties; (2) our ownership of land and buildings in which gaming activities are operated by third party tenants pursuant to long-term leases; and (3) the operations of our gaming tenants. Our ownership and operation of the TRS Properties subject GLPI, its subsidiaries and its officers and directors to the jurisdiction of the gaming regulatory agencies in Louisiana and Maryland. Further, many gaming and racing regulatory agencies in the jurisdictions in which our gaming tenants operate require GLPI and its affiliates to maintain a license as a key business entity or supplier because of its status as landlord, including Colorado, Illinois, Indiana, Massachusetts, Mississippi, Missouri, New Jersey, Ohio and Pennsylvania.</w:t>
      </w:r>
    </w:p>
    <w:p>
      <w:pPr>
        <w:spacing w:after="0" w:line="23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businesses are subject to various federal, state and local laws and regulations in addition to gaming regulations. These laws and regulations include, but are not limited to, restrictions and conditions concerning alcoholic beverages, environmental matters, employees, health care, currency transactions, taxation, zoning and building codes, and marketing and advertising.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operating results.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83"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We have comprehensive liability, property and business interruption insurance at our TRS Properties. In regards to our properties subject to triple-net leases, the lease agreements require our tenants to have their own comprehensive liability, property and business interruption insurance policies, including protection for our insurable interests as the landlord.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30" w:right="25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Our properties are subject to environmental laws regulating, among other things, air emissions, wastewater discharges and the handling and disposal of wastes, including medical wastes. Certain of the properties we own utilize above or underground storage tanks to store heating oil for use at the properties. Other properties were built during the time that asbestos-containing building materials were routinely installed in residential and commercial structures. Our triple-net leases obligate the tenants thereunder to comply with applicable environmental laws and to indemnify us if their noncompliance results in losses or claims against us, and we expect that any future leases will include the same provisions for other operators. An operator's failure to comply could result in fines and penalties or the requirement to undertake corrective actions which may result in significant costs to the operator and thus adversely affect their ability to meet their obligations to us.</w:t>
      </w:r>
    </w:p>
    <w:p>
      <w:pPr>
        <w:spacing w:after="0" w:line="232"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Pursuant to U.S. federal, state and local environmental laws and regulations, a current or previous owner or operator of real property may be required to investigate, remove and/or remediate a release of hazardous substances or other regulated materials at, or emanating from, such property. Further, under certain circumstances, such owners or operators of real property may be held liable for property damage, personal injury and/or natural resource damage resulting from or arising in connection with such releases. Certain of these laws have been interpreted to provide for joint and several liability unless the harm is divisible and there is a reasonable basis for allocation of responsibility. We also may be liable under certain of these laws for damage that occurred prior to our ownership of a property or at a site where we or our tenants sent wastes for disposal. The failure to properly remediate a property may also adversely affect our ability to lease, sell or rent the property or to borrow funds using the property as collateral.</w:t>
      </w:r>
    </w:p>
    <w:p>
      <w:pPr>
        <w:spacing w:after="0" w:line="232"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connection with the ownership of our real property, we could be legally responsible for environmental liabilities or costs relating to a release of hazardous substances or other regulated materials at or emanating from such property. In order to assess the potential for such liability, we conduct routine due diligence of environmental assessments prior to acquisition. We are not aware of any environmental issues that are expected to have a material impact on the operations of any of our properties.</w:t>
      </w:r>
    </w:p>
    <w:p>
      <w:pPr>
        <w:spacing w:after="0" w:line="241"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Pursuant to the Penn Master Lease and a Separation and Distribution Agreement between Penn and GLPI, any liability arising from or relating to environmental liabilities arising from the businesses and operations of Penn's real property holdings prior to the Spin-Off (other than any liability arising from or relating to the operation or ownership of the TRS Properties and except to the extent first discovered after the end of the term of the Penn Master Lease) was retained by Penn and Penn will indemnify GLPI (and its subsidiaries, directors, officers, employees and agents and certain other related parties) against any losses arising from or relating to such environmental liabilities. Similarly, pursuant to a Separation and Distribution Agreement between Pinnacle's operating company and GLPI (as successor to Pinnacle Entertainment), any liability arising from or relating to environmental liabilities arising from the business and operations of Pinnacle's real property holdings prior to the Pinnacle transaction (except to the extent first discovered after the end of the term of the Pinnacle Master Lease) was retained by Pinnacle and Pinnacle will indemnify GLPI (and its subsidiaries, directors, officers, employees and agents and certain other related parties) against any losses arising from or relating to such environmental liabilities. Effective October 15, 2018, Penn assumed all obligations of Pinnacle as pursuant to a merger of Pinnacle with and into a subsidiary of Penn. There can be no assurance that Penn will be able to fully satisfy these indemnification obligations. Moreover, even if we ultimately succeed in recovering from Penn any amounts for which we are held liable, we may be temporarily required to bear these losses.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As of December 31, 2018, we had 644 full and part-time employees. Substantially all of these employees are employed at Hollywood Casino Baton Rouge and Hollywood Casino Perryville. The Company believes its relations with its employees are good.</w:t>
      </w:r>
    </w:p>
    <w:p>
      <w:pPr>
        <w:spacing w:after="0" w:line="224"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Some of our employees at Hollywood Casino Perryville are currently represented by labor unions. The Seafarers Entertainment and Allied Trade Union represents 145 of our employees at Hollywood Casino Perryville under an agreement that expires in February 2020. Additionally, Local No. 27 United Food and Commercial Workers and United Industrial Service Transportation Professional and Government Workers of North America represent certain employees under collective bargaining agreements that expire in 2020, neither of which represents more than 50 of our employees at Hollywood Casino Perryville.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8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For more information about us, visit our website at www.glpropinc.com. The contents of our website are not part of this Annual Report on Form 10-K. Our electronic filings with the SEC (including all annual reports on Form 10-K and Form 10-K/A, quarterly reports on Form 10-Q and Form 10-Q/A, and current reports on Form 8-K, and any amendments to these reports), including the exhibits, are available free of charge through our website as soon as reasonably practicable after we electronically file them with or furnish them to the SEC.</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Business</w:t>
      </w:r>
    </w:p>
    <w:p>
      <w:pPr>
        <w:spacing w:after="0" w:line="14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b w:val="1"/>
          <w:bCs w:val="1"/>
          <w:i w:val="1"/>
          <w:iCs w:val="1"/>
          <w:color w:val="auto"/>
        </w:rPr>
        <w:t>Following completion of Penn-Pinnacle Merger, the majority of our revenues are dependent on Penn and its subsidiaries until we further diversify our portfolio. Any event that has a material adverse effect on Penn’s business, financial position or results of operations is likely to have a material adverse effect on our business, financial position or results of operations.</w:t>
      </w:r>
    </w:p>
    <w:p>
      <w:pPr>
        <w:spacing w:after="0" w:line="181"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Following completion of the Penn-Pinnacle Merger on October 15, 2018, the majority of our revenue is based on the revenue derived under our master leases with subsidiaries of Penn. Because these master leases are triple-net leases, we depend on Penn to operate the properties that we own in a manner that generates revenues sufficient to allow Penn to meet its obligations to us, including payment of rent and all insurance, taxes, utilities and maintenance and repair expenses, and to indemnify, defend and hold us harmless from and against various claims, litigation and liabilities arising in connection with its business. There can be no assurance that Penn will have sufficient assets, income or access to financing to enable it to satisfy its payment obligations to us under the master leases. The ability of Penn to fulfill its obligations depends, in part, upon the overall profitability of its gaming operations and, other than limited contractual protections afforded to us as a landlord, we have no control over Penn or its operations. The inability or unwillingness of Penn to meet its subsidiaries’ rent obligations and other obligations under the master leases, would materially and adversely affect our business, financial position or results of operations, including our ability to pay dividends to our shareholders.</w:t>
      </w:r>
    </w:p>
    <w:p>
      <w:pPr>
        <w:spacing w:after="0" w:line="182"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Due to our dependence on rental payments from Penn as a significant source of revenue, we may be limited in our ability to enforce our rights under the master leases. Failure by Penn to comply with the terms of its master leases or to comply with the gaming regulations to which the leased properties are subject could require us to find another lessee for such leased property. In such event, we may be unable to locate a suitable lessee at similar rental rates or at all, which would have the effect of reducing our rental revenues. Likewise, our financial position would be materially weakened if Penn failed to renew or extend any master lease as such lease expires and we are unable to lease or re-lease our properties on economically favorable terms.</w:t>
      </w:r>
    </w:p>
    <w:p>
      <w:pPr>
        <w:spacing w:after="0" w:line="158"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Any event, including the integration of Penn and Pinnacle, that has a material adverse effect on Penn’s business, financial position or results of operations could have a material adverse effect on our business, financial position or results of operations. In addition, continued consolidation in the gaming industry would increase our dependence on our existing tenants and could make it increasingly difficult for us to find alternative tenants for our properties.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pursuit of investments in, and acquisitions or development of, additional properties may be unsuccessful or fail to meet our expectations.</w:t>
      </w:r>
    </w:p>
    <w:p>
      <w:pPr>
        <w:spacing w:after="0" w:line="30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operate in a highly competitive industry and face competition from other REITs (including other gaming-focused REITs), investment companies, private equity and hedge fund investors, sovereign funds, lenders, gaming companies (including gaming companies considering REIT structures) and other investors, some of whom are significantly larger and have greater resources and lower costs of capital. Increased competition will make it more challenging to identify and successfully capitalize on acquisition opportunities that meet our investment objectives. If we cannot identify and purchase a sufficient number of investment properties at favorable prices or if we are unable to finance acquisitions on commercially favorable terms, our business, financial position or results of operations could be materially adversely affected. Additionally, the fact that we must distribute 90% of our net taxable income in order to maintain our qualification as a REIT may limit our ability to rely upon rental payments from our leased properties or subsequently acquired properties in order to finance acquisitions. As a result, if debt or equity financing is not available on acceptable terms, further acquisitions might be limited or curtailed and completing proposed acquisitions may be adversely impacted. Furthermore, fluctuations in the price of our common stock may impact our ability to finance additional acquisitions through the issuance of common stock and/or cause significant dilution.</w:t>
      </w:r>
    </w:p>
    <w:p>
      <w:pPr>
        <w:spacing w:after="0" w:line="23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Investments in and acquisitions of gaming properties and other properties we might seek to acquire entail risks associated with real estate investments, including that the investment's performance will fail to meet expectations or that the tenant, operator or manager will underperform. Real estate development projects present other risks, including construction delays or cost overruns that increase expenses, the inability to obtain required zoning, occupancy and other governmental approvals and permits on a timely basis, and the incurrence of significant development costs prior to completion of the project.</w:t>
      </w:r>
    </w:p>
    <w:p>
      <w:pPr>
        <w:spacing w:after="0" w:line="24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dependent on the gaming industry and may be susceptible to the risks associated with it, which could materially adversely affect our business, financial position or results of operations.</w:t>
      </w:r>
    </w:p>
    <w:p>
      <w:pPr>
        <w:spacing w:after="0" w:line="224"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As the owner and landlord of gaming facilities, we are impacted by the risks associated with the gaming industry. Therefore, our success is to some degree dependent on the gaming industry, which could be adversely affected by economic conditions in general, changes in consumer trends and preferences and other factors over which we and our tenants have no</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control. As we are subject to risks inherent in substantial investments in a single industry, a decrease in the gaming business would likely have a greater adverse effect on our revenues than if we owned a more diversified real estate portfolio, particularly because a component of the rent under our leases is based, over time, on the performance of the gaming facilities operated by our tenants. Decreases in discretionary consumer spending brought about by weakened general economic conditions such as, but not limited to, high unemployment levels, higher income taxes, low levels of consumer confidence, weakness in the housing market, cultural and demographic changes, and increased stock market volatility may negatively impact our revenues and operating cash flow.</w:t>
      </w:r>
    </w:p>
    <w:p>
      <w:pPr>
        <w:spacing w:after="0" w:line="24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gaming industry is characterized by an increasing number of gaming facilities with an increasingly high degree of competition among a large number of participants, including riverboat casinos, dockside casinos, land-based casinos, video lottery, sweepstakes and poker machines not located in casinos, Native American gaming and other forms of gaming in the U.S. Furthermore, competition from alternative wagering products, such as internet lotteries, sweepstakes, social gaming products, daily fantasy sports and other internet wagering gaming services, online sports wagering or games of skill, which allow their customers a wagering alternative to the casino-style, such as remote home gaming or in non-casino settings, could divert customers from our properties and thus adversely affect our TRS Properties and the business of our tenants and, indirectly, our business. Certain alternative wagering products may be illegal under federal or state law but operate exclusively in certain states or from overseas locations and are accessible to certain domestic gamblers. Present state or federal laws that restrict the forms of gaming authorized or the number of competitors that offer gaming in the applicable jurisdiction are subject to change and may increase the competition affecting our TRS Properties and the business of our tenants and, indirectly, our business. Currently, there are proposals that would legalize several forms of internet gaming and other alternative wagering products in a number of states. Further, several states have already approved intrastate internet gaming. Expansion of internet gaming in other jurisdictions (both legal and illegal) could further compete with our traditional operations, which could have an adverse impact on our business and result of operations.</w:t>
      </w:r>
    </w:p>
    <w:p>
      <w:pPr>
        <w:spacing w:after="0" w:line="22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operations of our TRS Properties and of our tenants in our leased facilities are subject to disruptions or reduced patronage as a result of severe weather conditions, natural disasters and other casualty events. Because many of our facilities are located on or adjacent to bodies of water, they are subject to risks in addition to those associated with land-based facilities, including loss of service due to casualty, forces of nature, mechanical failure, extended or extraordinary maintenance, flood, hurricane or other severe weather conditions. A component of the rent under our leases is based, over time, on the performance of the gaming facilities operated by Penn, Eldorado, Boyd and Casino Queen on our properties; consequently, a casualty that leads to the loss of use of a casino facility subject to our leases for an extended period may negatively impact our revenues.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extensive regulation from gaming and other regulatory authorities.</w:t>
      </w:r>
    </w:p>
    <w:p>
      <w:pPr>
        <w:spacing w:after="0" w:line="27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ownership, operation, and management of gaming and racing facilities are subject to pervasive regulation. These regulations impact both our ownership and operation of the TRS Properties and the operations of our gaming tenants. Our ownership and operation of the TRS Properties subject us, our officers, directors and shareholders to the jurisdiction of the gaming regulatory agencies in Louisiana and Maryland. Further, many gaming and racing regulatory agencies in the jurisdictions in which our tenants operate require GLPI, its affiliates and certain officers and directors to maintain licenses as a key business entity, supplier or key person because of GLPI's status as landlord. For GLPI to maintain such licenses in good standing, certain of GLPI's officers, directors and shareholders are also required to maintain licenses or a finding of suitability.</w:t>
      </w:r>
    </w:p>
    <w:p>
      <w:pPr>
        <w:spacing w:after="0" w:line="23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Many jurisdictions also require any person who acquires beneficial ownership of more than a certain percentage of voting securities of a gaming company and, in some jurisdictions, non-voting securities, typically 5%, to report the acquisition to gaming authorities, and gaming authorities may require such holders to apply for qualification or a finding of suitability, subject to limited exceptions for "institutional investors" that hold a company's voting securities for passive investment purposes only. Some jurisdictions may also limit the number of gaming licenses or gaming facilities in which a person may hold an ownership or a controlling interest. Subject to certain administrative proceeding requirements, the gaming regulators have the authority to deny any application or limit, condition, restrict, revoke or suspend any license, registration, finding of suitability or approval, or fine any person licensed, registered or found suitable or approved, for any cause deemed reasonable by the gaming authorities.</w:t>
      </w:r>
    </w:p>
    <w:p>
      <w:pPr>
        <w:spacing w:after="0" w:line="232"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Additionally, substantially all material loans, significant acquisitions, leases, sales of securities and similar financing transactions by us and our subsidiaries must be reported to and in some cases approved by gaming authorities in advance of the transaction. Neither we nor any of our subsidiaries may make a public offering of securities without the prior approval of certain gaming authorities. Changes in control through merger, consolidation, stock or asset acquisitions, management or consulting agreements, or otherwise are subject to receipt of prior approval of gaming authorities. Entities seeking to acquire control of GLPI or one of its subsidiaries must satisfy gaming authorities with respect to a variety of stringent licensing standards prior to assuming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30" w:right="25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Required regulatory approvals can delay or prohibit transfers of our gaming properties, which could result in periods in which we are unable to receive rent for such properties.</w:t>
      </w:r>
    </w:p>
    <w:p>
      <w:pPr>
        <w:spacing w:after="0" w:line="22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tenants of our gaming properties are operators of gaming facilities and must be licensed under applicable state law. Prior to the transfer of gaming facilities, including a controlling interest, the new owner or operator generally must become licensed under applicable state law. In the event that any current lease or any future lease agreement we enter into is terminated or expires and a new tenant is found, any delays in the new tenant receiving regulatory approvals from the applicable state government agencies, or the inability to receive such approvals, may prolong the period during which we are unable to collect the applicable rent.</w:t>
      </w:r>
    </w:p>
    <w:p>
      <w:pPr>
        <w:spacing w:after="0" w:line="10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may not achieve the intended benefits from the Tropicana Acquisition or the Boyd Master Lease, which could have an adverse impact on our business.</w:t>
      </w:r>
    </w:p>
    <w:p>
      <w:pPr>
        <w:spacing w:after="0" w:line="17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We consummated the Tropicana Acquisition on October 1, 2018 and entered into a master lease agreement with Boyd on October 15, 2018. However, our ability to successfully realize the expected benefits of these transactions is largely dependent upon Eldorado’s and Boyd’s respective ability to operate our properties in a manner that generates revenues sufficient to allow Eldorado and Boyd to meet their obligations to us, including payment of rent, loan interest and all insurance, taxes, utilities and maintenance and repair expenses, and to indemnify, defend and hold us harmless from and against various claims, litigation and liabilities arising in connection with their respective businesses. We cannot guarantee that either Eldorado or Boyd will maintain its operations in a profitable manner and, other than limited contractual protections afforded to us as a landlord and, under limited circumstances, as a lender, we have no control over either Eldorado’s or Boyd’s business or finances. Our financial position could be materially weakened if either Eldorado or Boyd were unable to meet its obligations to us or failed to renew or extend any lease as such lease expires, or if we were unable to lease or re-lease our properties on economically favorable terms.</w:t>
      </w:r>
    </w:p>
    <w:p>
      <w:pPr>
        <w:spacing w:after="0" w:line="18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addition, we made a short-term mortgage loan to Eldorado in the amount of $246.0 million in connection with Eldorado’s acquisition of Tropicana’s Lumière Place property, and we made a mortgage loan to Boyd in the amount of $57.7 million in connection with Boyd’s acquisition of the Belterra Park property. In our capacity as a lender, we have fewer protections available to us with respect to these properties than we would have as a landlord, and there are regulatory restrictions that may prevent our ability to take possession of these properties upon a default by the borrower. In addition, on the one-year anniversary of the Lumière loan, the mortgage and the related deed of trust on the Lumière Place property will terminate and the loan will continue unsecured. If Eldorado or Boyd are unable or unwilling to satisfy their respective obligations to us under these loans in a timely manner or at all, our business and/or our financial position could be materially and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pursuit of strategic acquisitions unrelated to the gaming industry may be unsuccessful or fail to meet our expectations.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may pursue strategic acquisitions of real property assets unrelated to the gaming industry, including acquisitions that may be complementary to our existing gaming properties. Our management does not possess the same level of expertise with the dynamics and market conditions applicable to non-gaming assets, which could adversely affect the results of our expansion into other asset classes. In addition, we may be unable to achieve our desired return on our investments in new or adjacent asset classes.</w:t>
      </w:r>
    </w:p>
    <w:p>
      <w:pPr>
        <w:spacing w:after="0" w:line="10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charter restricts the ownership and transfer of our outstanding stock, which may have the effect of delaying, deferring or preventing a transaction or change of control of our company.</w:t>
      </w:r>
    </w:p>
    <w:p>
      <w:pPr>
        <w:spacing w:after="0" w:line="22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order for us to qualify to be taxed as a REIT, not more than 50% in value of our outstanding shares of stock may be owned, actually or constructively, by five or fewer individuals at any time during the last half of each taxable year after the first year for which GLPI elected to qualify to be taxed as a REIT (2014). Additionally, at least 100 persons must beneficially own GLPI stock during at least 335 days of a taxable year (other than the first taxable year for which GLPI elected to be taxed as a REIT). GLPI's charter, with certain exceptions, authorizes the Board of Directors to take such actions as are necessary and desirable to preserve GLPI's qualification as a REIT. GLPI's charter also provides that, subject to certain exceptions approved by the Board of Directors, no person may beneficially or constructively own more than 7% in value or in number, whichever is more restrictive, of GLPI's outstanding shares of all classes and series of stock. The constructive ownership rules are complex and may cause shares of stock owned directly or constructively by a group of related individuals or entities to be constructively owned by one individual or entity. These ownership limits could delay or prevent a transaction or a change in control of GLPI that might involve a premium price for shares of GLPI stock or otherwise be in the best interests of GLPI shareholders. The acquisition of less than 7% of our outstanding stock by an individual or entity could cause that individual or entity to own beneficially or constructively in excess of 7% in value of our outstanding stock, and thus violate our charter's ownership limit. Our charter prohibits any person from owning shares of our stock that would result in our being "closely held" under</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Section 856(h) of the Code. Any attempt to own or transfer shares of our stock in violation of these restrictions may result in the transfer being automatically void. GLPI's charter also provides that shares of GLPI's capital stock acquired or held in excess of the ownership limit will be transferred to a trust for the benefit of a designated charitable beneficiary, and that any person who acquires shares of GLPI's capital stock in violation of the ownership limit will not be entitled to any dividends on the shares or be entitled to vote the shares or receive any proceeds from the subsequent sale of the shares in excess of the lesser of the market price on the day the shares were transferred to the trust or the amount realized from the sale. GLPI or its designee will have the right to purchase the shares from the trustee at this calculated price as well. A transfer of shares of GLPI's capital stock in violation of the limit may be void under certain circumstances. GLPI's 7% ownership limitation may have the effect of delaying, deferring or preventing a change in control of GLPI, including an extraordinary transaction (such as a merger, tender offer or sale of all or substantially all of our assets) that might provide a premium price for GLPI's shareholders. To assist GLPI in complying with applicable gaming laws, our charter also provides that capital stock of GLPI that is owned or controlled by an unsuitable person or an affiliate of an unsuitable person will be transferred to a trust for the benefit of a designated charitable beneficiary, and that any such unsuitable person or affiliate will not be entitled to any dividends on the shares or be entitled to vote the shares or receive any proceeds from the subsequent sale of the shares in excess of the lesser of the price paid by the unsuitable person or affiliate for the shares or the amount realized from the sale, in each case less a discount in a percentage (up to 100%) to be determined by our Board of Directors in its sole and absolute discretion. The shares shall additionally be redeemable by GLPI, out of funds legally available for that redemption, to the extent required by the gaming authorities making the determination of unsuitability or to the extent determined to be necessary or advisable by our Board of Directors, at a redemption price equal to the lesser of (i) the market price on the date of the redemption notice, (ii) the market price on the redemption date, or (iii) the actual amount paid for the shares by the owner thereof, in each case less a discount in a percentage (up to 100%) to be determined by our Board of Directors in its sole and absolute discretion.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Pennsylvania law and provisions in our charter and bylaws may delay or prevent takeover attempts by third parties and therefore inhibit our shareholders from realizing a premium on their stock.</w:t>
      </w:r>
    </w:p>
    <w:p>
      <w:pPr>
        <w:spacing w:after="0" w:line="224"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Our charter and bylaws, in addition to Pennsylvania law, contain provisions that are intended to deter coercive takeover practices and inadequate takeover bids and to encourage prospective acquirors to negotiate with our Board of Directors rather than to attempt a hostile takeover. Our charter and bylaws, among other things (i) permit the Board of Directors, without further action of the shareholders, to issue and fix the terms of preferred stock, which may have rights senior to those of the common stock; (ii) establish certain advance notice procedures for shareholder proposals, and require all director candidates to be recommended by the nominating committee of the Board of Directors following the affirmative determination by the nominating committee that such nominee is likely to meet the applicable suitability requirements of any federal, state or local regulatory body having jurisdiction over us;</w:t>
      </w:r>
    </w:p>
    <w:p>
      <w:pPr>
        <w:spacing w:after="0" w:line="5" w:lineRule="exact"/>
        <w:rPr>
          <w:sz w:val="20"/>
          <w:szCs w:val="20"/>
          <w:color w:val="auto"/>
        </w:rPr>
      </w:pPr>
    </w:p>
    <w:p>
      <w:pPr>
        <w:ind w:right="200" w:firstLine="8"/>
        <w:spacing w:after="0" w:line="281" w:lineRule="auto"/>
        <w:tabs>
          <w:tab w:leader="none" w:pos="315"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provide that a director may only be removed by shareholders for cause and upon the vote of 75% of the shares entitled to vote; (iv) do not permit direct nomination by shareholders of nominees for election to the Board of Directors, but instead permit shareholders to recommend potential nominees to our Compensation and Governance Committee; (v) require shareholders to have beneficially owned at least 1% of our outstanding common stock in order to recommend a person for nomination for election to the Board of Directors, or to present a shareholder proposal, for action at a shareholders' meeting; and</w:t>
      </w:r>
    </w:p>
    <w:p>
      <w:pPr>
        <w:spacing w:after="0" w:line="2" w:lineRule="exact"/>
        <w:rPr>
          <w:rFonts w:ascii="Arial" w:cs="Arial" w:eastAsia="Arial" w:hAnsi="Arial"/>
          <w:sz w:val="16"/>
          <w:szCs w:val="16"/>
          <w:color w:val="auto"/>
        </w:rPr>
      </w:pPr>
    </w:p>
    <w:p>
      <w:pPr>
        <w:ind w:right="300" w:firstLine="8"/>
        <w:spacing w:after="0" w:line="261" w:lineRule="auto"/>
        <w:tabs>
          <w:tab w:leader="none" w:pos="3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for supermajority approval requirements for amending or repealing certain provisions in our charter and in order to approve an amendment or repeal of any provision of our bylaws that has not been proposed by our Board of Directors.</w:t>
      </w:r>
    </w:p>
    <w:p>
      <w:pPr>
        <w:spacing w:after="0" w:line="23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specific anti-takeover provisions in Pennsylvania law could make it more difficult for a third party to attempt a hostile takeover. These provisions require (i) approval of certain transactions by a majority of the voting stock other than that held by the potential acquirer; (ii) the acquisition at "fair value" of all the outstanding shares not held by an acquirer of 20% or more; (iii) a five-year moratorium on certain "business combination" transactions with an "interested shareholder;" (iv) the loss by interested shareholders of their voting rights over "control shares;" (v) the disgorgement of profits realized by an interested shareholder from certain dispositions of our shares; and (vi) severance payments for certain employees and prohibiting termination of certain labor contracts.</w:t>
      </w:r>
    </w:p>
    <w:p>
      <w:pPr>
        <w:spacing w:after="0" w:line="247"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We believe these provisions will protect our shareholders from coercive or otherwise unfair takeover tactics by requiring potential acquirers to negotiate with our Board of Directors and by providing our Board of Directors with more time to assess any acquisition proposal. These provisions are not intended to make GLPI immune from takeovers or to prevent a transaction from occurring. However, these provisions will apply even if the offer may be considered beneficial by some shareholders and could delay or prevent an acquisition that our Board of Directors determines is not in the best interests of GLPI. These provisions may also prevent or discourage attempts to remove and replace incumbent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30" w:right="25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experience uninsured or underinsured losses, which could result in a significant loss of the capital we have invested in a property, decrease anticipated future revenues or cause us to incur unanticipated expense.</w:t>
      </w:r>
    </w:p>
    <w:p>
      <w:pPr>
        <w:spacing w:after="0" w:line="22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While our leases require, and new lease agreements are expected to require, that comprehensive insurance and hazard insurance be maintained by the tenants, a tenant's failure to comply could lead to an uninsured or underinsured loss and there can be no assurance that we will be able to recover such uninsured or underinsured amounts from such tenant. Further, there are certain types of losses, generally of a catastrophic nature, such as earthquakes, hurricanes and floods, that may be uninsurable or not economically insurable. Insurance coverage may not be sufficient to pay the full current market value or current replacement cost of a loss. Inflation, changes in building codes and ordinances, environmental considerations, and other factors also might make it infeasible to use insurance proceeds to replace the property after such property has been damaged or destroyed. Under such circumstances, the insurance proceeds received might not be adequate to restore the economic position with respect to such property.</w:t>
      </w:r>
    </w:p>
    <w:p>
      <w:pPr>
        <w:spacing w:after="0" w:line="232"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If we or one of our tenants experience a loss that is uninsured, or that exceeds our or our tenant's policy coverage limits, we could lose the capital invested in the damaged properties as well as the anticipated future cash flows from those properties. In addition, if the damaged properties were subject to recourse indebtedness, we could continue to be liable for the indebtedness even if these properties were irreparably damaged.</w:t>
      </w:r>
    </w:p>
    <w:p>
      <w:pPr>
        <w:spacing w:after="0" w:line="22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In addition, even if damage to our properties is covered by insurance, a disruption of our or our tenant's business caused by a casualty event may result in the loss of business or tenants. The business interruption insurance we or our tenant's carry may not fully compensate us for the loss of business or tenants due to an interruption caused by a casualty event.</w:t>
      </w:r>
    </w:p>
    <w:p>
      <w:pPr>
        <w:spacing w:after="0" w:line="235" w:lineRule="exact"/>
        <w:rPr>
          <w:sz w:val="20"/>
          <w:szCs w:val="20"/>
          <w:color w:val="auto"/>
        </w:rPr>
      </w:pPr>
    </w:p>
    <w:p>
      <w:pPr>
        <w:jc w:val="both"/>
        <w:ind w:right="280" w:firstLine="648"/>
        <w:spacing w:after="0" w:line="286" w:lineRule="auto"/>
        <w:rPr>
          <w:sz w:val="20"/>
          <w:szCs w:val="20"/>
          <w:color w:val="auto"/>
        </w:rPr>
      </w:pPr>
      <w:r>
        <w:rPr>
          <w:rFonts w:ascii="Arial" w:cs="Arial" w:eastAsia="Arial" w:hAnsi="Arial"/>
          <w:sz w:val="17"/>
          <w:szCs w:val="17"/>
          <w:color w:val="auto"/>
        </w:rPr>
        <w:t>A disruption in the financial markets may make it more difficult to evaluate the stability, net assets and capitalization of insurance companies and any insurer's ability to meet its claim payment obligations. A failure of an insurance company to make payments to us or our tenants upon an event of loss covered by an insurance policy could adversely affect our business, financial condition and results of operations.</w:t>
      </w:r>
    </w:p>
    <w:p>
      <w:pPr>
        <w:spacing w:after="0" w:line="8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and holders of our common stock could lose a significant portion of their investment if the market price of our common stock declines.</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market price of our common stock may be volatile, and shareholders may not be able to resell their shares of our common stock at or above the price at which they acquired the common stock due to fluctuations in its market price, including changes in price caused by factors unrelated to our performance or prospects.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Specific factors that may have a significant effect on the market price for our common stock include, among others, the following:</w:t>
      </w:r>
    </w:p>
    <w:p>
      <w:pPr>
        <w:spacing w:after="0" w:line="225"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stock market analyst recommendations or earnings estimates regarding our common stock or other comparable REITs;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stream or future prospects;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strategic actions taken by us or our competitors, such as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failure to close pending acquisitions;</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failure to achieve the perceived benefits of our acquisitions, including financial results, as rapidly as or to the extent anticipated by financial or industry analysts;</w:t>
      </w:r>
    </w:p>
    <w:p>
      <w:pPr>
        <w:spacing w:after="0" w:line="170" w:lineRule="exact"/>
        <w:rPr>
          <w:rFonts w:ascii="Arial" w:cs="Arial" w:eastAsia="Arial" w:hAnsi="Arial"/>
          <w:sz w:val="18"/>
          <w:szCs w:val="18"/>
          <w:color w:val="auto"/>
        </w:rPr>
      </w:pPr>
    </w:p>
    <w:p>
      <w:pPr>
        <w:ind w:left="1300" w:right="48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and operations or the gaming industry;</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tax or accounting standards, policies, guidance, interpretations or principles;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interest rate environment;</w:t>
      </w:r>
    </w:p>
    <w:p>
      <w:pPr>
        <w:spacing w:after="0" w:line="225" w:lineRule="exact"/>
        <w:rPr>
          <w:rFonts w:ascii="Arial" w:cs="Arial" w:eastAsia="Arial" w:hAnsi="Arial"/>
          <w:sz w:val="18"/>
          <w:szCs w:val="18"/>
          <w:color w:val="auto"/>
        </w:rPr>
      </w:pPr>
    </w:p>
    <w:p>
      <w:pPr>
        <w:ind w:left="1300" w:right="58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conditions in the financial markets or general U.S. or international economic conditions, including those resulting from war, incidents of terrorism and responses to such events;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our common stock by members of our management team or other significant shareholders.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30" w:right="25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Environmental compliance costs and liabilities associated with real estate properties owned by us may materially impair the value of those investments.</w:t>
      </w:r>
    </w:p>
    <w:p>
      <w:pPr>
        <w:spacing w:after="0" w:line="314"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As an owner of real property, we are subject to various federal, state and local environmental and health and safety laws and regulations. Although we do not operate or manage most of our properties, we may be held primarily or jointly and severally liable for costs relating to the investigation and clean-up of any property from which there has been a release or threatened release of a regulated material as well as other affected properties, regardless of whether we knew of or caused the release.</w:t>
      </w:r>
    </w:p>
    <w:p>
      <w:pPr>
        <w:spacing w:after="0" w:line="241"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In addition to these costs, which are typically not limited by law or regulation and could exceed the property's value, we could be liable for certain other costs, including governmental fines and injuries to persons, property or natural resources. Further, some environmental laws create a lien on the contaminated site in favor of the government for damages and the costs the government incurs in connection with such contamination.</w:t>
      </w:r>
    </w:p>
    <w:p>
      <w:pPr>
        <w:spacing w:after="0" w:line="220"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Although we require our operators and tenants to undertake to indemnify us for certain environmental liabilities, including environmental liabilities they cause, the amount of such liabilities could exceed the financial ability of the tenant or operator to indemnify us. The presence of contamination or the failure to remediate contamination may adversely affect our ability to sell or lease the real estate or to borrow using the real estate as collateral.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U.S. federal income tax laws could materially and adversely affect us and our shareholders.</w:t>
      </w:r>
    </w:p>
    <w:p>
      <w:pPr>
        <w:spacing w:after="0" w:line="27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Tax Cuts and Jobs Act made significant changes to the federal income taxation of individuals and corporations under the Code, generally effective for taxable years beginning after December 31, 2017. In addition to reducing corporate and individual income tax rates, the Tax Cuts and Jobs Act eliminates or restricts various deductions that, along with other provisions, may change the way that we calculate our REIT taxable income and our TRS’s taxable income. Significant provisions of the Tax Cuts and Jobs Act that investors should be aware of include provisions that: (i) lower the corporate income tax rate to 21%, (ii) provide noncorporate taxpayers with a deduction of up to 20% of certain income earned through partnerships and REITs, (iii) limits the net operating loss deduction to 80% of taxable income, where taxable income is determined without regard to the net operating loss deduction itself, generally eliminates net operating loss carrybacks and allows unused net operating losses to be carried forward indefinitely, (iv) expand the ability of businesses to deduct the cost of certain property investments in the year in which the property is purchased, (v) generally lower tax rates for individuals and other noncorporate taxpayers, while limiting deductions such as miscellaneous itemized deductions and state and local tax deductions, and (vi) limits the deduction for net interest expense incurred by a business to 30% of the “adjusted taxable income” of the taxpayer, but does not apply to certain small-business taxpayers or electing real property trades or businesses, including REITs. The effect of these, and the many other, changes made is highly uncertain, both in terms of their direct effect on the taxation of holders of our common stock and their indirect effect on the value of our assets or market conditions generally. Furthermore, many of the provisions of the Tax Cuts and Jobs Act require guidance through the issuance of Treasury regulations in order to assess their effect. While there have been recent regulations proposed in relation to the Tax Cuts and Jobs Act, there may be a substantial delay or modifications before such regulations are finalized, increasing the uncertainty as to the ultimate effect of the statutory amendments on us.</w:t>
      </w:r>
    </w:p>
    <w:p>
      <w:pPr>
        <w:spacing w:after="0" w:line="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risks associated with security breaches through cyber-attacks, cyber intrusions or otherwise, as well as other significant disruptions of our information technology (IT) networks and related systems.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face risks associated with security breaches, whether through cyber-attacks or cyber intrusions over the internet, malware, computer viruses, attachments to e-mails, persons inside our organization or persons with access to systems inside our organization, and other significant disruptions of our IT networks and related systems. The risk of a security breach or disruption, particularly through cyber-attack or cyber intrusion, including by computer hackers, foreign governments and cyber terrorists, has generally increased as the number, intensity and sophistication of attempted attacks and intrusions from around the world have increased. Our IT networks and related systems are essential to the operation of our business and our ability to perform day-to-day operations. Although we make efforts to maintain the security and integrity of these types of IT networks and related systems, and we have implemented various measures to manage the risk of a security breach or disruption, there can be no assurance that our security efforts and measures will be effective or that attempted security breaches or disruptions would not be successful or damaging. A security breach or other significant disruption involving our IT networks and related systems could disrupt the proper functioning of our networks and systems; result in misstated financial reports, violations of loan covenants and/or missed reporting deadlines; result in our inability to monitor our compliance with the rules and regulations regarding our qualification as a REIT; result in the unauthorized access to, and destruction, loss, theft, misappropriation or release of proprietary, confidential, sensitive or otherwise valuable information of ours or others, which others could use to compete against us or for disruptive, destructive or otherwise harmful purposes and outcomes; require significant management attention and resources to remedy any damages that result; subject us to claims for breach of contract, damages, credits, penalties or termination of certain agreements; or damage our reputation among our tenants and investors generally.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Status as a REIT</w:t>
      </w:r>
    </w:p>
    <w:p>
      <w:pPr>
        <w:spacing w:after="0" w:line="283"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If we do not qualify to be taxed as a REIT, or fail to remain qualified as a REIT, we will be subject to U.S. federal income tax as a regular corporation and could face a substantial tax liability, which would reduce the amount of cash available for distribution to our shareholders.</w:t>
      </w:r>
    </w:p>
    <w:p>
      <w:pPr>
        <w:spacing w:after="0" w:line="17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elected on our 2014 U.S. federal income tax return to be treated as a REIT and intend to continue to be organized and to operate in a manner that will permit us to qualify as a REIT. We currently operate, and intend to continue to operate, in a manner that will allow us to continue to qualify to be taxed as a REIT for U.S. federal income tax purposes. We received an opinion from our special tax advisors, Wachtell, Lipton, Rosen &amp; Katz and KPMG LLP (collectively the "Special Tax Advisors"), with respect to our qualification as a REIT in connection with the Spin-Off. Investors should be aware, however, that opinions of advisors are not binding on the IRS or any court. The opinions of the Special Tax Advisors represent only the view of the Special Tax Advisors based on their review and analysis of existing law and on certain representations as to factual matters and covenants made by us, including representations relating to the values of our assets and the sources of our income. The opinions are expressed as of the date issued. The Special Tax Advisors have no obligation to advise us or the holders of our common stock of any subsequent change in the matters stated, represented or assumed or of any subsequent change in applicable law. Furthermore, both the validity of the opinions of Special Tax Advisors and our qualification as a REIT will depend on our satisfaction of certain asset, income, organizational, distribution, shareholder ownership and other requirements on a continuing basis, the results of which are not monitored by the Special Tax Advisors. Our ability to satisfy the asset tests depends upon our analysis of the characterization and fair market values of our assets, some of which are not susceptible to a precise determination, and for which we will not obtain independent appraisals.</w:t>
      </w:r>
    </w:p>
    <w:p>
      <w:pPr>
        <w:spacing w:after="0" w:line="22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Penn has received a private letter ruling from the IRS with respect to certain issues relevant to our qualification as a REIT. In general, the ruling provides, subject to the terms and conditions contained therein, that (1) certain of the assets to be held by us after the Spin-Off and (2) the methodology for calculating a certain portion of rent received by us pursuant to the Penn Master Lease will not adversely affect our qualification as a REIT. Although we may generally rely upon the ruling, no assurance can be given that the IRS will not challenge our qualification as a REIT on the basis of other issues or facts outside the scope of the ruling.</w:t>
      </w:r>
    </w:p>
    <w:p>
      <w:pPr>
        <w:spacing w:after="0" w:line="24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If we were to fail to qualify to be taxed as a REIT in any taxable year, we would be subject to U.S. federal income tax, including any applicable alternative minimum tax, on our taxable income at regular corporate rates, and dividends paid to our shareholders would not be deductible by us in computing our taxable income. Any resulting corporate liability could be substantial and would reduce the amount of cash available for distribution to our shareholders, which in turn could have an adverse impact on the value of our common stock. Unless we were entitled to relief under certain Code provisions, we also would be disqualified from re-electing to be taxed as a REIT for the four taxable years following the year in which we failed to qualify to be taxed as a REIT.</w:t>
      </w:r>
    </w:p>
    <w:p>
      <w:pPr>
        <w:spacing w:after="0" w:line="21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Qualifying as a REIT involves highly technical and complex provisions of the Code and violations of these provisions could jeopardize our REIT qualifications.</w:t>
      </w:r>
    </w:p>
    <w:p>
      <w:pPr>
        <w:spacing w:after="0" w:line="224"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Qualification as a REIT involves the application of highly technical and complex Code provisions for which only limited judicial and administrative authorities exist. Even a technical or inadvertent violation could jeopardize our REIT qualification. Our qualification as a REIT depends on our satisfaction of certain asset, income, organizational, distribution, shareholder ownership and other requirements on a continuing basis. In addition, our ability to satisfy the requirements to qualify to be taxed as a REIT may depend in part on the actions of third parties over which we have no control or only limited influence.</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could fail to qualify to be taxed as a REIT if income we receive from Penn, Eldorado, Boyd, or their subsidiaries, is not treated as qualifying income.</w:t>
      </w:r>
    </w:p>
    <w:p>
      <w:pPr>
        <w:spacing w:after="0" w:line="314"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Under applicable provisions of the Code, we will not be treated as a REIT unless we satisfy various requirements, including requirements relating to the sources of our gross income. Rents received or accrued by us from Penn, Eldorado, Boyd or their subsidiaries, will not be treated as qualifying rent for purposes of these requirements if the Penn Master Lease, Amended Pinnacle Master Lease, Eldorado Master Lease or Boyd Master Lease is not respected as a true lease for U.S. federal income tax purposes and is instead treated as a service contract, joint venture or some other type of arrangement. If the Penn Master Lease, Amended Pinnacle Master Lease, Eldorado Master Lease or Boyd Master Lease is not respected as a true lease for U.S. federal income tax purposes, we may fail to qualify to be taxed as a REIT. Furthermore, our qualification as a REIT will depend on our satisfaction of certain asset, income, organizational, distribution, shareholder ownership and other requirements on a continuing basis. Our ability to satisfy the asset tests depends upon our analysis of the characterization and fair market values of our assets, some of which are not susceptible to a precise determination, and for which we will not obtain independent appraisals.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30" w:right="25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addition, subject to certain exceptions, rents received or accrued by us from Penn, Eldorado, Boyd or their subsidiaries, will not be treated as qualifying rent for purposes of these requirements if we or an actual or constructive owner of 10% or more of our stock actually or constructively owns 10% or more of the total combined voting power of all classes of Penn stock, Eldorado stock or Boyd stock entitled to vote or 10% or more of the total value of all classes of Penn stock, Eldorado stock or Boyd stock. Our charter provides for restrictions on ownership and transfer of our shares of stock, including restrictions on such ownership or transfer that would cause the rents received or accrued by us from Penn, Eldorado, Boyd or their subsidiaries, to be treated as non-qualifying rent for purposes of the REIT gross income requirements. Nevertheless, there can be no assurance that such restrictions will be effective in ensuring that rents received or accrued by us from Penn, Eldorado, Boyd or their subsidiaries, will not be treated as qualifying rent for purposes of REIT qualification requirements.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 by REITs do not qualify for the reduced tax rates available for some dividends.</w:t>
      </w:r>
    </w:p>
    <w:p>
      <w:pPr>
        <w:spacing w:after="0" w:line="27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maximum U.S. federal income tax rate applicable to income from "qualified dividends" payable by U.S. corporations to U.S. shareholders that are individuals, trusts and estates is currently 20%. Ordinary dividends payable by REITs, however, generally are not eligible for the reduced rates. However, for taxable years that begin after December 31, 2017, and before January 1, 2026: (i) the U.S. federal income tax brackets generally applicable to ordinary income of individuals, trusts and estates have been modified (with the rates generally reduced) and (ii) shareholders that are individuals, trusts or estates are generally entitled to a deduction equal to 20% of the aggregate amount of ordinary income dividends received from a REIT (not including dividends that are eligible for the reduced rates applicable to “qualified dividend income” or treated as capital gain dividends), subject to certain limitations.</w:t>
      </w:r>
    </w:p>
    <w:p>
      <w:pPr>
        <w:spacing w:after="0" w:line="21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more favorable rates applicable to regular corporate qualified dividends could cause investors who are individuals, trusts or estates to perceive investments in REITs to be relatively less attractive than investments in the stocks of non-REIT corporations that pay dividends, which could adversely affect the value of the stock of REITs, including our stock, even taking into account the lower 37% maximum rate for ordinary income and the 20% deduction for ordinary REIT dividends received in taxable years beginning after December 31, 2017 and before January 1, 2026.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REIT distribution requirements could adversely affect our ability to execute our business plan.</w:t>
      </w:r>
    </w:p>
    <w:p>
      <w:pPr>
        <w:spacing w:after="0" w:line="27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w:t>
      </w:r>
    </w:p>
    <w:p>
      <w:pPr>
        <w:spacing w:after="0" w:line="23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From time to time, we may generate taxable income greater than our cash flow as a result of differences in timing between the recognition of taxable income and the actual receipt of cash or the effect of nondeductible capital expenditures, the creation of reserves or required debt or amortization payments. If we do not have other funds available in these situations, we could be required to borrow funds on unfavorable terms, sell assets at disadvantageous prices, distribute amounts that would otherwise be invested in future acquisitions, or pay dividends in the form of taxable in-kind distributions of property, including potentially, shares of our common stock to make distributions sufficient to enable us to pay out enough of our taxable income to satisfy the REIT distribution requirement and to avoid corporate income tax and the 4% excise tax in a particular year. These alternatives could increase our costs or reduce our equity. Thus, compliance with the REIT requirements may hinder our ability to grow, which could adversely affect the value of our stock. Restrictions on our indebtedness, including restrictions on our ability to incur additional indebtedness or make certain distributions, could preclude us from meeting the 90% distribution requirement. Decreases in funds from operations due to unfinanced expenditures for acquisitions of properties or increases in the number of shares of our common stock outstanding without commensurate increases in funds from operations each would adversely affect our ability to maintain distributions to our shareholders. Moreover, the failure of Penn to make rental payments under the Penn Master Lease, the Amended Pinnacle Master Lease or the Meadows Lease, as applicable, would materially impair our ability to make distributions. Consequently, there can be no assurance that we will be able to make distributions at the anticipated distribution rate or any other rate.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remain qualified as a REIT, we may face other tax liabilities that reduce our cash flow.</w:t>
      </w:r>
    </w:p>
    <w:p>
      <w:pPr>
        <w:spacing w:after="0" w:line="279"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Even if we remain qualified for taxation as a REIT, we may be subject to certain U.S. federal, state, and local taxes on our income and assets, including taxes on any undistributed income and state or local income, property and transfer taxes. For example, we hold certain of our assets and conduct related activities through TRS subsidiary corporations that are subject to</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federal, state, and local corporate-level income taxes as regular C corporations as well as state and local gaming taxes. In addition, we may incur a 100% excise tax on transactions with a TRS if they are not conducted on an arm's-length basis. Any of these taxes would decrease cash available for distribution to our shareholders.</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Complying with REIT requirements may cause us to forego otherwise attractive acquisition opportunities or liquidate otherwise attractive investments.</w:t>
      </w:r>
    </w:p>
    <w:p>
      <w:pPr>
        <w:spacing w:after="0" w:line="314"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To qualify to be taxed as a REIT for U.S. federal income tax purposes, we must ensure that, at the end of each calendar quarter, at least 75% of the value of our assets consist of cash, cash items, government securities and "real estate assets" (as defined in the Code), including certain mortgage loans and securities. The remainder of our investments (other than government securities, qualified real estate assets and securities issued by a TRS)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TRS) can consist of the securities of any one issuer, and no more than 20% of the value of our total assets can be represented by securities of one or more TRSs.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or forego otherwise attractive investments. These actions could have the effect of reducing our income and amounts available for distribution to our shareholders.</w:t>
      </w:r>
    </w:p>
    <w:p>
      <w:pPr>
        <w:spacing w:after="0" w:line="232"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In addition to the asset tests set forth above, to qualify to be taxed as a REIT we must continually satisfy tests concerning, among other things, the sources of our income, the amounts we distribute to shareholders and the ownership of our stock. We may be unable to pursue investments that would be otherwise advantageous to us in order to satisfy the source-of-income or asset-diversification requirements for qualifying as a REIT. Thus, compliance with the REIT requirements may hinder our ability to make certain attractive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limit our ability to hedge effectively and may cause us to incur tax liabilities.</w:t>
      </w:r>
    </w:p>
    <w:p>
      <w:pPr>
        <w:spacing w:after="0" w:line="2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REIT provisions of the Code substantially limit our ability to hedge our assets and liabilities. Income from certain hedging transactions that we may enter into to manage risk of interest rate changes with respect to borrowings made or to be made to acquire or carry real estate assets or from transactions to manage risk of currency fluctuations with respect to any item of income or gain that satisfy the REIT gross income tests (including gain from the termination of such a transaction) does not constitute "gross income" for purposes of the 75% or 95% gross income tests that apply to REITs, provided that certain identification requirements are met. To the extent that we enter into other types of hedging transactions or fail to properly identify such transaction as a hedge, the income is likely to be treated as non-qualifying income for purposes of both of the gross income tests. As a result of these rules, we may be required to limit our use of advantageous hedging techniques or implement those hedges through a TRS. This could increase the cost of our hedging activities because the TRS may be subject to tax on gains or expose us to greater risks associated with changes in interest rates that we would otherwise want to bear. In addition, losses in the TRS will generally not provide any tax benefit, except that such losses could theoretically be carried back or forward against past or future taxable income in the TRS.</w:t>
      </w:r>
    </w:p>
    <w:p>
      <w:pPr>
        <w:spacing w:after="0" w:line="23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We could be subject to tax on any unrealized net built-in gains on the assets held before electing to be treated as a REIT and on the assets acquired from Pinnacle (prior to the Penn-Pinnacle Merger), which could have a material and adverse effect on our business and financial condition.</w:t>
      </w:r>
    </w:p>
    <w:p>
      <w:pPr>
        <w:spacing w:after="0" w:line="178"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own appreciated assets that were held by a C corporation before we elected to be treated as a REIT and were acquired in a transaction in which the adjusted tax basis of the assets in our ownership is determined by reference to the adjusted tax basis of the assets in the hands of the C corporation. If we dispose of any such appreciated assets during the five-year period following our acquisition of the assets from the C corporation (i.e., during the five-year period following our qualification as a REIT), we will be subject to tax at the highest corporate tax rates on any gain from such assets to the extent of the excess of the fair market value of the assets on the date that they were acquired by us over the adjusted tax basis of such assets on such date, which are referred to as built-in gains. The assets acquired from Pinnacle (prior to the Penn-Pinnacle Merger) are expected to have significant built-in-gains. Because, prior to the original Pinnacle transaction, Pinnacle was a C corporation, if we dispose of any such appreciated assets during the five-year period following the transactions, we will be subject to tax at the highest corporate tax rates on any gain from such assets to the extent of the built-in-gain in such assets at the time of the transaction.</w:t>
      </w:r>
    </w:p>
    <w:p>
      <w:pPr>
        <w:spacing w:after="0" w:line="25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would be subject to this tax liability even if we continue to qualify and maintain our status as a REIT. Any recognized built-in gain will retain our character as ordinary income or capital gain and will be taken into account in determining REIT taxable income and our distribution requirement. Any tax on the recognized built-in gain will reduce REIT taxable income. We may choose not to sell in a taxable transaction appreciated assets we might otherwise sell during the five-</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year period in which the built-in gain tax applies in order to avoid the built-in gain tax. However, there can be no assurances that such a taxable transaction will not occur. If we sell such assets in a taxable transaction, the amount of corporate tax that we will pay will vary depending on the actual amount of net built-in gain or loss present in those assets as of the time we became a REIT. The amount of tax could be significant.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 Structure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future capital needs and may not be able to obtain additional financing on acceptable terms.</w:t>
      </w:r>
    </w:p>
    <w:p>
      <w:pPr>
        <w:spacing w:after="0" w:line="27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December 31, 2018, we had approximately $5.9 billion in long-term indebtedness, net of unamortized debt issuance costs, bond premiums and original issuance discounts, consisting of:</w:t>
      </w:r>
    </w:p>
    <w:p>
      <w:pPr>
        <w:spacing w:after="0" w:line="89" w:lineRule="exact"/>
        <w:rPr>
          <w:sz w:val="20"/>
          <w:szCs w:val="20"/>
          <w:color w:val="auto"/>
        </w:rPr>
      </w:pPr>
    </w:p>
    <w:p>
      <w:pPr>
        <w:ind w:left="1300" w:right="160" w:hanging="320"/>
        <w:spacing w:after="0" w:line="286"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$927.0 million of total indebtedness outstanding under our senior unsecured credit facility (the "Credit Facility") (consisting of the $525.0 million Term Loan A-1 facility and $402.0 million of borrowings under our revolving credit facility) and approximately $772.6 million available for borrowing under our Revolver (including $0.4 million of contingent obligations under letters of credit);</w:t>
      </w:r>
    </w:p>
    <w:p>
      <w:pPr>
        <w:spacing w:after="0" w:line="165" w:lineRule="exact"/>
        <w:rPr>
          <w:rFonts w:ascii="Arial" w:cs="Arial" w:eastAsia="Arial" w:hAnsi="Arial"/>
          <w:sz w:val="17"/>
          <w:szCs w:val="17"/>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$4.975 billion of outstanding senior unsecured notes;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approximately $1.1 million of capital lease obligation related to certain assets.</w:t>
      </w:r>
    </w:p>
    <w:p>
      <w:pPr>
        <w:spacing w:after="0" w:line="14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may incur additional indebtedness in the future to refinance our existing indebtedness or to finance newly-acquired properties. Any significant additional indebtedness could require a substantial portion of our cash flow to make interest and principal payments due on our indebtedness. Greater demands on our cash resources may reduce funds available to us to pay dividends, make capital expenditures and acquisitions, or carry out other aspects of our business strategy. Increased indebtedness can also limit our ability to adjust rapidly to changing market conditions, make us more vulnerable to general adverse economic and industry conditions and create competitive disadvantages for us compared to other companies with relatively lower debt levels and/or borrowing costs. Increased future debt service obligations may limit our operational flexibility, including our ability to acquire properties, finance or refinance our properties, contribute properties to joint ventures or sell properties as needed. To the extent that we incur additional indebtedness or such other obligations, the risks associated with our leverage, including our possible inability to service our debt, would increase.</w:t>
      </w:r>
    </w:p>
    <w:p>
      <w:pPr>
        <w:spacing w:after="0" w:line="220"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We may be unable to obtain additional financing or financing on favorable terms or our operating cash flow may be insufficient to satisfy our financial obligations under indebtedness outstanding from time to time (if any). If financing is not available when needed, or is available on unfavorable terms, we may be unable to develop new or enhance our existing properties, complete acquisitions or otherwise take advantage of business opportunities or respond to competitive pressures, any of which could have a material adverse effect on our business, financial condition and results of operations.</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incurred additional indebtedness in connection with our financing for the Tropicana Acquisition, the purchase of Plainridge Park Casino and our mortgage loans to casino owner-operators.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Our increased indebtedness could have significant effects on our business and ability to pay dividends to our shareholders, including the following:</w:t>
      </w:r>
    </w:p>
    <w:p>
      <w:pPr>
        <w:spacing w:after="0" w:line="237" w:lineRule="exact"/>
        <w:rPr>
          <w:sz w:val="20"/>
          <w:szCs w:val="20"/>
          <w:color w:val="auto"/>
        </w:rPr>
      </w:pPr>
    </w:p>
    <w:p>
      <w:pPr>
        <w:ind w:left="1300" w:right="38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may limit our ability to obtain additional debt or equity financing for working capital, capital expenditures, acquisitions, debt service requirements and general corporate or other purposes;</w:t>
      </w:r>
    </w:p>
    <w:p>
      <w:pPr>
        <w:spacing w:after="0" w:line="170" w:lineRule="exact"/>
        <w:rPr>
          <w:rFonts w:ascii="Arial" w:cs="Arial" w:eastAsia="Arial" w:hAnsi="Arial"/>
          <w:sz w:val="18"/>
          <w:szCs w:val="18"/>
          <w:color w:val="auto"/>
        </w:rPr>
      </w:pPr>
    </w:p>
    <w:p>
      <w:pPr>
        <w:ind w:left="1300" w:right="14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material portion of our cash flows will be dedicated to the payment of principal and interest on our indebtedness, including indebtedness we may incur in the future, and will not be available for other purposes, including to make acquisitions;</w:t>
      </w:r>
    </w:p>
    <w:p>
      <w:pPr>
        <w:spacing w:after="0" w:line="170" w:lineRule="exact"/>
        <w:rPr>
          <w:rFonts w:ascii="Arial" w:cs="Arial" w:eastAsia="Arial" w:hAnsi="Arial"/>
          <w:sz w:val="18"/>
          <w:szCs w:val="18"/>
          <w:color w:val="auto"/>
        </w:rPr>
      </w:pPr>
    </w:p>
    <w:p>
      <w:pPr>
        <w:ind w:left="1300" w:right="24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could limit our flexibility in planning for, or reacting to, changes in our business and the industry in which we operate and place us at a competitive disadvantage compared to our competitors that have less debt or are less leveraged;</w:t>
      </w:r>
    </w:p>
    <w:p>
      <w:pPr>
        <w:spacing w:after="0" w:line="170" w:lineRule="exact"/>
        <w:rPr>
          <w:rFonts w:ascii="Arial" w:cs="Arial" w:eastAsia="Arial" w:hAnsi="Arial"/>
          <w:sz w:val="18"/>
          <w:szCs w:val="18"/>
          <w:color w:val="auto"/>
        </w:rPr>
      </w:pPr>
    </w:p>
    <w:p>
      <w:pPr>
        <w:ind w:left="1300" w:right="18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could make us more vulnerable to downturns in general economic or industry conditions or in our business, or prevent us from carrying out activities that are important to our growth;</w:t>
      </w:r>
    </w:p>
    <w:p>
      <w:pPr>
        <w:spacing w:after="0" w:line="170" w:lineRule="exact"/>
        <w:rPr>
          <w:rFonts w:ascii="Arial" w:cs="Arial" w:eastAsia="Arial" w:hAnsi="Arial"/>
          <w:sz w:val="18"/>
          <w:szCs w:val="18"/>
          <w:color w:val="auto"/>
        </w:rPr>
      </w:pPr>
    </w:p>
    <w:p>
      <w:pPr>
        <w:ind w:left="1300" w:right="6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could increase our interest expense if interest rates in general increase because our indebtedness under the Credit Facility bears interest at floating rates;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30" w:right="25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could limit our ability to take advantage of strategic business opportunities; and</w:t>
      </w:r>
    </w:p>
    <w:p>
      <w:pPr>
        <w:spacing w:after="0" w:line="225" w:lineRule="exact"/>
        <w:rPr>
          <w:rFonts w:ascii="Arial" w:cs="Arial" w:eastAsia="Arial" w:hAnsi="Arial"/>
          <w:sz w:val="18"/>
          <w:szCs w:val="18"/>
          <w:color w:val="auto"/>
        </w:rPr>
      </w:pPr>
    </w:p>
    <w:p>
      <w:pPr>
        <w:ind w:left="1300" w:right="140" w:hanging="320"/>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could make it more difficult for us to satisfy our obligations with respect to our indebtedness. Any failure to comply with the obligations of any of our debt instruments could result in an event of default which, if not cured or waived, could result in the acceleration of our indebtedness under the Credit Facility and other outstanding debt obligations.</w:t>
      </w:r>
    </w:p>
    <w:p>
      <w:pPr>
        <w:spacing w:after="0" w:line="18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Credit Facility or from other debt financing, in an amount sufficient to enable us to pay our indebtedness or to fund our other liquidity needs. If we do not generate sufficient cash flow from operations to satisfy our debt service obligations, we may have to undertake alternative financing plans, such as refinancing or restructuring our indebtedness, selling assets or seeking to raise additional capital, including by issuing equity securities or securities convertible into equity securities. Our ability to restructure or refinance our indebtedness will depend on the capital markets and our financial condition at such time. Any refinancing of our indebtedness could be at higher interest rates and may require us to comply with more onerous covenants, which could further restrict our business operations. Our inability to generate sufficient cash flow to satisfy our debt service requirements or to refinance our obligations on commercially reasonable terms would have an adverse effect, which could be material to our business, financial position or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shareholders may be subject to significant dilution caused by the additional issuance of equity securities.</w:t>
      </w:r>
    </w:p>
    <w:p>
      <w:pPr>
        <w:spacing w:after="0" w:line="27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If and when additional funds are raised through the issuance of equity securities, including under our "at the market" offering program (the "ATM Program") or in connection with future acquisitions, our shareholders may experience significant dilution. Additionally, sales of substantial amounts of our common stock in the public market, or the perception that such sales could occur, could adversely affect the market price of our common stock, may make it more difficult for our shareholders to sell their GLPI common stock at a time and price that they deem appropriate and could impair our future ability to raise capital through an offering of our equity securities.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changes in our credit rating may affect our borrowing capacity and borrowing terms.</w:t>
      </w:r>
    </w:p>
    <w:p>
      <w:pPr>
        <w:spacing w:after="0" w:line="27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outstanding debt is periodically rated by nationally recognized credit rating agencies. The credit ratings are based upon our operating performance, liquidity and leverage ratios, overall financial position, and other factors viewed by the credit rating agencies as relevant to both our industry and the economic outlook. Our credit rating may affect the amount of capital we can access, as well as the terms of any financing we obtain. Because we rely in part on debt financing to fund growth, the absence of an investment grade credit rating or any credit rating downgrade may have a negative effect on our future growth.</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obtain additional capital, our growth may be limited.</w:t>
      </w:r>
    </w:p>
    <w:p>
      <w:pPr>
        <w:spacing w:after="0" w:line="27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described above, in order to qualify and maintain our qualification as a REIT each year, we are required to distribute at least 90% of our REIT taxable income, excluding net capital gains, to our shareholders. As a result, our retained earnings available to fund acquisitions, development, or other capital expenditures are nominal, and we rely upon the availability of additional debt or equity capital to fund these activities. Our long-term ability to grow through acquisitions or development, which is an important component of our strategy, will be limited if we cannot obtain additional debt financing or raise equity capital. Market conditions may make it difficult to obtain debt financing or raise equity capital, and we cannot assure you that we will be able to obtain additional debt or equity financing or that we will be able to obtain such capital on favorable terms.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increase in market interest rates could increase our interest costs on existing and future debt and could adversely affect our stock price.</w:t>
      </w:r>
    </w:p>
    <w:p>
      <w:pPr>
        <w:spacing w:after="0" w:line="29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If interest rates increase, so could our interest costs for any new debt and our variable rate debt obligations. This increased cost could make the financing of any acquisition more costly, as well as lower our current period earnings. Rising interest rates could limit our ability to refinance existing debt when it matures or cause us to pay higher interest rates upon refinancing. In addition, an increase in interest rates could decrease the access third parties have to credit, thereby decreasing the amount they are willing to pay for our assets and consequently limiting our ability to reposition our portfolio promptly in response to changes in economic or other conditions.</w:t>
      </w:r>
    </w:p>
    <w:p>
      <w:pPr>
        <w:spacing w:after="0" w:line="24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Further, the dividend yield on our common stock, as a percentage of the price of such common stock, will influence the price of such common stock. Thus, an increase in market interest rates may lead prospective purchasers of our common stock to expect a higher dividend yield, which would adversely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Covenants in our debt agreements may limit our operational flexibility, and a covenant breach or default could materially adversely affect our business, financial position or results of operations.</w:t>
      </w:r>
    </w:p>
    <w:p>
      <w:pPr>
        <w:spacing w:after="0" w:line="2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agreements governing our indebtedness contain customary covenants, including restrictions on our ability to grant liens on our assets, incur indebtedness, sell assets, make investments, engage in acquisitions, mergers or consolidations and pay certain dividends and other restricted payments. Specifically, our debt agreements contain the following financial covenants: a maximum total debt to total asset value ratio of 60% (subject to increase to 65% for specified periods in connection with certain acquisitions), a minimum fixed charge coverage ratio of 1.5 to 1, a maximum senior secured debt to total asset value ratio of 40% and a maximum unsecured debt to unencumbered asset value ratio of 60%. These restrictions may limit our operational flexibility. Covenants that limit our operational flexibility as well as defaults under our debt instruments could have a material adverse effect on our business, financial position or 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Acquisition of Penn, Pinnacle and Tropicana's Gaming Properties</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recourse against Tropicana, including for any breaches under the Amended Real Estate Purchase Agreement or the Tropicana Merger Agreement, is limited.</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As is customary for a public company target in a merger and acquisition transaction, Tropicana has no obligation to indemnify us or Eldorado for any breaches of its representations and warranties or covenants included in the Merger Agreement and the Real Estate Purchase Agreement, or for any pre-closing liabilities or claims. While we have certain arrangements in place with Eldorado in connection with certain limited pre-closing liabilities, if any issues arise post-closing (other than as provided for in the Eldorado Master Lease), we may not be entitled to sufficient, or any, indemnification or recourse from Tropicana or Eldorado, which could have a materially adverse impact on our business and results of operations.</w:t>
      </w:r>
    </w:p>
    <w:p>
      <w:pPr>
        <w:spacing w:after="0" w:line="9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Each of Penn and Pinnacle have contractual obligations to indemnify us for certain liabilities. However, there can be no assurance that these indemnities will be sufficient to insure us against the full amount of such liabilities, or that Penn's ability to satisfy its and Pinnacle's indemnification obligations will not be impaired in the future.</w:t>
      </w:r>
    </w:p>
    <w:p>
      <w:pPr>
        <w:spacing w:after="0" w:line="235" w:lineRule="exact"/>
        <w:rPr>
          <w:sz w:val="20"/>
          <w:szCs w:val="20"/>
          <w:color w:val="auto"/>
        </w:rPr>
      </w:pPr>
    </w:p>
    <w:p>
      <w:pPr>
        <w:ind w:right="360" w:firstLine="648"/>
        <w:spacing w:after="0" w:line="297" w:lineRule="auto"/>
        <w:rPr>
          <w:sz w:val="20"/>
          <w:szCs w:val="20"/>
          <w:color w:val="auto"/>
        </w:rPr>
      </w:pPr>
      <w:r>
        <w:rPr>
          <w:rFonts w:ascii="Arial" w:cs="Arial" w:eastAsia="Arial" w:hAnsi="Arial"/>
          <w:sz w:val="16"/>
          <w:szCs w:val="16"/>
          <w:color w:val="auto"/>
        </w:rPr>
        <w:t>Each of Penn and Pinnacle have contractual obligations to indemnify us for certain liabilities. However, third parties could seek to hold us responsible for any of the liabilities that Penn and Pinnacle agreed to retain, and there can be no assurance that Penn (including as successor in interest to Pinnacle) will be able to fully satisfy its indemnification obligations. Moreover, even if we ultimately succeed in recovering from Penn any amounts for which we are held liable, we may be temporarily required to bear these losses while seeking recovery from Penn and such recovery could have a material adverse impact on Penn's financial condition and ability to pay rent due under the Penn Master Lease and/or the Amended Pinnacle Master Lease.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Spin-Off from Penn</w:t>
      </w:r>
    </w:p>
    <w:p>
      <w:pPr>
        <w:spacing w:after="0" w:line="28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If the Spin-Off, together with certain related transactions, does not qualify as a transaction that is generally tax-free for U.S. federal income tax purposes, GLPI could be subject to significant tax liabilities and, in certain circumstances, GLPI could be required to indemnify Penn for material taxes pursuant to indemnification obligations under the Tax Matters Agreement.</w:t>
      </w:r>
    </w:p>
    <w:p>
      <w:pPr>
        <w:spacing w:after="0" w:line="23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Penn has received a private letter ruling from the IRS substantially to the effect that, among other things, the Spin-Off, together with the required compliance exchanges and certain related transactions, will qualify as a transaction that is generally tax-free for U.S. federal income tax purposes under Sections 355 and/or 368(a)(1)(D) of the Code (the "IRS Ruling"). The IRS Ruling does not address certain requirements for tax-free treatment of the Spin-Off under Section 355, and Penn received from its tax advisors a tax opinion substantially to the effect that, with respect to such requirements on which the IRS will not rule, such requirements have been satisfied. The IRS Ruling, and the tax opinions that Penn received from its tax advisors, relied on, among other things, certain representations, assumptions and undertakings, including those relating to the past and future conduct of GLPI's business, and the IRS Ruling and the opinions would not be valid if such representations, assumptions and undertakings were incorrect in any material respect.</w:t>
      </w:r>
    </w:p>
    <w:p>
      <w:pPr>
        <w:spacing w:after="0" w:line="221"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Notwithstanding the IRS Ruling and the tax opinions, the IRS could determine the Spin-Off should be treated as a taxable transaction for U.S. federal income tax purposes if it determines any of the representations, assumptions or undertakings that were included in the request for the IRS Ruling are false or have been violated or if it disagrees with the conclusions in the opinions that are not covered by the IRS Ruling.</w:t>
      </w:r>
    </w:p>
    <w:p>
      <w:pPr>
        <w:spacing w:after="0" w:line="22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Under a Tax Matters Agreement that GLPI entered into with Penn, GLPI generally is required to indemnify Penn against any tax resulting from the Spin-Off to the extent that such tax resulted from (i) an acquisition of all or a portion of the equity securities or assets of GLPI, whether by merger or otherwise, (ii) other actions or failures to act by GLPI, or (iii) any of GLPI's representations or undertakings being incorrect or violated. GLPI's indemnification obligations to Penn and its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subsidiaries, officers and directors will not be limited by any maximum amount. If GLPI is required to indemnify Penn or such other persons under the circumstance set forth in the Tax Matters Agreement, GLPI may be subject to substantial liabilities.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historical financial information included in this filing may not be a reliable indicator of future results.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historical financial statements included herein do not reflect what the business, financial position or results of operations of GLPI may be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26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Peter M. Carlino, our Chairman and Chief Executive Officer, and David A. Handler, one of our independent directors, also serve on the Penn Board of Directors which may create conflicts of interest and/or create regulatory obstacles for the Company in its pursuit of additional properties.</w:t>
      </w:r>
    </w:p>
    <w:p>
      <w:pPr>
        <w:spacing w:after="0" w:line="17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Peter M. Carlino serves as non-executive Chairman of the Board of Directors of Penn and the Chairman and Chief Executive Officer of GLPI. In addition, David A. Handler, one of our directors, serves as a director at Penn. These overlapping positions could create, or appear to create, potential conflicts of interest when our or Penn's management and directors pursue the same corporate opportunities, such as greenfield development opportunities, or face decisions that could have different implications for us and Penn. For example, potential conflicts of interest could arise in connection with the negotiation or the resolution of any dispute between us and Penn (or its subsidiaries) regarding the terms of the agreements governing the separation and the relationship (e.g., Penn Master Lease) thereafter. Potential conflicts of interest could also arise if we and Penn enter into any commercial arrangements with each other in the future. We have established a mechanism in our Corporate Governance Guidelines to address potential conflicts through the use of an independent director but there can be no assurance that this process will completely eliminate conflicts resulting from overlapping directors. In addition to potential conflicts of interest, the overlapping director position could create obstacles to engaging in certain transactions in close proximity to existing Penn properties and there can be no assurance that we will be able to overcome such obstacles.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indemnification liabilities of GLPI pursuant to the Separation and Distribution Agreement could materially adversely affect GLPI.</w:t>
      </w:r>
    </w:p>
    <w:p>
      <w:pPr>
        <w:spacing w:after="0" w:line="29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Separation and Distribution Agreement between GLPI and Penn provides for, among other things, the principal corporate transactions required to effect the separation, certain conditions to the separation and provisions governing the relationship between GLPI and Penn with respect to and resulting from the separation.</w:t>
      </w:r>
    </w:p>
    <w:p>
      <w:pPr>
        <w:spacing w:after="0" w:line="235" w:lineRule="exact"/>
        <w:rPr>
          <w:sz w:val="20"/>
          <w:szCs w:val="20"/>
          <w:color w:val="auto"/>
        </w:rPr>
      </w:pPr>
    </w:p>
    <w:p>
      <w:pPr>
        <w:jc w:val="both"/>
        <w:ind w:right="780" w:firstLine="648"/>
        <w:spacing w:after="0" w:line="286" w:lineRule="auto"/>
        <w:rPr>
          <w:sz w:val="20"/>
          <w:szCs w:val="20"/>
          <w:color w:val="auto"/>
        </w:rPr>
      </w:pPr>
      <w:r>
        <w:rPr>
          <w:rFonts w:ascii="Arial" w:cs="Arial" w:eastAsia="Arial" w:hAnsi="Arial"/>
          <w:sz w:val="17"/>
          <w:szCs w:val="17"/>
          <w:color w:val="auto"/>
        </w:rPr>
        <w:t>Among other things, the Separation and Distribution Agreement provides for indemnification obligations designed to make us financially responsible for substantially all liabilities that may result relating to or arising out of our business. If GLPI is required to indemnify Penn under the circumstances set forth in the Separation and Distribution Agreement, GLPI may be subject to substantial liabilities.</w:t>
      </w:r>
    </w:p>
    <w:p>
      <w:pPr>
        <w:spacing w:after="0" w:line="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130" w:right="29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Properties</w:t>
      </w:r>
    </w:p>
    <w:p>
      <w:pPr>
        <w:spacing w:after="0" w:line="283"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As of December 31, 2018, the Company had 42 rental properties, consisting of the real property associated with 33 gaming and related facilities operated by Penn, the real property associated with five gaming and related facilities operated by Eldorado, the real property associated with three gaming and related facilities operated by Boyd and the real property associated with the Casino Queen in East St. Louis, Illinois. All rental properties are subject to long-term triple-net leases. For additional information pertaining to our tenant leases and our rental properties see Item 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GLPI Financed Properties</w:t>
      </w:r>
    </w:p>
    <w:p>
      <w:pPr>
        <w:spacing w:after="0" w:line="28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As of December 31, 2018, the Company had financial interests in two casino properties through secured mortgage loans to the respective casino owner-operators. For additional information pertaining to these properties see Item 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TRS Properties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Baton Rouge</w:t>
      </w:r>
    </w:p>
    <w:p>
      <w:pPr>
        <w:spacing w:after="0" w:line="27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Hollywood Casino Baton Rouge is a dockside riverboat casino located on approximately 21.1 acres, which we own, on the east bank of the Mississippi River in the East Baton Rouge Downtown Development District. The property site serves as the dockside embarkation for Hollywood Casino Baton Rouge and features a two-story building. We also own approximately 4.0 acres of land which features a railroad underpass that provides unimpeded access to the casino property.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Perryville</w:t>
      </w:r>
    </w:p>
    <w:p>
      <w:pPr>
        <w:spacing w:after="0" w:line="144"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We own 36.4 acres of land in Perryville, Maryland where Hollywood Casino Perryville is located. The property is located directly off Interstate 95 in Cecil County, Maryland just 35 miles northeast of Baltimore and 70 miles from Washington, D.C.</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Item 1 for further information pertaining to our TRS Properties.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Office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corporate headquarters building is located in Wyomissing, Pennsylvania and is owned by the Company.</w:t>
      </w:r>
    </w:p>
    <w:p>
      <w:pPr>
        <w:spacing w:after="0" w:line="35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283"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consolidated financial condition or results of operations. Further, no assurance can be given that the amount or scope of existing insurance coverage will be sufficient to cover losses arising from such matters.</w:t>
      </w:r>
    </w:p>
    <w:p>
      <w:pPr>
        <w:spacing w:after="0" w:line="23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left="820" w:right="420" w:hanging="80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Our common stock is quoted on the NASDAQ Global Select Market under the symbol "GLPI." As of February 8, 2019, there were approximately 697 holders of record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8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Company's annual dividend is greater than or equal to at least 90% of its REIT taxable income on an annual basis, determined without regard to the dividends paid deduction and excluding any net capital gains. U.S. federal income tax law generally requires that a REIT annually distribute at least 90% of its REIT taxable income, without regard to the deduction for dividends paid and excluding net capital gains, and that it pay regular corporate rates to the extent that it annually distributes less than 100% of its taxable income.</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Cash available for distribution to GLPI shareholders is derived from income from real estate and the income of the TRS Properties. All distributions will be made by GLPI at the discretion of its Board of Directors and will depend on the financial position, results of operations, cash flows, capital requirements, debt covenants, applicable laws and other factors as the Board of Directors of GLPI deems relevant. See Note 14 to the consolidated financial statements for further details on dividends.</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30" w:right="27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83"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The following selected consolidated financial and operating data for the five-year period ended December 31, 2018 is derived from our consolidated financial statements. The selected consolidated financial and operating data should be read in conjunction with our consolidated financial statements and notes thereto, "Management's Discussion and Analysis of Financial Condition and Results of Operations" and the other financial information included herein.</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center"/>
              <w:ind w:right="270"/>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22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8"/>
                <w:szCs w:val="8"/>
                <w:b w:val="1"/>
                <w:bCs w:val="1"/>
                <w:color w:val="auto"/>
              </w:rPr>
              <w:t>(1)</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(1)</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w w:val="93"/>
              </w:rPr>
              <w:t xml:space="preserve">2016 </w:t>
            </w:r>
            <w:r>
              <w:rPr>
                <w:rFonts w:ascii="Arial" w:cs="Arial" w:eastAsia="Arial" w:hAnsi="Arial"/>
                <w:sz w:val="8"/>
                <w:szCs w:val="8"/>
                <w:b w:val="1"/>
                <w:bCs w:val="1"/>
                <w:color w:val="auto"/>
                <w:w w:val="93"/>
              </w:rPr>
              <w:t>(1)</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196"/>
        </w:trPr>
        <w:tc>
          <w:tcPr>
            <w:tcW w:w="2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60" w:type="dxa"/>
            <w:vAlign w:val="bottom"/>
            <w:gridSpan w:val="7"/>
          </w:tcPr>
          <w:p>
            <w:pPr>
              <w:jc w:val="center"/>
              <w:ind w:left="471"/>
              <w:spacing w:after="0"/>
              <w:rPr>
                <w:sz w:val="20"/>
                <w:szCs w:val="20"/>
                <w:color w:val="auto"/>
              </w:rPr>
            </w:pPr>
            <w:r>
              <w:rPr>
                <w:rFonts w:ascii="Arial" w:cs="Arial" w:eastAsia="Arial" w:hAnsi="Arial"/>
                <w:sz w:val="14"/>
                <w:szCs w:val="14"/>
                <w:b w:val="1"/>
                <w:bCs w:val="1"/>
                <w:color w:val="auto"/>
                <w:w w:val="91"/>
              </w:rPr>
              <w:t>(in thousands, except per share data)</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1,055,727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971,307</w:t>
            </w:r>
          </w:p>
        </w:tc>
        <w:tc>
          <w:tcPr>
            <w:tcW w:w="4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828,255</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575,053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591,068</w:t>
            </w:r>
          </w:p>
        </w:tc>
      </w:tr>
      <w:tr>
        <w:trPr>
          <w:trHeight w:val="27"/>
        </w:trPr>
        <w:tc>
          <w:tcPr>
            <w:tcW w:w="2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461,917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365,789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347,632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317,638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332,562</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593,810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605,518</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480,623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257,415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258,506</w:t>
            </w:r>
          </w:p>
        </w:tc>
      </w:tr>
      <w:tr>
        <w:trPr>
          <w:trHeight w:val="27"/>
        </w:trPr>
        <w:tc>
          <w:tcPr>
            <w:tcW w:w="2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expenses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249,330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215,133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183,773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121,851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114,586</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344,480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390,385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296,850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135,564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143,920</w:t>
            </w:r>
          </w:p>
        </w:tc>
      </w:tr>
      <w:tr>
        <w:trPr>
          <w:trHeight w:val="27"/>
        </w:trPr>
        <w:tc>
          <w:tcPr>
            <w:tcW w:w="2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Taxes on income</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5,113</w:t>
            </w:r>
          </w:p>
        </w:tc>
      </w:tr>
      <w:tr>
        <w:trPr>
          <w:trHeight w:val="304"/>
        </w:trPr>
        <w:tc>
          <w:tcPr>
            <w:tcW w:w="4700" w:type="dxa"/>
            <w:vAlign w:val="bottom"/>
            <w:tcBorders>
              <w:bottom w:val="single" w:sz="8" w:color="CCEEFF"/>
            </w:tcBorders>
            <w:gridSpan w:val="2"/>
          </w:tcPr>
          <w:p>
            <w:pPr>
              <w:ind w:left="40"/>
              <w:spacing w:after="0" w:line="264"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25"/>
                <w:szCs w:val="25"/>
                <w:color w:val="auto"/>
                <w:vertAlign w:val="superscript"/>
              </w:rPr>
              <w:t>(2)</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339,516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380,598</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289,305</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128,122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138,807</w:t>
            </w:r>
          </w:p>
        </w:tc>
      </w:tr>
      <w:tr>
        <w:trPr>
          <w:trHeight w:val="231"/>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Per share data:</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1.80</w:t>
            </w:r>
          </w:p>
        </w:tc>
        <w:tc>
          <w:tcPr>
            <w:tcW w:w="4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1.23</w:t>
            </w:r>
          </w:p>
        </w:tc>
      </w:tr>
      <w:tr>
        <w:trPr>
          <w:trHeight w:val="27"/>
        </w:trPr>
        <w:tc>
          <w:tcPr>
            <w:tcW w:w="2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Weighted shares outstanding - Basic</w:t>
            </w:r>
          </w:p>
        </w:tc>
        <w:tc>
          <w:tcPr>
            <w:tcW w:w="2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213,720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210,705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178,594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114,432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112,037</w:t>
            </w:r>
          </w:p>
        </w:tc>
      </w:tr>
      <w:tr>
        <w:trPr>
          <w:trHeight w:val="27"/>
        </w:trPr>
        <w:tc>
          <w:tcPr>
            <w:tcW w:w="2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shares outstanding - Diluted</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214,779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212,752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180,622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118,439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117,586</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data:</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654,433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598,711</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514,370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319,688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273,259</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(1,509,784)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(3,218,616)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(317,319)</w:t>
            </w:r>
          </w:p>
        </w:tc>
      </w:tr>
      <w:tr>
        <w:trPr>
          <w:trHeight w:val="27"/>
        </w:trPr>
        <w:tc>
          <w:tcPr>
            <w:tcW w:w="2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852,080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(606,911)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2,698,927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(299,644)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(205,188)</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148,365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123,835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115,717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109,783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106,843</w:t>
            </w:r>
          </w:p>
        </w:tc>
      </w:tr>
      <w:tr>
        <w:trPr>
          <w:trHeight w:val="27"/>
        </w:trPr>
        <w:tc>
          <w:tcPr>
            <w:tcW w:w="2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Straight-line rent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61,888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65,971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58,673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55,825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44,877</w:t>
            </w:r>
          </w:p>
        </w:tc>
      </w:tr>
      <w:tr>
        <w:trPr>
          <w:trHeight w:val="270"/>
        </w:trPr>
        <w:tc>
          <w:tcPr>
            <w:tcW w:w="47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Goodwill impairment charges </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59,454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Collections of principal payments on investment in direct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4700" w:type="dxa"/>
            <w:vAlign w:val="bottom"/>
            <w:gridSpan w:val="2"/>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financing lease </w:t>
            </w:r>
            <w:r>
              <w:rPr>
                <w:rFonts w:ascii="Arial" w:cs="Arial" w:eastAsia="Arial" w:hAnsi="Arial"/>
                <w:sz w:val="25"/>
                <w:szCs w:val="25"/>
                <w:color w:val="auto"/>
                <w:vertAlign w:val="superscript"/>
              </w:rPr>
              <w:t>(3)</w:t>
            </w: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38,459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73,072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48,533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247,684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217,068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185,896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124,183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117,030</w:t>
            </w:r>
          </w:p>
        </w:tc>
      </w:tr>
      <w:tr>
        <w:trPr>
          <w:trHeight w:val="27"/>
        </w:trPr>
        <w:tc>
          <w:tcPr>
            <w:tcW w:w="2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5"/>
                <w:szCs w:val="25"/>
                <w:color w:val="auto"/>
                <w:vertAlign w:val="superscript"/>
              </w:rPr>
              <w:t>(4)</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4,304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3,441</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19,102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142,769</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29,054</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36,556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35,973</w:t>
            </w:r>
          </w:p>
        </w:tc>
      </w:tr>
      <w:tr>
        <w:trPr>
          <w:trHeight w:val="270"/>
        </w:trPr>
        <w:tc>
          <w:tcPr>
            <w:tcW w:w="47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Real estate investments, net </w:t>
            </w:r>
            <w:r>
              <w:rPr>
                <w:rFonts w:ascii="Arial" w:cs="Arial" w:eastAsia="Arial" w:hAnsi="Arial"/>
                <w:sz w:val="25"/>
                <w:szCs w:val="25"/>
                <w:color w:val="auto"/>
                <w:vertAlign w:val="superscript"/>
              </w:rPr>
              <w:t>(3)</w:t>
            </w:r>
          </w:p>
        </w:tc>
        <w:tc>
          <w:tcPr>
            <w:tcW w:w="24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7,331,460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3,662,045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3,739,091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w w:val="87"/>
              </w:rPr>
              <w:t>2,090,059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2,180,124</w:t>
            </w:r>
          </w:p>
        </w:tc>
      </w:tr>
      <w:tr>
        <w:trPr>
          <w:trHeight w:val="270"/>
        </w:trPr>
        <w:tc>
          <w:tcPr>
            <w:tcW w:w="47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Investment in direct financing lease, net </w:t>
            </w:r>
            <w:r>
              <w:rPr>
                <w:rFonts w:ascii="Arial" w:cs="Arial" w:eastAsia="Arial" w:hAnsi="Arial"/>
                <w:sz w:val="25"/>
                <w:szCs w:val="25"/>
                <w:color w:val="auto"/>
                <w:vertAlign w:val="superscript"/>
              </w:rPr>
              <w:t>(3)</w:t>
            </w:r>
          </w:p>
        </w:tc>
        <w:tc>
          <w:tcPr>
            <w:tcW w:w="2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2,637,639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2,710,711</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8,577,293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7,246,882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7,369,330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w w:val="87"/>
              </w:rPr>
              <w:t>2,448,155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2,525,454</w:t>
            </w:r>
          </w:p>
        </w:tc>
      </w:tr>
      <w:tr>
        <w:trPr>
          <w:trHeight w:val="27"/>
        </w:trPr>
        <w:tc>
          <w:tcPr>
            <w:tcW w:w="2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Long-term debt, net of unamortized debt issuance costs, bond</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premiums and original issuance discounts</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5,853,497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4,442,880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4,664,965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7"/>
              </w:rPr>
              <w:t>2,510,341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2,570,361</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Shareholders' equity (deficit)</w:t>
            </w:r>
          </w:p>
        </w:tc>
        <w:tc>
          <w:tcPr>
            <w:tcW w:w="2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2,265,607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2,458,247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2,433,869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8"/>
              </w:rPr>
              <w:t>(253,514)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(176,290)</w:t>
            </w:r>
          </w:p>
        </w:tc>
      </w:tr>
      <w:tr>
        <w:trPr>
          <w:trHeight w:val="27"/>
        </w:trPr>
        <w:tc>
          <w:tcPr>
            <w:tcW w:w="2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Property Data:</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Number of rental properties owned at year end</w:t>
            </w:r>
          </w:p>
        </w:tc>
        <w:tc>
          <w:tcPr>
            <w:tcW w:w="2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2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Rentable square feet at year end</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14,799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6,970</w:t>
            </w:r>
          </w:p>
        </w:tc>
      </w:tr>
      <w:tr>
        <w:trPr>
          <w:trHeight w:val="257"/>
        </w:trPr>
        <w:tc>
          <w:tcPr>
            <w:tcW w:w="2220" w:type="dxa"/>
            <w:vAlign w:val="bottom"/>
            <w:tcBorders>
              <w:bottom w:val="single" w:sz="8" w:color="auto"/>
            </w:tcBorders>
          </w:tcPr>
          <w:p>
            <w:pPr>
              <w:spacing w:after="0"/>
              <w:rPr>
                <w:sz w:val="22"/>
                <w:szCs w:val="22"/>
                <w:color w:val="auto"/>
              </w:rPr>
            </w:pPr>
          </w:p>
        </w:tc>
        <w:tc>
          <w:tcPr>
            <w:tcW w:w="2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r>
    </w:tbl>
    <w:p>
      <w:pPr>
        <w:spacing w:after="0" w:line="202" w:lineRule="exact"/>
        <w:rPr>
          <w:sz w:val="20"/>
          <w:szCs w:val="20"/>
          <w:color w:val="auto"/>
        </w:rPr>
      </w:pPr>
    </w:p>
    <w:p>
      <w:pPr>
        <w:ind w:left="660" w:right="160" w:hanging="652"/>
        <w:spacing w:after="0" w:line="216"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In October 2018, the Company purchased the real property assets of five Tropicana properties for approximately $992.5 million. These assets were subsequently leased to Eldorado under a triple-net master lease. Also in October</w:t>
      </w:r>
    </w:p>
    <w:p>
      <w:pPr>
        <w:sectPr>
          <w:pgSz w:w="11900" w:h="16838" w:orient="portrait"/>
          <w:cols w:equalWidth="0" w:num="1">
            <w:col w:w="11400"/>
          </w:cols>
          <w:pgMar w:left="240" w:top="130" w:right="259" w:bottom="1440"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00"/>
          </w:cols>
          <w:pgMar w:left="240" w:top="130" w:right="259" w:bottom="1440" w:gutter="0" w:footer="0" w:header="0"/>
          <w:type w:val="continuous"/>
        </w:sectPr>
      </w:pPr>
    </w:p>
    <w:bookmarkStart w:id="39" w:name="page40"/>
    <w:bookmarkEnd w:id="3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71" w:lineRule="exact"/>
        <w:rPr>
          <w:sz w:val="20"/>
          <w:szCs w:val="20"/>
          <w:color w:val="auto"/>
        </w:rPr>
      </w:pPr>
    </w:p>
    <w:p>
      <w:pPr>
        <w:ind w:left="660"/>
        <w:spacing w:after="0" w:line="311" w:lineRule="auto"/>
        <w:rPr>
          <w:sz w:val="20"/>
          <w:szCs w:val="20"/>
          <w:color w:val="auto"/>
        </w:rPr>
      </w:pPr>
      <w:r>
        <w:rPr>
          <w:rFonts w:ascii="Arial" w:cs="Arial" w:eastAsia="Arial" w:hAnsi="Arial"/>
          <w:sz w:val="18"/>
          <w:szCs w:val="18"/>
          <w:color w:val="auto"/>
        </w:rPr>
        <w:t>2018, the Company purchased Plainridge Park from Penn for $250.9 million in conjunction with the Penn-Pinnacle Merger. This property was leased back to Penn under the Amended Pinnacle Master Lease. The purchase of these assets contributed to the Company's growth in asset base as well as improved financial performance during fiscal year 2018.</w:t>
      </w:r>
    </w:p>
    <w:p>
      <w:pPr>
        <w:spacing w:after="0" w:line="154" w:lineRule="exact"/>
        <w:rPr>
          <w:sz w:val="20"/>
          <w:szCs w:val="20"/>
          <w:color w:val="auto"/>
        </w:rPr>
      </w:pPr>
    </w:p>
    <w:p>
      <w:pPr>
        <w:ind w:left="660" w:right="80" w:firstLine="648"/>
        <w:spacing w:after="0" w:line="272" w:lineRule="auto"/>
        <w:rPr>
          <w:sz w:val="20"/>
          <w:szCs w:val="20"/>
          <w:color w:val="auto"/>
        </w:rPr>
      </w:pPr>
      <w:r>
        <w:rPr>
          <w:rFonts w:ascii="Arial" w:cs="Arial" w:eastAsia="Arial" w:hAnsi="Arial"/>
          <w:sz w:val="17"/>
          <w:szCs w:val="17"/>
          <w:color w:val="auto"/>
        </w:rPr>
        <w:t>In April 2016, the Company purchased substantially all of the real property assets of Pinnacle for approximately $4.8 billion. The purchase of these assets, which were subsequently leased back to Pinnacle under a triple-net lease and financed through a combination of debt and equity, contributed to the Company's significant growth in asset base as well as improved financial performance during fiscal years 2017 and 2016. To a lesser extent, the purchase of the real property assets of the Meadows for $323.3 million in September 2016 also contributed to the Company's improved operating results during fiscal years 2017 and 2016. Finally, the purchase of the real property assets of the 1st Jackpot Casino and Resorts Casino Tunica for $82.9 million in May 2017 contributed slightly to the Company's increase in net revenues for fiscal year 2017. See Note 4 to the consolidated financial statements for additional information on the Company's acquisitions.</w:t>
      </w:r>
    </w:p>
    <w:p>
      <w:pPr>
        <w:spacing w:after="0" w:line="121"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During the fourth quarter of 2018, the Company recorded an impairment charge of $59.5 million, related to the</w:t>
      </w:r>
    </w:p>
    <w:p>
      <w:pPr>
        <w:spacing w:after="0" w:line="1" w:lineRule="exact"/>
        <w:rPr>
          <w:rFonts w:ascii="Arial" w:cs="Arial" w:eastAsia="Arial" w:hAnsi="Arial"/>
          <w:sz w:val="25"/>
          <w:szCs w:val="25"/>
          <w:color w:val="auto"/>
          <w:vertAlign w:val="superscript"/>
        </w:rPr>
      </w:pPr>
    </w:p>
    <w:p>
      <w:pPr>
        <w:ind w:left="660" w:right="160"/>
        <w:spacing w:after="0" w:line="254" w:lineRule="auto"/>
        <w:rPr>
          <w:rFonts w:ascii="Arial" w:cs="Arial" w:eastAsia="Arial" w:hAnsi="Arial"/>
          <w:sz w:val="25"/>
          <w:szCs w:val="25"/>
          <w:color w:val="auto"/>
          <w:vertAlign w:val="superscript"/>
        </w:rPr>
      </w:pPr>
      <w:r>
        <w:rPr>
          <w:rFonts w:ascii="Arial" w:cs="Arial" w:eastAsia="Arial" w:hAnsi="Arial"/>
          <w:sz w:val="18"/>
          <w:szCs w:val="18"/>
          <w:color w:val="auto"/>
        </w:rPr>
        <w:t>goodwill recorded on the books of its subsidiary, Hollywood Casino Baton Rouge. This was the largest driver of the decrease in the Company's net income during the year ended December 31, 2018. For further information on the impairment charge see Note 9 to the consolidated financial statements.</w:t>
      </w:r>
    </w:p>
    <w:p>
      <w:pPr>
        <w:spacing w:after="0" w:line="191" w:lineRule="exact"/>
        <w:rPr>
          <w:rFonts w:ascii="Arial" w:cs="Arial" w:eastAsia="Arial" w:hAnsi="Arial"/>
          <w:sz w:val="25"/>
          <w:szCs w:val="25"/>
          <w:color w:val="auto"/>
          <w:vertAlign w:val="superscript"/>
        </w:rPr>
      </w:pPr>
    </w:p>
    <w:p>
      <w:pPr>
        <w:ind w:left="660" w:right="140" w:hanging="652"/>
        <w:spacing w:after="0" w:line="275" w:lineRule="auto"/>
        <w:tabs>
          <w:tab w:leader="none" w:pos="66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 xml:space="preserve">Prior to the Penn-Pinnacle Merger, the Pinnacle Master Lease was bifurcated between an operating lease and a direct financing lease, with the land assets qualifying for operating lease treatment and the building assets triggering direct financing lease treatment. This net investment in direct financing lease was unwound in conjunction with the Penn-Pinnacle Merger, via the fourth amendment to the Pinnacle Master Lease. As a result of this amendment, the Company reassessed the lease's classification and determined the new lease agreement qualified for operating lease treatment under ASC 840 -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 Therefore, subsequent to the Penn-Pinnacle Merger, the Amended Pinnacle Master Lease is treated as an operating lease in its entirety, the building assets previously recorded as an investment in direct financing lease on the Company's consolidated balance sheet were recorded as real estate assets on the Company's consolidated balance sheet and all rent received under the Amended Pinnacle Master Lease is recorded as rental income on the Company's consolidated statement of income.</w:t>
      </w:r>
    </w:p>
    <w:p>
      <w:pPr>
        <w:spacing w:after="0" w:line="179" w:lineRule="exact"/>
        <w:rPr>
          <w:rFonts w:ascii="Arial" w:cs="Arial" w:eastAsia="Arial" w:hAnsi="Arial"/>
          <w:sz w:val="22"/>
          <w:szCs w:val="22"/>
          <w:color w:val="auto"/>
          <w:vertAlign w:val="superscript"/>
        </w:rPr>
      </w:pPr>
    </w:p>
    <w:p>
      <w:pPr>
        <w:ind w:left="660" w:right="280" w:hanging="652"/>
        <w:spacing w:after="0" w:line="252" w:lineRule="auto"/>
        <w:tabs>
          <w:tab w:leader="none" w:pos="66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The higher level of capital expenditures in 2014 was primarily due to the construction of Hollywood Gaming at Dayton Raceway and Hollywood Gaming at Mahoning Valley Race Course which opened to the public on August 28, 2014 and September 17, 2014,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14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GLPI is a self-administered and self-managed Pennsylvania REIT. GLPI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Company elected on its U.S. federal income tax return for its taxable year that began on January 1, 2014 to be treated as a REIT and the Company, together with an indirect wholly-owned subsidiary of the Company, GLP Holdings, Inc., jointly elected to treat each of GLP Holdings, Inc., Louisiana Casino Cruises, Inc. and Penn Cecil Maryland, Inc. as a "taxable REIT subsidiary" effective on the first day of the first taxable year of GLPI as a REIT. As a result of the Spin-Off, GLPI owns substantially all of Penn's former real property assets and leases back most of those assets to Penn for use by its subsidiaries, under the Penn Master Lease, and GLPI also owns and operates the TRS Properties through its indirect wholly-owned subsidiary, GLP Holdings, Inc. The assets and liabilities of GLPI were recorded at their respective historical carrying values at the time of the Spin-Off. In April 2016, the Company acquired substantially all of the real estate assets of Pinnacle for approximately $4.8 billion. GLPI originally leased these assets back to Pinnacle, under a triple-net lease with an initial term of 10 years with no purchase option, followed by five 5-year renewal options (exercisable by Pinnacle) on the same terms and conditions. On October 15, 2018, the Company completed its previously announced transactions with Penn, Pinnacle and Boyd to accommodate Penn's acquisition of the majority of Pinnacle's operations, pursuant to a definitive agreement and plan of merger between Penn and Pinnacle, dated December 17, 2017. Concurrent with the Penn-Pinnacle Merger, the Company amended the Pinnacle Master Lease to allow for the sale of the operating assets of Ameristar Casino</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30" w:right="25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Hotel Kansas City, Ameristar Casino Resort Spa St. Charles and Belterra Casino Resort from Pinnacle to Boyd and entered into a new unitary triple-net master lease agreement with Boyd for these properties on terms similar to the Company’s existing master leases. The Company purchased the real estate assets of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whereby the Company loaned Boyd $57.7 million. See Note 4 to the consolidated financial statements for further details surrounding the original Pinnacle acquisition and the subsequent acquisition of Pinnacle by Penn.</w:t>
      </w:r>
    </w:p>
    <w:p>
      <w:pPr>
        <w:spacing w:after="0" w:line="21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GLPI's primary business consists of acquiring, financing, and owning real estate property to be leased to gaming operators in triple-net lease arrangements. As of December 31, 2018, GLPI's portfolio consisted of interests in 46 gaming and related facilities, including the TRS Properties, the real property associated with 33 gaming and related facilities operated by Penn, the real property associated with 6 gaming and related facilities operated by Eldorado (including one mortgaged facility), the real property associated with 4 gaming and related facilities operated by Boyd (including one mortgaged facility) and the real property associated with the Casino Queen in East St. Louis, Illinois. These facilities are geographically diversified across 16 states and contain approximately 23.5 million square feet. As of December 31, 2018, our properties were 100% occupied.</w:t>
      </w:r>
    </w:p>
    <w:p>
      <w:pPr>
        <w:spacing w:after="0" w:line="9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expect to grow our portfolio by pursuing opportunities to acquire additional gaming facilities to lease to gaming operators under prudent terms. In addition to the acquisition of Plainridge Park described above, on October 1, 2018, the Company closed its previously announced transaction to acquire certain real property assets from Tropicana and certain of its affiliates pursuant to the Real Estate Purchase Agreement dated April 15, 2018 between Tropicana and GLP Capital, which was subsequently amended on October 1, 2018. Pursuant to the terms of the Amended Real Estate Purchase Agreement, the Company acquired the real estate assets of Tropicana Atlantic City, Tropicana Evansville, Tropicana Laughlin, Trop Casino Greenville and the Belle of Baton Rouge from Tropicana for an aggregate cash purchase price of $964.0 million, exclusive of transaction fees and taxes. Concurrent with the Tropicana Acquisition, Eldorado acquired the operating assets of these properties from Tropicana pursuant to an Agreement and Plan of Merger dated April 15, 2018 by and among Tropicana, GLP Capital, Eldorado and a wholly-owned subsidiary of Eldorado and leased the GLP Assets from the Company pursuant to the terms of a new unitary triple-net master lease with a 15-year initial term, with no purchase option followed by four successive 5 -year renewal periods (exercisable by Eldorado) on the same terms and conditions. Additionally, on October 1, 2018 the Company made a mortgage loan to Eldorado in the amount of $246.0 million in connection with Eldorado’s acquisition of Lumière Place.</w:t>
      </w:r>
    </w:p>
    <w:p>
      <w:pPr>
        <w:spacing w:after="0" w:line="10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Additionally, we believe we have the ability to leverage the expertise our management team has developed over the years to secure additional avenues for growth beyond the gaming industry. Accordingly we anticipate we will be able to effect strategic acquisitions unrelated to the gaming industry as well as other acquisitions that may prove complimentary to GLPI's gaming facilities.</w:t>
      </w:r>
    </w:p>
    <w:p>
      <w:pPr>
        <w:spacing w:after="0" w:line="10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As of December 31, 2018, the majority of our earnings are the result of the rental revenues we receive from our triple-net Master Leases with Penn, Boyd and Eldorado. Additionally, we have rental revenue from the Casino Queen property which is leased back to a third-party operator on a triple-net basis and the Meadows property which is leased to Penn under a single property triple-net lease.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6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 xml:space="preserve">Additionally, in accordance with ASC 606 -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we record revenue for the real estate taxes paid by our tenants on the leased properties with an offsetting expense in general and administrative expense within the consolidated statement of income, as we believe we are the primary obligor. Similarly, we record revenue for the ground lease rent paid by our tenants with an offsetting expense in general and administrative expense within the consolidated statement of income, as we have concluded that as the lessee we are the primary obligor under the ground leases. We sublease these ground leases back to our tenants, who are responsible for payment directly to the landlord.</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Gaming revenue generated by our TRS Properties is derived primarily from revenue from slot machines and to a lesser extent, table game and poker revenue, which is highly dependent upon the volume and spending levels of customers at our TRS Properties. Other revenues at our TRS Properties are derived from dining, retail, and certain other ancillary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130" w:right="29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following competitive strengths will contribute significantly to our success: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Geographically Diverse Property Portfolio</w:t>
      </w:r>
    </w:p>
    <w:p>
      <w:pPr>
        <w:spacing w:after="0" w:line="27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December 31, 2018, our portfolio consisted of 46 gaming and related facilities, including 42 rental properties, the TRS Properties and two properties we had financial interests in via secured mortgage loans to the respective casino owner-operators. Our portfolio comprises approximately 23.5 million square feet and over 5,600 acres of land and is broadly diversified by location across 16 states. We expect that our geographic diversification will limit the effect of a decline in any one regional market on our overall performance.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Financially Secure Tenants</w:t>
      </w:r>
    </w:p>
    <w:p>
      <w:pPr>
        <w:spacing w:after="0" w:line="279" w:lineRule="exact"/>
        <w:rPr>
          <w:sz w:val="20"/>
          <w:szCs w:val="20"/>
          <w:color w:val="auto"/>
        </w:rPr>
      </w:pPr>
    </w:p>
    <w:p>
      <w:pPr>
        <w:ind w:right="320" w:firstLine="648"/>
        <w:spacing w:after="0" w:line="276" w:lineRule="auto"/>
        <w:rPr>
          <w:sz w:val="20"/>
          <w:szCs w:val="20"/>
          <w:color w:val="auto"/>
        </w:rPr>
      </w:pPr>
      <w:r>
        <w:rPr>
          <w:rFonts w:ascii="Arial" w:cs="Arial" w:eastAsia="Arial" w:hAnsi="Arial"/>
          <w:sz w:val="17"/>
          <w:szCs w:val="17"/>
          <w:color w:val="auto"/>
        </w:rPr>
        <w:t>Three of the company's tenants, Penn, Eldorado and Boyd are leading, diversified, multi-jurisdictional owners and managers of gaming and pari-mutuel properties and established gaming providers with strong financial performance. Additionally, all of the aforementioned tenants are publicly traded companies that are subject to the informational filing requirements of the Securities Exchange Act of 1934, as amended, and are required to file periodic reports on Form 10-K and Form 10-Q and current reports on Form 8-K with the Securities and Exchange Commission ("SEC"). Readers are directed to Penn's, Eldorado's and Boyd's respective websites for further financial information on these companies.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Triple-Net Lease Structure</w:t>
      </w:r>
    </w:p>
    <w:p>
      <w:pPr>
        <w:spacing w:after="0" w:line="27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real estate properties are leased under long-term triple-net leases guaranteed by our tenants, pursuant to which the tenant is responsible for all facility maintenance, insurance required in connection with the leased properties and the business conducted on the leased properties, including coverage of the landlord's interests, taxes levied on or with respect to the leased properties (other than taxes on our income) and all utilities and other services necessary or appropriate for the leased properties and the business conducted on the leased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Flexible UPREIT Structure</w:t>
      </w:r>
    </w:p>
    <w:p>
      <w:pPr>
        <w:spacing w:after="0" w:line="27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the flexibility to operate through an umbrella partnership, commonly referred to as an UPREIT structure, in which substantially all of our properties and assets are held by GLP Capital or by subsidiaries of GLP Capital. Conducting business through GLP Capital allows us flexibility in the manner in which we structure and acquire properties. In particular, an UPREIT structure enables us to acquire additional properties from sellers in exchange for limited partnership units, which provides property owners the opportunity to defer the tax consequences that would otherwise arise from a sale of their real properties and other assets to us. As a result, this structure potentially may facilitate our acquisition of assets in a more efficient manner and may allow us to acquire assets that the owner would otherwise be unwilling to sell because of tax considerations. We believe that this flexibility will provide us an advantage in seeking future acquisitions.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Experienced and Committed Management Team</w:t>
      </w:r>
    </w:p>
    <w:p>
      <w:pPr>
        <w:spacing w:after="0" w:line="279" w:lineRule="exact"/>
        <w:rPr>
          <w:sz w:val="20"/>
          <w:szCs w:val="20"/>
          <w:color w:val="auto"/>
        </w:rPr>
      </w:pPr>
    </w:p>
    <w:p>
      <w:pPr>
        <w:jc w:val="both"/>
        <w:ind w:right="220" w:firstLine="648"/>
        <w:spacing w:after="0" w:line="288" w:lineRule="auto"/>
        <w:rPr>
          <w:sz w:val="20"/>
          <w:szCs w:val="20"/>
          <w:color w:val="auto"/>
        </w:rPr>
      </w:pPr>
      <w:r>
        <w:rPr>
          <w:rFonts w:ascii="Arial" w:cs="Arial" w:eastAsia="Arial" w:hAnsi="Arial"/>
          <w:sz w:val="16"/>
          <w:szCs w:val="16"/>
          <w:color w:val="auto"/>
        </w:rPr>
        <w:t>Although our management team has limited experience in operating a REIT, it has extensive gaming and real estate experience. Peter M. Carlino, chief executive officer of GLPI, has more than 30 years of experience in the acquisition and development of gaming facilities and other real estate projects. Steven T. Snyder, interim chief financial officer and senior vice president of corporate development of GLPI, is a finance professional with more than</w:t>
      </w:r>
    </w:p>
    <w:p>
      <w:pPr>
        <w:jc w:val="both"/>
        <w:ind w:right="220"/>
        <w:spacing w:after="0" w:line="323" w:lineRule="auto"/>
        <w:rPr>
          <w:sz w:val="20"/>
          <w:szCs w:val="20"/>
          <w:color w:val="auto"/>
        </w:rPr>
      </w:pPr>
      <w:r>
        <w:rPr>
          <w:rFonts w:ascii="Arial" w:cs="Arial" w:eastAsia="Arial" w:hAnsi="Arial"/>
          <w:sz w:val="16"/>
          <w:szCs w:val="16"/>
          <w:color w:val="auto"/>
        </w:rPr>
        <w:t>20 years of experience in the gaming industry, including identifying and analyzing potential acquisitions. Through years of public company experience, our management team also has extensive experience accessing both debt and equity capital markets to fund growth and maintain a flexible capital structure.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Consistent with how our Chief Operating Decision Maker reviews and assesses our financial performance, we have two reportable segments, GLP Capital and the TRS Properties. The GLP Capital reportable segment consists of the leased real property and represents the majority of our business. The TRS Properties reportable segment consists of Hollywood Casino Perryville and Hollywood Casino Baton Rouge.</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30" w:right="239" w:bottom="1440" w:gutter="0" w:footer="0" w:header="0"/>
          <w:type w:val="continuous"/>
        </w:sectPr>
      </w:pPr>
    </w:p>
    <w:bookmarkStart w:id="42" w:name="page43"/>
    <w:bookmarkEnd w:id="4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reported total revenues and income from operations of $1,055.7 million and $593.8 million, respectively, for the year ended December 31, 2018, compared to $971.3 million and $605.5 million, respectively, for the year ended December 31, 2017. The major factors affecting our results for the year ended December 31, 2018, as compared to the year ended December 31, 2017, were:</w:t>
      </w:r>
    </w:p>
    <w:p>
      <w:pPr>
        <w:spacing w:after="0" w:line="181" w:lineRule="exact"/>
        <w:rPr>
          <w:sz w:val="20"/>
          <w:szCs w:val="20"/>
          <w:color w:val="auto"/>
        </w:rPr>
      </w:pPr>
    </w:p>
    <w:p>
      <w:pPr>
        <w:ind w:left="660" w:right="60" w:hanging="328"/>
        <w:spacing w:after="0" w:line="276"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Total income from real estate was $923.2 million and $829.2 million for the years ended December 31, 2018 and 2017, respectively. Total income from real estate increased by $94.0 million for the year ended December 31, 2018, as compared to the year ended December 31, 2017, primarily due to the Tropicana Transactions, the Penn-Pinnacle Merger and our entry into the Belterra Park Loan, as well as the performance of the Ohio properties, the impact of the rent escalators under the Penn and Pinnacle master leases, net percentage rent adjustments and the partial recognition of income previously deferred under the Penn Master Lease in accordance with ASC 840.</w:t>
      </w:r>
    </w:p>
    <w:p>
      <w:pPr>
        <w:spacing w:after="0" w:line="172" w:lineRule="exact"/>
        <w:rPr>
          <w:rFonts w:ascii="Arial" w:cs="Arial" w:eastAsia="Arial" w:hAnsi="Arial"/>
          <w:sz w:val="17"/>
          <w:szCs w:val="17"/>
          <w:color w:val="auto"/>
        </w:rPr>
      </w:pPr>
    </w:p>
    <w:p>
      <w:pPr>
        <w:ind w:left="660" w:right="160" w:hanging="328"/>
        <w:spacing w:after="0" w:line="34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Net revenues for our TRS Properties decreased by $9.5 million for the year ended December 31, 2018, as compared to the prior year, primarily due to decreased revenues at Hollywood Casino Baton Rouge, partially offset by a slight increase in revenues at Hollywood Casino Perryville.</w:t>
      </w:r>
    </w:p>
    <w:p>
      <w:pPr>
        <w:spacing w:after="0" w:line="123" w:lineRule="exact"/>
        <w:rPr>
          <w:rFonts w:ascii="Arial" w:cs="Arial" w:eastAsia="Arial" w:hAnsi="Arial"/>
          <w:sz w:val="16"/>
          <w:szCs w:val="16"/>
          <w:color w:val="auto"/>
        </w:rPr>
      </w:pPr>
    </w:p>
    <w:p>
      <w:pPr>
        <w:ind w:left="660" w:right="40" w:hanging="328"/>
        <w:spacing w:after="0" w:line="293"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Total operating expenses increased by $96.1 million for the year ended December 31, 2018, as compared to the prior year, primarily driven by a goodwill impairment charge of $59.5 million related to Hollywood Casino Baton Rouge and an increase in depreciation expense resulting from the addition of the Tropicana and Plainridge Park real estate assets to our real estate portfolio, as well as the reclassification of the Pinnacle building assets to real estate investments on our balance sheet as a result of the Penn-Pinnacle Merger, which required the Amended Pinnacle Master Lease to be treated as an operating lease in its entirety. Also driving the increase in total operating expenses for the year ended December 31, 2018, as compared to the prior year, are accrued retirement costs of $13.1 million related to the retirement of our former Chief Financial Officer.</w:t>
      </w:r>
    </w:p>
    <w:p>
      <w:pPr>
        <w:spacing w:after="0" w:line="164" w:lineRule="exact"/>
        <w:rPr>
          <w:rFonts w:ascii="Arial" w:cs="Arial" w:eastAsia="Arial" w:hAnsi="Arial"/>
          <w:sz w:val="16"/>
          <w:szCs w:val="16"/>
          <w:color w:val="auto"/>
        </w:rPr>
      </w:pPr>
    </w:p>
    <w:p>
      <w:pPr>
        <w:ind w:left="660" w:hanging="328"/>
        <w:spacing w:after="0" w:line="25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expenses, net increased by $34.2 million for the year ended December 31, 2018, as compared to the prior year, driven by an increase in interest expense related to the debt refinancing in the second quarter of 2018 and debt issuances in the third quarter of 2018, the proceeds of which were utilized for the October closings of both the Tropicana Transactions and the acquisition of Plainridge Park and the funding of the Belterra Park Loan in connection with the Penn-Pinnacle Merger. In addition, the Company incurred losses on the extinguishment of debt during the second quarter of 2018.</w:t>
      </w:r>
    </w:p>
    <w:p>
      <w:pPr>
        <w:spacing w:after="0" w:line="188"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Income tax expense decreased by $4.8 million for the year ended December 31, 2018, primarily due to the Tax Cuts and Jobs Act, which lowered the corporate tax rate to 21%, effective for tax years including or commencing January 1, 2018, as well as lower income at our TRS Properties.</w:t>
      </w:r>
    </w:p>
    <w:p>
      <w:pPr>
        <w:spacing w:after="0" w:line="123" w:lineRule="exact"/>
        <w:rPr>
          <w:rFonts w:ascii="Arial" w:cs="Arial" w:eastAsia="Arial" w:hAnsi="Arial"/>
          <w:sz w:val="16"/>
          <w:szCs w:val="16"/>
          <w:color w:val="auto"/>
        </w:rPr>
      </w:pPr>
    </w:p>
    <w:p>
      <w:pPr>
        <w:ind w:left="660" w:right="70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income decreased by $41.1 million for the year ended December 31, 2018, as compared to the prior year, primarily due to the variances explained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Developments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recent developments that have had or are likely to have an impact on us by segment: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GLP Capital</w:t>
      </w:r>
    </w:p>
    <w:p>
      <w:pPr>
        <w:spacing w:after="0" w:line="225" w:lineRule="exact"/>
        <w:rPr>
          <w:sz w:val="20"/>
          <w:szCs w:val="20"/>
          <w:color w:val="auto"/>
        </w:rPr>
      </w:pPr>
    </w:p>
    <w:p>
      <w:pPr>
        <w:ind w:left="1300" w:right="20" w:hanging="320"/>
        <w:spacing w:after="0" w:line="291" w:lineRule="auto"/>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October 15, 2018, Penn's acquisition of Pinnacle closed, and the Company completed its previously announced transactions with Penn, Pinnacle and Boyd. Concurrent with Penn's acquisition, the Company amended the Pinnacle Master Lease to allow for the sale of the operating assets of Ameristar Casino Hotel Kansas City, Ameristar Casino Resort Spa St. Charles and Belterra Casino Resort from Pinnacle to Boyd and entered into a new triple-net master lease agreement with Boyd for these properties on terms similar to the Company’s existing master leases. The Company also purchased the real estate assets of Plainridge Park Casino from Penn for $250.0 million, exclusive of transaction fees and taxes and added this property to the Amended Pinnacle Master Lease. We also entered into a loan agreement with Boyd in connection with Boyd's acquisition of Belterra Park, whereby we loaned Boyd $57.7 million, act as mortgagee and collect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interest income from Boyd. Our initial annual real estate income will increase by $45.3 million as a result of these transactions.</w:t>
      </w:r>
    </w:p>
    <w:p>
      <w:pPr>
        <w:spacing w:after="0" w:line="239" w:lineRule="exact"/>
        <w:rPr>
          <w:sz w:val="20"/>
          <w:szCs w:val="20"/>
          <w:color w:val="auto"/>
        </w:rPr>
      </w:pPr>
    </w:p>
    <w:p>
      <w:pPr>
        <w:ind w:left="1300" w:right="20" w:hanging="320"/>
        <w:spacing w:after="0" w:line="255"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October 1, 2018, the Company purchased the real property assets of five properties from Tropicana for $964.0 million, exclusive of taxes and transaction fees. Concurrent with the acquisition of these properties, Eldorado purchased the operating assets of these Tropicana properties and Lumière Place and entered into a new triple-net master lease with the Company for the lease of the five Tropicana properties purchased by us for a 15-year initial term with no purchase option followed by four successive 5-year renewal periods (exercisable by Eldorado). Initial annual rent under the Eldorado Master Lease is $87.6 million. The Company also made a loan to Eldorado in the amount of $246.0 million in connection with Eldorado’s acquisition of Lumière Place, which will generate initial annual interest income of $22.4 million.</w:t>
      </w:r>
    </w:p>
    <w:p>
      <w:pPr>
        <w:spacing w:after="0" w:line="189" w:lineRule="exact"/>
        <w:rPr>
          <w:sz w:val="20"/>
          <w:szCs w:val="20"/>
          <w:color w:val="auto"/>
        </w:rPr>
      </w:pPr>
    </w:p>
    <w:p>
      <w:pPr>
        <w:jc w:val="both"/>
        <w:ind w:left="1300" w:right="180" w:hanging="320"/>
        <w:spacing w:after="0" w:line="26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May 1, 2017, the Company purchased the real property assets of the 1st Jackpot Casino and Resorts Casino Tunica for $82.9 million. Penn purchased the operating assets of the Tunica Properties directly from the seller, operates both properties and leases the real property assets from the Company under the Penn Master Lease.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TRS Properties</w:t>
      </w:r>
    </w:p>
    <w:p>
      <w:pPr>
        <w:spacing w:after="0" w:line="225" w:lineRule="exact"/>
        <w:rPr>
          <w:sz w:val="20"/>
          <w:szCs w:val="20"/>
          <w:color w:val="auto"/>
        </w:rPr>
      </w:pPr>
    </w:p>
    <w:p>
      <w:pPr>
        <w:jc w:val="both"/>
        <w:ind w:left="1300" w:right="220" w:hanging="320"/>
        <w:spacing w:after="0" w:line="286" w:lineRule="auto"/>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During the second quarter of 2018, a smoking ban went into effect at all Baton Rouge, Louisiana casinos, which in combination with the general market deterioration in the Baton Rouge region has contributed to the poor performance of our Hollywood Casino Baton Rouge property, resulting in the impairment charge of $59.5 million during the fourth quarter of 2018.</w:t>
      </w:r>
    </w:p>
    <w:p>
      <w:pPr>
        <w:spacing w:after="0" w:line="165" w:lineRule="exact"/>
        <w:rPr>
          <w:rFonts w:ascii="Arial" w:cs="Arial" w:eastAsia="Arial" w:hAnsi="Arial"/>
          <w:sz w:val="17"/>
          <w:szCs w:val="17"/>
          <w:color w:val="auto"/>
        </w:rPr>
      </w:pPr>
    </w:p>
    <w:p>
      <w:pPr>
        <w:jc w:val="both"/>
        <w:ind w:left="1300" w:right="340" w:hanging="320"/>
        <w:spacing w:after="0" w:line="312" w:lineRule="auto"/>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During the first quarter of 2017, Hollywood Casino Perryville outsourced the operation of its food and beverage outlets to a third-party provider. Employees of these outlets are now employees of the third-party; therefore both Hollywood Casino Perryville's revenues and expenses related to food and beverage decreased during the year ended December 31, 2017, as compared to the prior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4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leases, income taxes, real estate investments, and goodwill and other intangible assets as critical accounting estimates, as they are the most important to our financial statement presentation and require difficult, subjective and complex judgments.</w:t>
      </w:r>
    </w:p>
    <w:p>
      <w:pPr>
        <w:spacing w:after="0" w:line="24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believe the current assumptions and other considerations used to estimate amounts reflected in our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a REIT, the majority of our revenues are derived from rent received from our tenants under long-term triple-net leases. Currently, we have master leases with Penn, Eldorado and Boyd under which we lease 32, five and three properties, respectively, to these tenants. We also have a long-term lease with Casino Queen and a separate single property lease by which we lease the Meadows' real estate assets to Penn. The accounting guidance under ASC 840 is complex and requires the use of judgments and assumptions by management to determine the proper accounting treatment of a lease. We perform a lease classification test upon the entry into any new lease or lease modification, to determine if we will account for the lease as a capital or operating lease. The revenue recognition model and thus the presentation of our financial statements is significantly different under capital leases and operating leases.</w:t>
      </w:r>
    </w:p>
    <w:p>
      <w:pPr>
        <w:spacing w:after="0" w:line="16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operating lease model, as the lessor, the assets we lease remain on our books and we record rental revenues on a straight-line basis over the lease term. This includes the recognition of percentage rents that are fixed and determinable at the lease inception date on a straight-line basis over the entire lease term, resulting in the recognition of deferred rental revenue on our consolidated balance sheets. Deferred rental revenue is amortized to rental revenue on a straight-line basis over the remainder of the lease term. The lease term includes the initial non-cancelable lease term and any reasonably assured renewal</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130" w:right="29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periods. Contingent rental income that is not fixed and determinable at lease inception is recognized only when the lessee achieves the specified target. Recognition of rental income commences when control of the facility has been transferred to the tenant. Under operating lease treatment, assets we own and lease to tenants are recorded on our consolidated balance sheet as real estate investments.</w:t>
      </w:r>
    </w:p>
    <w:p>
      <w:pPr>
        <w:spacing w:after="0" w:line="18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Under the direct financing lease model, however, at lease inception we record an investment in direct financing lease on our consolidated balance sheet rather than recording the actual assets we own and the cash rent we receive from tenants is not entirely recorded as rental revenue, but rather a portion is recorded as interest income and a portion is recorded as a reduction to the direct financing lease receivable. Under ASC 840, for leases of both building and land, leases may be bifurcated between operating and capital leases, with the land portion of the lease typically qualifying for operating lease treatment. To determine if the building portion of a lease triggers capital lease treatment we conduct the four lease tests in ASC 840 outlined below. If a lease meets any of the four criteria below, it is accounted for as a capital lease.</w:t>
      </w:r>
    </w:p>
    <w:p>
      <w:pPr>
        <w:spacing w:after="0" w:line="174" w:lineRule="exact"/>
        <w:rPr>
          <w:sz w:val="20"/>
          <w:szCs w:val="20"/>
          <w:color w:val="auto"/>
        </w:rPr>
      </w:pPr>
    </w:p>
    <w:p>
      <w:pPr>
        <w:ind w:right="160" w:firstLine="332"/>
        <w:spacing w:after="0" w:line="266" w:lineRule="auto"/>
        <w:tabs>
          <w:tab w:leader="none" w:pos="519"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Transfer of ownership - </w:t>
      </w:r>
      <w:r>
        <w:rPr>
          <w:rFonts w:ascii="Arial" w:cs="Arial" w:eastAsia="Arial" w:hAnsi="Arial"/>
          <w:sz w:val="18"/>
          <w:szCs w:val="18"/>
          <w:color w:val="auto"/>
        </w:rPr>
        <w:t>The lease transfers ownership of the property to the lessee by the end of the lease term. This criterion is met in situations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lease agreement provides for the transfer of title at or shortly after the end of the lease term in exchange for the payment of a nominal fee, for example, the minimum required by statutory regulation to transfer title.</w:t>
      </w:r>
    </w:p>
    <w:p>
      <w:pPr>
        <w:spacing w:after="0" w:line="176" w:lineRule="exact"/>
        <w:rPr>
          <w:rFonts w:ascii="Arial" w:cs="Arial" w:eastAsia="Arial" w:hAnsi="Arial"/>
          <w:sz w:val="18"/>
          <w:szCs w:val="18"/>
          <w:color w:val="auto"/>
        </w:rPr>
      </w:pPr>
    </w:p>
    <w:p>
      <w:pPr>
        <w:jc w:val="both"/>
        <w:ind w:firstLine="332"/>
        <w:spacing w:after="0" w:line="266" w:lineRule="auto"/>
        <w:tabs>
          <w:tab w:leader="none" w:pos="519"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Bargain purchase option </w:t>
      </w:r>
      <w:r>
        <w:rPr>
          <w:rFonts w:ascii="Arial" w:cs="Arial" w:eastAsia="Arial" w:hAnsi="Arial"/>
          <w:sz w:val="18"/>
          <w:szCs w:val="18"/>
          <w:color w:val="auto"/>
        </w:rPr>
        <w:t>- The lease contains a bargain purchase option, which is a provision allowing the lessee, at its option, to purchase the leased</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for a price which is sufficiently lower than the expected fair value of the property at the date the option becomes exercisable. In addition, the exercise of the option must be reasonably assured at lease inception.</w:t>
      </w:r>
    </w:p>
    <w:p>
      <w:pPr>
        <w:spacing w:after="0" w:line="176" w:lineRule="exact"/>
        <w:rPr>
          <w:rFonts w:ascii="Arial" w:cs="Arial" w:eastAsia="Arial" w:hAnsi="Arial"/>
          <w:sz w:val="18"/>
          <w:szCs w:val="18"/>
          <w:color w:val="auto"/>
        </w:rPr>
      </w:pPr>
    </w:p>
    <w:p>
      <w:pPr>
        <w:ind w:right="220" w:firstLine="332"/>
        <w:spacing w:after="0" w:line="266" w:lineRule="auto"/>
        <w:tabs>
          <w:tab w:leader="none" w:pos="519"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Lease term </w:t>
      </w:r>
      <w:r>
        <w:rPr>
          <w:rFonts w:ascii="Arial" w:cs="Arial" w:eastAsia="Arial" w:hAnsi="Arial"/>
          <w:sz w:val="18"/>
          <w:szCs w:val="18"/>
          <w:color w:val="auto"/>
        </w:rPr>
        <w:t>- The lease term is equal to 75 percent or more of the estimated economic life of the leased property. However, if the beginning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lease term falls within the last 25 percent of the total estimated economic life of the leased property, including earlier years of use, this criterion shall not be used for purposes of classifying the lease. This test is conducted on a property by property basis.</w:t>
      </w:r>
    </w:p>
    <w:p>
      <w:pPr>
        <w:spacing w:after="0" w:line="176" w:lineRule="exact"/>
        <w:rPr>
          <w:rFonts w:ascii="Arial" w:cs="Arial" w:eastAsia="Arial" w:hAnsi="Arial"/>
          <w:sz w:val="18"/>
          <w:szCs w:val="18"/>
          <w:color w:val="auto"/>
        </w:rPr>
      </w:pPr>
    </w:p>
    <w:p>
      <w:pPr>
        <w:ind w:right="20" w:firstLine="332"/>
        <w:spacing w:after="0" w:line="277" w:lineRule="auto"/>
        <w:tabs>
          <w:tab w:leader="none" w:pos="519"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 xml:space="preserve">Minimum lease payments </w:t>
      </w:r>
      <w:r>
        <w:rPr>
          <w:rFonts w:ascii="Arial" w:cs="Arial" w:eastAsia="Arial" w:hAnsi="Arial"/>
          <w:sz w:val="17"/>
          <w:szCs w:val="17"/>
          <w:color w:val="auto"/>
        </w:rPr>
        <w:t>- The present value of the minimum lease payments at the beginning of the lease term, excluding that portion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payments representing executory costs such as insurance, maintenance, and taxes to be paid by the lessor, including any profit thereon, equals or exceeds 90% of the fair value of the leased property to the lessor at lease inception less any related investment tax credit retained by the lessor and expected to be realized by the lessor. If the beginning of the lease term falls within the last 25% of the total estimated economic life of the leased property, including earlier years of use, this criterion shall not be used for purposes of classifying the lease.</w:t>
      </w:r>
    </w:p>
    <w:p>
      <w:pPr>
        <w:spacing w:after="0" w:line="17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tests outlined above, as well as the resulting calculations, require subjective judgments, such as determining, at lease inception, the fair value of the assets, the residual value of the assets at the end of the lease term, the likelihood a tenant will exercise all renewal options (in order to determine the lease term), the estimated remaining economic life of the leased assets, the incremental borrowing rate of the lessee and the interest rate implicit in the lease. A slight change in estimate or judgment can result in a materially different financial statement presentation.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7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elected on our U.S. federal income tax return for our taxable year that began on January 1, 2014 to be treated as a REIT and we, together with an indirect wholly-owned subsidiary of the Company, GLP Holdings, Inc., jointly elected to treat each of GLP Holdings, Inc., Louisiana Casino Cruises, Inc. and Penn Cecil Maryland, Inc. as a "taxable REIT subsidiary" effective on the first day of the first taxable year of GLPI as a REIT. We intend to continue to be organized and to operate in a manner that will permit us to qualify as a REIT. To qualify as a REIT, we must meet certain organizational and operational requirements, including a requirement to distribute at least 90% of our annual REIT taxable income to shareholders determined without regard to the dividends paid deduction and excluding any net capital gain, meet the various other requirements imposed by the Code relating to matters such as operating results, asset holdings, distribution levels, and diversity of stock ownership. As a REIT, we generally will not be subject to federal income tax on income that we distribute as dividends to our shareholders. If we fail to qualify as a REIT in any taxable year, we will be subject to U.S. federal income tax, including any applicable alternative minimum tax, on our taxable income at regular corporate income tax rates, and dividends paid to our shareholders would not be deductible by us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to be taxed as a REIT. It is not possible to state whether in all circumstances we would be entitled to this statutory relief.</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TRS Properties are able to engage in activities resulting in income that would be not qualifying income for a REIT. As a result, certain activities of the Company which occur within our TRS Properties are subject to federal and state income taxes.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Investments</w:t>
      </w:r>
    </w:p>
    <w:p>
      <w:pPr>
        <w:spacing w:after="0" w:line="27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Real estate investments primarily represent land and buildings leased to the Company's tenants. Real estate investments that we received in connection with the Spin-Off were contributed to us at Penn's historical carrying amount. We record the acquisition of real estate at fair value, including acquisition and closing costs. The cost of properties developed by GLPI include costs of construction, property taxes, interest and other miscellaneous costs incurred during the development period until the project is substantially complete and available for occupancy. We consider the period of future benefit of the asset to determine the appropriate useful lives. Depreciation is computed using a straight-line method over the estimated useful lives of the buildings and building improvements. Additionally, the amortization of real estate assets subject to capital leases (for which GLPI is the lessee) is included within the depreciation line item of the Company's consolidated statements of income.</w:t>
      </w:r>
    </w:p>
    <w:p>
      <w:pPr>
        <w:spacing w:after="0" w:line="23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continually monitor events and circumstances that could indicate that the carrying amount of our real estate investments may not be recoverable or realized. When indicators of potential impairment suggest that the carrying value of a real estate investment may not be recoverable, we estimate the fair value of the investment by calculating the undiscounted future cash flows from the use and eventual disposition of the investment. This amount is compared to the asset's carrying value. If we determine the carrying amount is not recoverable, we would recognize an impairment charge equivalent to the amount required to reduce the carrying value of the asset to its estimated fair value, calculated in accordance with GAAP. We group our real estate investments together by lease, the lowest level for which identifiable cash flows are available, in evaluating impairment. In assessing the recoverability of the carrying value, we must make assumptions regarding future cash flows and other factors. Factors considered in performing this assessment include current operating results, market and other applicable trends and residual values, as well as the effect of obsolescence, demand, competition and other factors. If these estimates or the related assumptions change in the future, we may be required to record an impairment loss.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279" w:lineRule="exact"/>
        <w:rPr>
          <w:sz w:val="20"/>
          <w:szCs w:val="20"/>
          <w:color w:val="auto"/>
        </w:rPr>
      </w:pPr>
    </w:p>
    <w:p>
      <w:pPr>
        <w:ind w:right="20" w:firstLine="567"/>
        <w:spacing w:after="0" w:line="279" w:lineRule="auto"/>
        <w:rPr>
          <w:sz w:val="20"/>
          <w:szCs w:val="20"/>
          <w:color w:val="auto"/>
        </w:rPr>
      </w:pPr>
      <w:r>
        <w:rPr>
          <w:rFonts w:ascii="Arial" w:cs="Arial" w:eastAsia="Arial" w:hAnsi="Arial"/>
          <w:sz w:val="17"/>
          <w:szCs w:val="17"/>
          <w:color w:val="auto"/>
        </w:rPr>
        <w:t xml:space="preserve">Under ASC 350 -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("ASC 350"), we are required to test goodwill and other intangible assets for impairment at least annually and whenever events or circumstances indicate that it is more likely than not that goodwill or other intangible assets may be impaired. We have elected to perform our annual goodwill and intangible asset impairment tests as of October 1 of each year. Goodwill is tested at the reporting unit level, which is an operating segment or one level below an operating segment for which discrete financial information is available.</w:t>
      </w:r>
    </w:p>
    <w:p>
      <w:pPr>
        <w:spacing w:after="0" w:line="225" w:lineRule="exact"/>
        <w:rPr>
          <w:sz w:val="20"/>
          <w:szCs w:val="20"/>
          <w:color w:val="auto"/>
        </w:rPr>
      </w:pPr>
    </w:p>
    <w:p>
      <w:pPr>
        <w:ind w:firstLine="567"/>
        <w:spacing w:after="0" w:line="276" w:lineRule="auto"/>
        <w:rPr>
          <w:sz w:val="20"/>
          <w:szCs w:val="20"/>
          <w:color w:val="auto"/>
        </w:rPr>
      </w:pPr>
      <w:r>
        <w:rPr>
          <w:rFonts w:ascii="Arial" w:cs="Arial" w:eastAsia="Arial" w:hAnsi="Arial"/>
          <w:sz w:val="17"/>
          <w:szCs w:val="17"/>
          <w:color w:val="auto"/>
        </w:rPr>
        <w:t>ASC 350 prescribes a two-step goodwill impairment test, the first step which involves the determination of the fair value of each reporting unit and its comparison to the carrying amount. In order to determine the fair value of the Baton Rouge reporting unit, where the Company's goodwill resides, the Company utilizes a discounted cash flow model, which relies on projected EBITDA to determine the reporting unit's future cash flows. If the carrying amount of the reporting unit exceeds the fair value in step 1, then step 2 of the impairment test is performed to determine the implied value of goodwill. If the implied value of goodwill is less than the goodwill allocated to the reporting unit, an impairment loss is recognized.</w:t>
      </w:r>
    </w:p>
    <w:p>
      <w:pPr>
        <w:spacing w:after="0" w:line="22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accordance with ASC 350, we consider the Hollywood Casino Perryville gaming license an indefinite-lived intangible asset that does not require amortization based on our future expectations to operate this casino indefinitely as well as the gaming industry's historical experience in renewing these intangible assets at minimal cost with various state gaming commissions. Rather, the gaming license is tested annually, or more frequently if indicators of impairment exist, for impairment by comparing the fair value of the recorded asset to its carrying amount. If the carrying amount of the indefinite-life intangible asset exceeds its fair value, an impairment loss is recognized. Hollywood Casino Perryville's gaming license will expire in September 2025, fifteen years from the casino's opening date. We expect to expense any costs related to the gaming license renewal as incurred.</w:t>
      </w:r>
    </w:p>
    <w:p>
      <w:pPr>
        <w:spacing w:after="0" w:line="219"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We assessed the fair value of our gaming license using the Greenfield Method under the income approach. The Greenfield Method estimates the fair value of the gaming license assuming we built a casino with similar utility to that of the existing facility. The method assumes a theoretical start-up company going into business without any assets other than the intangible asset being valued. As such the value of the license is a function of the following items:</w:t>
      </w:r>
    </w:p>
    <w:p>
      <w:pPr>
        <w:spacing w:after="0" w:line="20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Projected revenues and operating cash flows;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Theoretical construction costs and duration;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Pre-opening expenses;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30" w:right="25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Discounting that reflects the level of risk associated with receiving future cash flows attributable to the license;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Remaining useful life of the license.</w:t>
      </w:r>
    </w:p>
    <w:p>
      <w:pPr>
        <w:spacing w:after="0" w:line="27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evaluation of goodwill and indefinite-lived intangible assets requires the use of estimates about future operating results to determine the estimated fair value of the reporting unit and the indefinite-lived intangible assets. We must make various assumptions and estimates in performing our impairment testing. The implied fair value includes estimates of future cash flows that are based on reasonable and supportable assumptions which represent our best estimates of the cash flows expected to result from the use of the assets. Changes in estimates, increases in our cost of capital, reductions in transaction multiples, changes in operating and capital expenditure assumptions or application of alternative assumptions and definitions could produce significantly different results. Future cash flow estimates are, by their nature, subjective and actual results may differ materially from our estimates. If our ongoing estimates of future cash flows are not met, we may have to record additional impairment charges in future accounting periods. Our estimates of cash flows are based on the current regulatory and economic climates, as well as recent operating information and budgets. These estimates could be negatively impacted by changes in federal, state or local regulations, economic downturns, or other events.</w:t>
      </w:r>
    </w:p>
    <w:p>
      <w:pPr>
        <w:spacing w:after="0" w:line="23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Forecasted cash flows can be significantly impacted by the local economy in which our subsidiaries operate. For example, increases in unemployment rates can result in decreased customer visitations and/or lower customer spend per visit. In addition, new legislation which approves gaming in nearby jurisdictions or further expands gaming in jurisdictions in which we operate can result in increased competition for the property. This generally has a negative effect on profitability once competitors become established, as a certain level of cannibalization occurs absent an overall increase in customer visitations. Lastly, increases in gaming taxes approved by state regulatory bodies can negatively impact forecasted cash flows.</w:t>
      </w:r>
    </w:p>
    <w:p>
      <w:pPr>
        <w:spacing w:after="0" w:line="22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Assumptions and estimates about future cash flow levels are complex and subjective. They are sensitive to changes in underlying assumptions and can be affected by a variety of factors, including external factors, such as industry, geopolitical and economic trends, and internal factors, such as changes in our business strategy, which may reallocate capital and resources to different or new opportunities which management believes will enhance our overall value but may be to the detriment of our existing operations. A change in any of our assumptions or estimates could result in additional impairment charges in future periods.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the most important factors and trends that contribute or may contribute to our operating performance:</w:t>
      </w:r>
    </w:p>
    <w:p>
      <w:pPr>
        <w:spacing w:after="0" w:line="225" w:lineRule="exact"/>
        <w:rPr>
          <w:sz w:val="20"/>
          <w:szCs w:val="20"/>
          <w:color w:val="auto"/>
        </w:rPr>
      </w:pPr>
    </w:p>
    <w:p>
      <w:pPr>
        <w:ind w:left="660" w:right="4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fact that several wholly-owned subsidiaries of Penn lease a substantial number of our properties, pursuant to two master leases and a single property lease and account for a significant portion of our revenue.</w:t>
      </w:r>
    </w:p>
    <w:p>
      <w:pPr>
        <w:spacing w:after="0" w:line="170" w:lineRule="exact"/>
        <w:rPr>
          <w:rFonts w:ascii="Arial" w:cs="Arial" w:eastAsia="Arial" w:hAnsi="Arial"/>
          <w:sz w:val="18"/>
          <w:szCs w:val="18"/>
          <w:color w:val="auto"/>
        </w:rPr>
      </w:pPr>
    </w:p>
    <w:p>
      <w:pPr>
        <w:ind w:left="660" w:right="24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risks related to economic conditions and the effect of such conditions on consumer spending for leisure and gaming activities, which may negatively impact our gaming tenants and operators and the variable rent we receive from our tenants as outlined in the long-term triple-net leases with these tenants.</w:t>
      </w:r>
    </w:p>
    <w:p>
      <w:pPr>
        <w:spacing w:after="0" w:line="181"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fact that the rules and regulations of U.S. federal income taxation are constantly under review by legislators, the IRS and the U.S. Department of the Treasury. Changes to the tax laws or interpretations thereof, with or without retroactive application, could materially and adversely affect GLPI's investors or GLPI.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consolidated results of operations for the years ended December 31, 2018, 2017 and 2016 are summarized below:</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940" w:type="dxa"/>
            <w:vAlign w:val="bottom"/>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371"/>
              <w:spacing w:after="0"/>
              <w:rPr>
                <w:sz w:val="20"/>
                <w:szCs w:val="20"/>
                <w:color w:val="auto"/>
              </w:rPr>
            </w:pPr>
            <w:r>
              <w:rPr>
                <w:rFonts w:ascii="Arial" w:cs="Arial" w:eastAsia="Arial" w:hAnsi="Arial"/>
                <w:sz w:val="14"/>
                <w:szCs w:val="14"/>
                <w:b w:val="1"/>
                <w:bCs w:val="1"/>
                <w:color w:val="auto"/>
              </w:rPr>
              <w:t>2016</w:t>
            </w:r>
          </w:p>
        </w:tc>
      </w:tr>
      <w:tr>
        <w:trPr>
          <w:trHeight w:val="21"/>
        </w:trPr>
        <w:tc>
          <w:tcPr>
            <w:tcW w:w="2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5"/>
        </w:trPr>
        <w:tc>
          <w:tcPr>
            <w:tcW w:w="20" w:type="dxa"/>
            <w:vAlign w:val="bottom"/>
          </w:tcPr>
          <w:p>
            <w:pPr>
              <w:spacing w:after="0"/>
              <w:rPr>
                <w:sz w:val="22"/>
                <w:szCs w:val="22"/>
                <w:color w:val="auto"/>
              </w:rPr>
            </w:pPr>
          </w:p>
        </w:tc>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Rental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747,654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671,190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567,444</w:t>
            </w:r>
          </w:p>
        </w:tc>
      </w:tr>
      <w:tr>
        <w:trPr>
          <w:trHeight w:val="243"/>
        </w:trPr>
        <w:tc>
          <w:tcPr>
            <w:tcW w:w="20" w:type="dxa"/>
            <w:vAlign w:val="bottom"/>
          </w:tcPr>
          <w:p>
            <w:pPr>
              <w:spacing w:after="0"/>
              <w:rPr>
                <w:sz w:val="21"/>
                <w:szCs w:val="21"/>
                <w:color w:val="auto"/>
              </w:rPr>
            </w:pPr>
          </w:p>
        </w:tc>
        <w:tc>
          <w:tcPr>
            <w:tcW w:w="6040" w:type="dxa"/>
            <w:vAlign w:val="bottom"/>
            <w:gridSpan w:val="2"/>
          </w:tcPr>
          <w:p>
            <w:pPr>
              <w:ind w:left="140"/>
              <w:spacing w:after="0"/>
              <w:rPr>
                <w:sz w:val="20"/>
                <w:szCs w:val="20"/>
                <w:color w:val="auto"/>
              </w:rPr>
            </w:pPr>
            <w:r>
              <w:rPr>
                <w:rFonts w:ascii="Arial" w:cs="Arial" w:eastAsia="Arial" w:hAnsi="Arial"/>
                <w:sz w:val="18"/>
                <w:szCs w:val="18"/>
                <w:color w:val="auto"/>
              </w:rPr>
              <w:t>Income from direct financing lease</w:t>
            </w:r>
          </w:p>
        </w:tc>
        <w:tc>
          <w:tcPr>
            <w:tcW w:w="2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81,119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74,333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48,917</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Interest income from mortgaged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040" w:type="dxa"/>
            <w:vAlign w:val="bottom"/>
            <w:gridSpan w:val="2"/>
          </w:tcPr>
          <w:p>
            <w:pPr>
              <w:ind w:left="140"/>
              <w:spacing w:after="0"/>
              <w:rPr>
                <w:sz w:val="20"/>
                <w:szCs w:val="20"/>
                <w:color w:val="auto"/>
              </w:rPr>
            </w:pPr>
            <w:r>
              <w:rPr>
                <w:rFonts w:ascii="Arial" w:cs="Arial" w:eastAsia="Arial" w:hAnsi="Arial"/>
                <w:sz w:val="18"/>
                <w:szCs w:val="18"/>
                <w:color w:val="auto"/>
              </w:rPr>
              <w:t>Real estate taxes paid by tenants</w:t>
            </w:r>
          </w:p>
        </w:tc>
        <w:tc>
          <w:tcPr>
            <w:tcW w:w="2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87,466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83,698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67,843</w:t>
            </w:r>
          </w:p>
        </w:tc>
      </w:tr>
      <w:tr>
        <w:trPr>
          <w:trHeight w:val="27"/>
        </w:trPr>
        <w:tc>
          <w:tcPr>
            <w:tcW w:w="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income from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923,182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829,221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684,204</w:t>
            </w:r>
          </w:p>
        </w:tc>
      </w:tr>
      <w:tr>
        <w:trPr>
          <w:trHeight w:val="243"/>
        </w:trPr>
        <w:tc>
          <w:tcPr>
            <w:tcW w:w="20" w:type="dxa"/>
            <w:vAlign w:val="bottom"/>
          </w:tcPr>
          <w:p>
            <w:pPr>
              <w:spacing w:after="0"/>
              <w:rPr>
                <w:sz w:val="21"/>
                <w:szCs w:val="21"/>
                <w:color w:val="auto"/>
              </w:rPr>
            </w:pPr>
          </w:p>
        </w:tc>
        <w:tc>
          <w:tcPr>
            <w:tcW w:w="6040" w:type="dxa"/>
            <w:vAlign w:val="bottom"/>
            <w:gridSpan w:val="2"/>
          </w:tcPr>
          <w:p>
            <w:pPr>
              <w:ind w:left="140"/>
              <w:spacing w:after="0"/>
              <w:rPr>
                <w:sz w:val="20"/>
                <w:szCs w:val="20"/>
                <w:color w:val="auto"/>
              </w:rPr>
            </w:pPr>
            <w:r>
              <w:rPr>
                <w:rFonts w:ascii="Arial" w:cs="Arial" w:eastAsia="Arial" w:hAnsi="Arial"/>
                <w:sz w:val="18"/>
                <w:szCs w:val="18"/>
                <w:color w:val="auto"/>
              </w:rPr>
              <w:t>Gaming, food, beverage and other</w:t>
            </w:r>
          </w:p>
        </w:tc>
        <w:tc>
          <w:tcPr>
            <w:tcW w:w="2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132,545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142,086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144,051</w:t>
            </w:r>
          </w:p>
        </w:tc>
      </w:tr>
      <w:tr>
        <w:trPr>
          <w:trHeight w:val="27"/>
        </w:trPr>
        <w:tc>
          <w:tcPr>
            <w:tcW w:w="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1,055,727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971,307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828,255</w:t>
            </w:r>
          </w:p>
        </w:tc>
      </w:tr>
      <w:tr>
        <w:trPr>
          <w:trHeight w:val="243"/>
        </w:trPr>
        <w:tc>
          <w:tcPr>
            <w:tcW w:w="20" w:type="dxa"/>
            <w:vAlign w:val="bottom"/>
          </w:tcPr>
          <w:p>
            <w:pPr>
              <w:spacing w:after="0"/>
              <w:rPr>
                <w:sz w:val="21"/>
                <w:szCs w:val="21"/>
                <w:color w:val="auto"/>
              </w:rPr>
            </w:pPr>
          </w:p>
        </w:tc>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Gaming, food, beverage and other</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80,487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82,463</w:t>
            </w:r>
          </w:p>
        </w:tc>
      </w:tr>
      <w:tr>
        <w:trPr>
          <w:trHeight w:val="243"/>
        </w:trPr>
        <w:tc>
          <w:tcPr>
            <w:tcW w:w="20" w:type="dxa"/>
            <w:vAlign w:val="bottom"/>
          </w:tcPr>
          <w:p>
            <w:pPr>
              <w:spacing w:after="0"/>
              <w:rPr>
                <w:sz w:val="21"/>
                <w:szCs w:val="21"/>
                <w:color w:val="auto"/>
              </w:rPr>
            </w:pPr>
          </w:p>
        </w:tc>
        <w:tc>
          <w:tcPr>
            <w:tcW w:w="6040" w:type="dxa"/>
            <w:vAlign w:val="bottom"/>
            <w:gridSpan w:val="2"/>
          </w:tcPr>
          <w:p>
            <w:pPr>
              <w:ind w:left="140"/>
              <w:spacing w:after="0"/>
              <w:rPr>
                <w:sz w:val="20"/>
                <w:szCs w:val="20"/>
                <w:color w:val="auto"/>
              </w:rPr>
            </w:pPr>
            <w:r>
              <w:rPr>
                <w:rFonts w:ascii="Arial" w:cs="Arial" w:eastAsia="Arial" w:hAnsi="Arial"/>
                <w:sz w:val="18"/>
                <w:szCs w:val="18"/>
                <w:color w:val="auto"/>
              </w:rPr>
              <w:t>Real estate taxes</w:t>
            </w:r>
          </w:p>
        </w:tc>
        <w:tc>
          <w:tcPr>
            <w:tcW w:w="2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88,757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84,666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69,448</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Land rights and ground lease expense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14,799</w:t>
            </w:r>
          </w:p>
        </w:tc>
      </w:tr>
      <w:tr>
        <w:trPr>
          <w:trHeight w:val="243"/>
        </w:trPr>
        <w:tc>
          <w:tcPr>
            <w:tcW w:w="20" w:type="dxa"/>
            <w:vAlign w:val="bottom"/>
          </w:tcPr>
          <w:p>
            <w:pPr>
              <w:spacing w:after="0"/>
              <w:rPr>
                <w:sz w:val="21"/>
                <w:szCs w:val="21"/>
                <w:color w:val="auto"/>
              </w:rPr>
            </w:pPr>
          </w:p>
        </w:tc>
        <w:tc>
          <w:tcPr>
            <w:tcW w:w="604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71,128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63,151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71,368</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137,093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113,480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109,554</w:t>
            </w:r>
          </w:p>
        </w:tc>
      </w:tr>
      <w:tr>
        <w:trPr>
          <w:trHeight w:val="243"/>
        </w:trPr>
        <w:tc>
          <w:tcPr>
            <w:tcW w:w="20" w:type="dxa"/>
            <w:vAlign w:val="bottom"/>
          </w:tcPr>
          <w:p>
            <w:pPr>
              <w:spacing w:after="0"/>
              <w:rPr>
                <w:sz w:val="21"/>
                <w:szCs w:val="21"/>
                <w:color w:val="auto"/>
              </w:rPr>
            </w:pPr>
          </w:p>
        </w:tc>
        <w:tc>
          <w:tcPr>
            <w:tcW w:w="6040" w:type="dxa"/>
            <w:vAlign w:val="bottom"/>
            <w:gridSpan w:val="2"/>
          </w:tcPr>
          <w:p>
            <w:pPr>
              <w:ind w:left="80"/>
              <w:spacing w:after="0"/>
              <w:rPr>
                <w:sz w:val="20"/>
                <w:szCs w:val="20"/>
                <w:color w:val="auto"/>
              </w:rPr>
            </w:pPr>
            <w:r>
              <w:rPr>
                <w:rFonts w:ascii="Arial" w:cs="Arial" w:eastAsia="Arial" w:hAnsi="Arial"/>
                <w:sz w:val="18"/>
                <w:szCs w:val="18"/>
                <w:color w:val="auto"/>
              </w:rPr>
              <w:t>Goodwill impairment charges</w:t>
            </w:r>
          </w:p>
        </w:tc>
        <w:tc>
          <w:tcPr>
            <w:tcW w:w="2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59,454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461,917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365,789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347,632</w:t>
            </w:r>
          </w:p>
        </w:tc>
      </w:tr>
      <w:tr>
        <w:trPr>
          <w:trHeight w:val="257"/>
        </w:trPr>
        <w:tc>
          <w:tcPr>
            <w:tcW w:w="20" w:type="dxa"/>
            <w:vAlign w:val="bottom"/>
          </w:tcPr>
          <w:p>
            <w:pPr>
              <w:spacing w:after="0"/>
              <w:rPr>
                <w:sz w:val="22"/>
                <w:szCs w:val="22"/>
                <w:color w:val="auto"/>
              </w:rPr>
            </w:pPr>
          </w:p>
        </w:tc>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593,810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605,518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480,623</w:t>
            </w: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information regarding our results of operations by segment for the years ended December 31, 2018, 2017 and 2016 is summarized below:</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Income from Operations</w:t>
            </w:r>
          </w:p>
        </w:tc>
        <w:tc>
          <w:tcPr>
            <w:tcW w:w="800" w:type="dxa"/>
            <w:vAlign w:val="bottom"/>
            <w:tcBorders>
              <w:bottom w:val="single" w:sz="8" w:color="auto"/>
            </w:tcBorders>
          </w:tcPr>
          <w:p>
            <w:pPr>
              <w:spacing w:after="0"/>
              <w:rPr>
                <w:sz w:val="16"/>
                <w:szCs w:val="16"/>
                <w:color w:val="auto"/>
              </w:rPr>
            </w:pPr>
          </w:p>
        </w:tc>
      </w:tr>
      <w:tr>
        <w:trPr>
          <w:trHeight w:val="229"/>
        </w:trPr>
        <w:tc>
          <w:tcPr>
            <w:tcW w:w="368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9"/>
                <w:szCs w:val="19"/>
                <w:color w:val="auto"/>
              </w:rPr>
            </w:pPr>
          </w:p>
        </w:tc>
        <w:tc>
          <w:tcPr>
            <w:tcW w:w="880" w:type="dxa"/>
            <w:vAlign w:val="bottom"/>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ind w:left="14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ind w:left="14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ind w:left="4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56"/>
        </w:trPr>
        <w:tc>
          <w:tcPr>
            <w:tcW w:w="3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GLP Capital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923,182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829,221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684,204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630,122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578,661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454,682</w:t>
            </w:r>
          </w:p>
        </w:tc>
      </w:tr>
      <w:tr>
        <w:trPr>
          <w:trHeight w:val="243"/>
        </w:trPr>
        <w:tc>
          <w:tcPr>
            <w:tcW w:w="3680" w:type="dxa"/>
            <w:vAlign w:val="bottom"/>
            <w:gridSpan w:val="3"/>
          </w:tcPr>
          <w:p>
            <w:pPr>
              <w:ind w:left="40"/>
              <w:spacing w:after="0"/>
              <w:rPr>
                <w:sz w:val="20"/>
                <w:szCs w:val="20"/>
                <w:color w:val="auto"/>
              </w:rPr>
            </w:pPr>
            <w:r>
              <w:rPr>
                <w:rFonts w:ascii="Arial" w:cs="Arial" w:eastAsia="Arial" w:hAnsi="Arial"/>
                <w:sz w:val="18"/>
                <w:szCs w:val="18"/>
                <w:color w:val="auto"/>
              </w:rPr>
              <w:t>TRS Properties</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132,545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ind w:left="140"/>
              <w:spacing w:after="0"/>
              <w:rPr>
                <w:sz w:val="20"/>
                <w:szCs w:val="20"/>
                <w:color w:val="auto"/>
              </w:rPr>
            </w:pPr>
            <w:r>
              <w:rPr>
                <w:rFonts w:ascii="Arial" w:cs="Arial" w:eastAsia="Arial" w:hAnsi="Arial"/>
                <w:sz w:val="18"/>
                <w:szCs w:val="18"/>
                <w:color w:val="auto"/>
              </w:rPr>
              <w:t>142,086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ind w:left="140"/>
              <w:spacing w:after="0"/>
              <w:rPr>
                <w:sz w:val="20"/>
                <w:szCs w:val="20"/>
                <w:color w:val="auto"/>
              </w:rPr>
            </w:pPr>
            <w:r>
              <w:rPr>
                <w:rFonts w:ascii="Arial" w:cs="Arial" w:eastAsia="Arial" w:hAnsi="Arial"/>
                <w:sz w:val="18"/>
                <w:szCs w:val="18"/>
                <w:color w:val="auto"/>
              </w:rPr>
              <w:t>144,051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(36,312)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26,857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25,941</w:t>
            </w:r>
          </w:p>
        </w:tc>
      </w:tr>
      <w:tr>
        <w:trPr>
          <w:trHeight w:val="27"/>
        </w:trPr>
        <w:tc>
          <w:tcPr>
            <w:tcW w:w="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3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4"/>
              </w:rPr>
              <w:t>1,055,727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971,307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828,255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593,810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605,518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480,623</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FFO, AFFO and Adjusted EBITDA</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Funds From Operations ("FFO"), Adjusted Funds From Operations ("AFFO") and Adjusted EBITDA are non-GAAP financial measures used by the Company as performance measures for benchmarking against the Company’s peers and as internal measures of business operating performance which is used as a bonus metric.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 In addition, in order for the Company to qualify as a REIT, it must distribute 90% of its REIT taxable income annually. The Company adjusts AFFO accordingly to provide our investors an estimate of the taxable income available for this distribution requirement.</w:t>
      </w:r>
    </w:p>
    <w:p>
      <w:pPr>
        <w:spacing w:after="0" w:line="17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FFO is a non-GAAP financial measure that is considered a supplemental measure for the real estate industry and a supplement to GAAP measures. The National Association of Real Estate Investment Trusts defines FFO as net income (computed in accordance with GAAP), excluding (gains) or losses from sales of property and real estate depreciation. We define AFFO as FFO excluding stock based compensation expense, debt issuance costs amortization, other depreciation, amortization of land rights, straight-line rent adjustments, direct financing lease adjustments, losses on debt extinguishment retirement costs and goodwill impairment charges, reduced by maintenance capital expenditures. Finally, we define Adjusted EBITDA as net income excluding interest, taxes on income, depreciation, (gains) or losses from sales of property, stock based compensation expense, straight-line rent adjustments, direct financing lease adjustments, the amortization of land rights, losses on debt extinguishment, retirement costs and goodwill impairment charges.</w:t>
      </w:r>
    </w:p>
    <w:p>
      <w:pPr>
        <w:spacing w:after="0" w:line="16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FFO, AFFO and Adjusted EBITDA are not recognized terms under GAAP. Because certain companies do not calculate FFO, AFFO and Adjusted EBITDA in the same way and certain other companies may not perform such calculation, those</w:t>
      </w:r>
    </w:p>
    <w:p>
      <w:pPr>
        <w:sectPr>
          <w:pgSz w:w="11900" w:h="16838" w:orient="portrait"/>
          <w:cols w:equalWidth="0" w:num="1">
            <w:col w:w="11380"/>
          </w:cols>
          <w:pgMar w:left="240" w:top="130" w:right="279" w:bottom="1440" w:gutter="0" w:footer="0" w:header="0"/>
        </w:sectPr>
      </w:pP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380"/>
          </w:cols>
          <w:pgMar w:left="240" w:top="130" w:right="279" w:bottom="1440" w:gutter="0" w:footer="0" w:header="0"/>
          <w:type w:val="continuous"/>
        </w:sectPr>
      </w:pPr>
    </w:p>
    <w:bookmarkStart w:id="48" w:name="page49"/>
    <w:bookmarkEnd w:id="4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measures as used by other companies may not be consistent with the way the Company calculates such measures and should not be considered as alternative measures of operating profit or net income. The Company’s presentation of these measures does not replace the presentation of the Company’s financial results in accordance with GAAP.</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These non-GAAP financial measures: (i) do not represent cash flow from operations as defined by GAAP; (ii) should not be considered as an alternative to net income as a measure of operating performance or to cash flows from operating, investing and financing activities; and (iii) are not alternatives to cash flow as a measure of liquidity. In addition, these measures should not be viewed as an indication of our ability to fund all of our cash needs, including to make cash distributions to our shareholders, to fund capital improvements, or to make interest payments on our indebtedness. Investors are also cautioned that FFO, AFFO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18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reconciliation of the Company’s net income per GAAP to FFO, AFFO, and Adjusted EBITDA for the years ended December 31, 2018, 2017 and 2016 is as follows: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4"/>
                <w:szCs w:val="14"/>
                <w:color w:val="auto"/>
              </w:rPr>
            </w:pPr>
          </w:p>
        </w:tc>
        <w:tc>
          <w:tcPr>
            <w:tcW w:w="820" w:type="dxa"/>
            <w:vAlign w:val="bottom"/>
          </w:tcPr>
          <w:p>
            <w:pPr>
              <w:jc w:val="right"/>
              <w:ind w:right="3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291"/>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6"/>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339,516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380,598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289,305</w:t>
            </w: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Losses (gains) from dispositions of property</w:t>
            </w:r>
          </w:p>
        </w:tc>
        <w:tc>
          <w:tcPr>
            <w:tcW w:w="2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Real estate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125,630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100,576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96,074</w:t>
            </w:r>
          </w:p>
        </w:tc>
      </w:tr>
      <w:tr>
        <w:trPr>
          <w:trHeight w:val="237"/>
        </w:trPr>
        <w:tc>
          <w:tcPr>
            <w:tcW w:w="6080" w:type="dxa"/>
            <w:vAlign w:val="bottom"/>
            <w:gridSpan w:val="3"/>
          </w:tcPr>
          <w:p>
            <w:pPr>
              <w:ind w:left="40"/>
              <w:spacing w:after="0"/>
              <w:rPr>
                <w:sz w:val="20"/>
                <w:szCs w:val="20"/>
                <w:color w:val="auto"/>
              </w:rPr>
            </w:pPr>
            <w:r>
              <w:rPr>
                <w:rFonts w:ascii="Arial" w:cs="Arial" w:eastAsia="Arial" w:hAnsi="Arial"/>
                <w:sz w:val="18"/>
                <w:szCs w:val="18"/>
                <w:b w:val="1"/>
                <w:bCs w:val="1"/>
                <w:color w:val="auto"/>
              </w:rPr>
              <w:t>Funds from operations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465,455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481,704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384,924</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Straight-line rent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58,673</w:t>
            </w: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Direct financing lease adjustments</w:t>
            </w:r>
          </w:p>
        </w:tc>
        <w:tc>
          <w:tcPr>
            <w:tcW w:w="2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38,459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73,072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48,533</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13,480</w:t>
            </w: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Amortization of land rights</w:t>
            </w:r>
          </w:p>
        </w:tc>
        <w:tc>
          <w:tcPr>
            <w:tcW w:w="2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11,272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6,163</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Amortization of debt issuance costs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12,167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15,146</w:t>
            </w: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Stock based compensation</w:t>
            </w:r>
          </w:p>
        </w:tc>
        <w:tc>
          <w:tcPr>
            <w:tcW w:w="2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11,152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18,312</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Losses on debt extinguishment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Retirement costs</w:t>
            </w:r>
          </w:p>
        </w:tc>
        <w:tc>
          <w:tcPr>
            <w:tcW w:w="2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13,149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Capital maintenance expenditures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(3,111)</w:t>
            </w:r>
          </w:p>
        </w:tc>
      </w:tr>
      <w:tr>
        <w:trPr>
          <w:trHeight w:val="27"/>
        </w:trPr>
        <w:tc>
          <w:tcPr>
            <w:tcW w:w="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Adjusted funds from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683,648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669,490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542,120</w:t>
            </w: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Interest, net</w:t>
            </w:r>
          </w:p>
        </w:tc>
        <w:tc>
          <w:tcPr>
            <w:tcW w:w="2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245,857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215,133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183,773</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7,545</w:t>
            </w: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Capital maintenance expenditures</w:t>
            </w:r>
          </w:p>
        </w:tc>
        <w:tc>
          <w:tcPr>
            <w:tcW w:w="2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4,284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3,111</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Amortization of debt issuance costs </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(15,146)</w:t>
            </w:r>
          </w:p>
        </w:tc>
      </w:tr>
      <w:tr>
        <w:trPr>
          <w:trHeight w:val="257"/>
        </w:trPr>
        <w:tc>
          <w:tcPr>
            <w:tcW w:w="6080" w:type="dxa"/>
            <w:vAlign w:val="bottom"/>
            <w:gridSpan w:val="3"/>
          </w:tcPr>
          <w:p>
            <w:pPr>
              <w:ind w:left="40"/>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926,586</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884,562</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721,403</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520" w:hanging="188"/>
        <w:spacing w:after="0"/>
        <w:tabs>
          <w:tab w:leader="none" w:pos="520" w:val="left"/>
        </w:tabs>
        <w:numPr>
          <w:ilvl w:val="0"/>
          <w:numId w:val="34"/>
        </w:numPr>
        <w:rPr>
          <w:rFonts w:ascii="Arial" w:cs="Arial" w:eastAsia="Arial" w:hAnsi="Arial"/>
          <w:sz w:val="23"/>
          <w:szCs w:val="23"/>
          <w:color w:val="auto"/>
          <w:vertAlign w:val="superscript"/>
        </w:rPr>
      </w:pPr>
      <w:r>
        <w:rPr>
          <w:rFonts w:ascii="Arial" w:cs="Arial" w:eastAsia="Arial" w:hAnsi="Arial"/>
          <w:sz w:val="17"/>
          <w:szCs w:val="17"/>
          <w:color w:val="auto"/>
        </w:rPr>
        <w:t>Such amortization is a non-cash component included in interest, net.</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30" w:right="239" w:bottom="1440" w:gutter="0" w:footer="0" w:header="0"/>
          <w:type w:val="continuous"/>
        </w:sectPr>
      </w:pPr>
    </w:p>
    <w:bookmarkStart w:id="49" w:name="page50"/>
    <w:bookmarkEnd w:id="4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reconciliation of each segment’s net income per GAAP to FFO, AFFO, and Adjusted EBITDA for the years ended December 31, 2018, 2017 and 2016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GLP Capital</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8"/>
              </w:rPr>
              <w:t>TRS Properties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29"/>
        </w:trPr>
        <w:tc>
          <w:tcPr>
            <w:tcW w:w="42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9"/>
                <w:szCs w:val="19"/>
                <w:color w:val="auto"/>
              </w:rPr>
            </w:pPr>
          </w:p>
        </w:tc>
        <w:tc>
          <w:tcPr>
            <w:tcW w:w="780" w:type="dxa"/>
            <w:vAlign w:val="bottom"/>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331"/>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gridSpan w:val="5"/>
          </w:tcPr>
          <w:p>
            <w:pPr>
              <w:ind w:left="46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6"/>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8"/>
              </w:rPr>
              <w:t>390,341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372,832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280,295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(50,825)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7,766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9,010</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Losses (gains) from dispositions of property</w:t>
            </w:r>
          </w:p>
        </w:tc>
        <w:tc>
          <w:tcPr>
            <w:tcW w:w="2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16</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Real estate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125,630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100,576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96,074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b w:val="1"/>
                <w:bCs w:val="1"/>
                <w:color w:val="auto"/>
              </w:rPr>
              <w:t>Funds from operations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8"/>
              </w:rPr>
              <w:t>516,047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473,408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375,898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(50,592)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8,296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9,026</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Straight-line rent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61,888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Direct financing lease adjustments</w:t>
            </w:r>
          </w:p>
        </w:tc>
        <w:tc>
          <w:tcPr>
            <w:tcW w:w="2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38,459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73,072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48,533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11,383</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Amortization of land rights</w:t>
            </w:r>
          </w:p>
        </w:tc>
        <w:tc>
          <w:tcPr>
            <w:tcW w:w="2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11,272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10,355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6,163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2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Debt issuance costs amortization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12,167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13,026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15,146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Stock based compensation</w:t>
            </w:r>
          </w:p>
        </w:tc>
        <w:tc>
          <w:tcPr>
            <w:tcW w:w="2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11,152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15,636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18,312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Losses on debt extinguishment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Retirement costs</w:t>
            </w:r>
          </w:p>
        </w:tc>
        <w:tc>
          <w:tcPr>
            <w:tcW w:w="2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13,149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59,454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Capital maintenance expenditures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(3,111)</w:t>
            </w:r>
          </w:p>
        </w:tc>
      </w:tr>
      <w:tr>
        <w:trPr>
          <w:trHeight w:val="27"/>
        </w:trPr>
        <w:tc>
          <w:tcPr>
            <w:tcW w:w="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Adjusted funds from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8"/>
              </w:rPr>
              <w:t>669,618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653,544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524,822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14,030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15,946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17,298</w:t>
            </w:r>
          </w:p>
        </w:tc>
      </w:tr>
      <w:tr>
        <w:trPr>
          <w:trHeight w:val="270"/>
        </w:trPr>
        <w:tc>
          <w:tcPr>
            <w:tcW w:w="424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Interest, net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w w:val="98"/>
              </w:rPr>
              <w:t>235,453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204,730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173,371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10,404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10,403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10,402</w:t>
            </w: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6,529</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Capital maintenance expenditures</w:t>
            </w:r>
          </w:p>
        </w:tc>
        <w:tc>
          <w:tcPr>
            <w:tcW w:w="2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4,229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3,178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3,111</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2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Debt issuance costs amortization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57"/>
        </w:trPr>
        <w:tc>
          <w:tcPr>
            <w:tcW w:w="4240" w:type="dxa"/>
            <w:vAlign w:val="bottom"/>
            <w:gridSpan w:val="3"/>
          </w:tcPr>
          <w:p>
            <w:pPr>
              <w:ind w:left="40"/>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8"/>
              </w:rPr>
              <w:t>893,814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846,347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684,063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32,772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38,215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37,340</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7322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hanging="188"/>
        <w:spacing w:after="0"/>
        <w:tabs>
          <w:tab w:leader="none" w:pos="520" w:val="left"/>
        </w:tabs>
        <w:numPr>
          <w:ilvl w:val="0"/>
          <w:numId w:val="35"/>
        </w:numPr>
        <w:rPr>
          <w:rFonts w:ascii="Arial" w:cs="Arial" w:eastAsia="Arial" w:hAnsi="Arial"/>
          <w:sz w:val="23"/>
          <w:szCs w:val="23"/>
          <w:color w:val="auto"/>
          <w:vertAlign w:val="superscript"/>
        </w:rPr>
      </w:pPr>
      <w:r>
        <w:rPr>
          <w:rFonts w:ascii="Arial" w:cs="Arial" w:eastAsia="Arial" w:hAnsi="Arial"/>
          <w:sz w:val="17"/>
          <w:szCs w:val="17"/>
          <w:color w:val="auto"/>
        </w:rPr>
        <w:t>Such amortization is a non-cash component included in interest, net.</w:t>
      </w:r>
    </w:p>
    <w:p>
      <w:pPr>
        <w:spacing w:after="0" w:line="201" w:lineRule="exact"/>
        <w:rPr>
          <w:rFonts w:ascii="Arial" w:cs="Arial" w:eastAsia="Arial" w:hAnsi="Arial"/>
          <w:sz w:val="23"/>
          <w:szCs w:val="23"/>
          <w:color w:val="auto"/>
          <w:vertAlign w:val="superscript"/>
        </w:rPr>
      </w:pPr>
    </w:p>
    <w:p>
      <w:pPr>
        <w:ind w:left="660" w:right="180" w:hanging="328"/>
        <w:spacing w:after="0" w:line="216" w:lineRule="auto"/>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Interest expense, net for the GLP Capital segment is net of an intercompany interest elimination of $10.4 million for the years ended December 31, 2018, 2017 and 2016.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with 2017</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Net income, FFO, AFFO, and Adjusted EBITDA for our GLP Capital segment were $390.3 million, $516.0 million, $669.6 million and $893.8 million, respectively, for the year ended December 31, 2018. This compared to net income, FFO, AFFO, and Adjusted EBITDA, for our GLP Capital segment of $372.8 million, $473.4 million, $653.5 million and $846.3 million, respectively, for the year ended December 31, 2017. The increase in net income in our GLP Capital segment was primarily driven by a $94.0 million increase in income from real estate, partially offset by a $42.5 million increase in operating expenses and a $34.2 million increase in other expenses, net. The increase in income from real estate in our GLP Capital segment was primarily due to the Tropicana Transactions, the Penn-Pinnacle Merger and our entry into the Belterra Park Loan, as well as the performance of the Ohio properties, the impact of the rent escalators under the Penn and Pinnacle master leases, net percentage rent adjustments and the partial recognition of income previously deferred under the Penn Master Lease in accordance with ASC 840. The increase in operating expenses in our GLP Capital segment was driven by an increase in depreciation expense resulting from the addition of the Tropicana and Plainridge Park real estate assets to our real estate portfolio, as well as the reclassification of the Pinnacle building assets to real estate investments on our balance sheet as a result of the Penn-Pinnacle Merger, which required the Amended Pinnacle Master Lease to be treated as an operating lease in its entirety. Also driving the increase in total operating expenses for the year ended December 31, 2018, as compared to the prior year, are accrued retirement costs related to the retirement of our former Chief Financial Officer. The increase in other expenses, net was driven by an increase in interest expense related to the debt refinancing in the second quarter of 2018 and debt issuances in the third quarter of 2018, the proceeds of which were utilized for the October closings of both the Tropicana Transactions and the acquisition of Plainridge Park and the funding of the Belterra Park Loan in connection with the Penn-Pinnacle Merger. In addition, the Company incurred losses on the extinguishment of debt during the second quarter of 2018.</w:t>
      </w:r>
    </w:p>
    <w:p>
      <w:pPr>
        <w:sectPr>
          <w:pgSz w:w="11900" w:h="16838" w:orient="portrait"/>
          <w:cols w:equalWidth="0" w:num="1">
            <w:col w:w="11420"/>
          </w:cols>
          <w:pgMar w:left="240" w:top="130"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30" w:right="239" w:bottom="1440" w:gutter="0" w:footer="0" w:header="0"/>
          <w:type w:val="continuous"/>
        </w:sectPr>
      </w:pPr>
    </w:p>
    <w:bookmarkStart w:id="50" w:name="page51"/>
    <w:bookmarkEnd w:id="5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changes described above also led to higher FFO for the year ended December 31, 2018, as compared to the year ended December 31, 2017. The increase in AFFO for our GLP Capital segment was primarily driven by the changes described above, partially offset by lower stock based compensation, direct financing lease adjustments and straight-line rent adjustments, all of which are added back for purposes of calculating AFFO. Direct financing lease adjustments represent the portion of cash rent we received from tenants that was applied against our lease receivable and thus not recorded as revenue. These adjustments decreased due to the unwinding of the direct financing lease in October 2018, as the cash received is now recorded as rental income and no add-back to AFFO is necessary. The increase in Adjusted EBITDA for our GLP Capital segment was primarily driven by the increases in AFFO described above, as well as, a higher add-back for interest.</w:t>
      </w:r>
    </w:p>
    <w:p>
      <w:pPr>
        <w:spacing w:after="0" w:line="178"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The net loss of $50.8 million for our TRS Properties segment for the year ended December 31, 2018, as compared to net income of $7.8 million for the ended December 31, 2017 was primarily driven by a goodwill impairment charge of $59.5 million at our Hollywood Casino Baton Rouge property. This charge was the result of general market deterioration in the Baton Rouge region and the smoking ban at all Baton Rouge, Louisiana casinos that went into effect during the second quarter of 2018, both of which significantly impacted the Company's forecasted cash flows for this reporting unit. This charge also led to lower FFO for our TRS Properties segment for the year ended December 31, 2018, as compared to the year ended December 31,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with 2016</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Net income, FFO, AFFO, and Adjusted EBITDA for our GLP Capital segment were $372.8 million, $473.4 million, $653.5 million and $846.3 million, respectively, for the year ended December 31, 2017. This compared to net income, FFO, AFFO, and Adjusted EBITDA, for our GLP Capital segment of $280.3 million, $375.9 million, $524.8 million and $684.1 million, respectively, for the year ended December 31, 2016. The significant increase in net income in our GLP Capital segment was primarily driven by a $145.0 million increase in total revenues, partially offset by a $21.0 million increase in operating expenses and a $31.4 million increase in interest, net. The increase in total revenues in our GLP Capital segment was primarily due to the Pinnacle transaction, which increased rental income, income from the direct financing lease and revenue recorded for real estate taxes paid by our tenants and the Tunica and Meadows transactions, which increased both rental income and revenue recorded for real estate taxes paid by our tenants. The increase in operating expenses in our GLP Capital segment was driven by increases in real estate taxes, primarily as a result of the addition of the Pinnacle and Meadows properties to our real estate portfolio during 2016 and land right and ground rent lease expense, primarily related to the land rights acquired with the Pinnacle and Tunica transactions, partially offset by a decline in general and administrative expenses. The increase in interest, net was driven by higher interest expense related to the Company's additional borrowings incurred to finance the Pinnacle acquisition. The changes described above also led to higher FFO for the year ended December 31, 2017, as compared to the year ended December 31, 2016. The increase in AFFO for our GLP Capital segment was primarily driven by the changes described above, as well as, increases in adjustments for our direct financing lease, increased amortization of land rights related to the acquired ground leases, increased straight-line rent adjustments related to our Meadows Lease and the addition of the Tunica Properties to the Penn Master Lease, partially offset by lower debt issuance costs amortization and stock based compensation, all of which are added back for purposes of calculating AFFO. Direct financing lease adjustments represent the portion of cash rent we receive from tenants that is applied against our lease receivable and thus not recorded as revenue and the amortization of land rights represents the non-cash amortization of the value assigned to the Company's acquired ground leases. These adjustments are added back to arrive at AFFO because they represent, in the case of the direct financing lease adjustments, cash we have received and recorded in taxable income and in the case of the amortization of land rights, non-cash charges which are non-deductible for tax purposes. Therefore, these adjustments help our investors better understand the components of our taxable income which must be distributed to our shareholders. The increase in Adjusted EBITDA for our GLP Capital segment was primarily driven by the increases in AFFO described above, as well as, a higher add-back for interest.</w:t>
      </w:r>
    </w:p>
    <w:p>
      <w:pPr>
        <w:spacing w:after="0" w:line="182"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auto"/>
        </w:rPr>
        <w:t>Net income and FFO for our TRS Properties segment decreased by $1.2 million and $0.7 million, respectively, for the year ended December 31, 2017, as compared to the year ended December 31, 2016, primarily due to declining revenues partially offset by decreased expenses. AFFO for our TRS Properties segment decreased by $1.4 million for the year ended December 31, 2017, as compared to the year ended December 31, 2016, primarily due the reasons described above, as well as, lower depreciation expense due to certain assets reaching full depreciation. Adjusted EBITDA for our TRS Properties segment increased by $0.9 million for the year ended December 31, 2017, as compared to the year ended December 31, 2016, primarily due to the explanations described above, in addition to higher income taxes in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Revenues</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for the years ended December 31, 2018, 2017 and 2016 were as follows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76"/>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income from real estate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923,182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829,221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93,961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4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Gaming, food, beverage and other</w:t>
            </w: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132,545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142,086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(9,541)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1,055,727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971,307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84,420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line="20" w:lineRule="exact"/>
              <w:rPr>
                <w:sz w:val="1"/>
                <w:szCs w:val="1"/>
                <w:color w:val="auto"/>
              </w:rPr>
            </w:pPr>
          </w:p>
        </w:tc>
      </w:tr>
      <w:tr>
        <w:trPr>
          <w:trHeight w:val="596"/>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income from real estate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829,221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684,204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145,017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21.2 %</w:t>
            </w:r>
          </w:p>
        </w:tc>
        <w:tc>
          <w:tcPr>
            <w:tcW w:w="0" w:type="dxa"/>
            <w:vAlign w:val="bottom"/>
          </w:tcPr>
          <w:p>
            <w:pPr>
              <w:spacing w:after="0"/>
              <w:rPr>
                <w:sz w:val="1"/>
                <w:szCs w:val="1"/>
                <w:color w:val="auto"/>
              </w:rPr>
            </w:pPr>
          </w:p>
        </w:tc>
      </w:tr>
      <w:tr>
        <w:trPr>
          <w:trHeight w:val="24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Gaming, food, beverage and other</w:t>
            </w: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142,086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144,051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(1,965)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971,307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828,255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143,052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income from real estate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to 2017</w:t>
      </w:r>
    </w:p>
    <w:p>
      <w:pPr>
        <w:spacing w:after="0" w:line="22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For the years ended December 31, 2018 and 2017, total income from real estate was $923.2 million and $829.2 million, respectively, for our GLP Capital segment, which included $87.5 million and $83.7 million, respectively, of revenue for the real estate taxes paid by our tenants on the leased properties. During October 2018, we acquired the real estate assets of five casino properties from Tropicana and leased these assets to Eldorado under a new long-term triple-net master lease. We also acquired Plainridge Park from Penn and leased it to Penn under the Amended Pinnacle Master Lease.</w:t>
      </w:r>
    </w:p>
    <w:p>
      <w:pPr>
        <w:spacing w:after="0" w:line="15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accordance with ASC 606, the Company is required to present the real estate taxes paid by its tenants on the leased properties as revenue with an offsetting expense on its consolidated statement of operations, as the Company believes it is the primary obligor. Similarly, the Company records revenue for the ground lease rent paid by its tenants with an offsetting expense in land rights and ground lease expense within the consolidated statements of income as the Company has concluded that as the lessee it is the primary obligor under the ground leases. The Company subleases these ground leases back to its tenants, who are responsible for payment directly to the landlord.</w:t>
      </w:r>
    </w:p>
    <w:p>
      <w:pPr>
        <w:spacing w:after="0" w:line="188"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Total income from real estate increased $94.0 million, or 11.3%, for the year ended December 31, 2018, as compared to the year ended December 31, 2017, primarily due to the Tropicana Transactions, the Penn-Pinnacle Merger and our entry into the Belterra Park Loan, as well as the performance of the Ohio properties, the impact of the rent escalators under the Penn and Pinnacle master leases, net percentage rent adjustments and the partial recognition of income previously deferred under the Penn Master Lease in accordance with ASC 840. Specifically, the properties under the Penn Master Lease contributed $18.2 million to the increase in income from real estate for the year ended December 31, 2018, as compared to the year ended December 31, 2017, resulting from the collection of a full year of rent from the Tunica Properties, the impact of the rent escalators, the performance at the Ohio properties and the partial recognition of income previously deferred in accordance with ASC 840, while the Meadows Lease contributed $3.1 million to the increase in income from real estate for the year ended December 31, 2018, as compared to the prior year. The properties under the Amended Pinnacle Master Lease and the Boyd Master Lease contributed an aggregate $40.9 million to the increase in income from real estate for the year ended December 31, 2018, as compared to the year ended December 31, 2017, primarily resulting from the impact of the rent escalators and the unwinding of the direct financing lease in connection with the Penn-Pinnacle Merger, resulting in all rent received under the Amended Pinnacle Master Lease recorded as rental income on the Company's consolidated statement of income. The Tropicana Transactions contributed $26.6 million to the increase in income from real estate, while the Belterra Park Loan contributed income of $1.4 million. Lastly, real estate taxes contributed $3.8 million to the increase in income from real estate for the year ended December 31, 2018, as compared to the prior year period, primarily due to the addition of the new properties to our real estate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to 2016</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For the years ended December 31, 2017 and 2016, total income from real estate was $829.2 million and $684.2 million, respectively, for our GLP Capital segment, which included $83.7 million and $67.8 million, respectively, of revenue for the real estate taxes paid by our tenants on the leased properties. During April 2016, we acquired the real estate assets of Pinnacle and immediately leased these assets back to Pinnacle under a long-term triple-net master lease. Under ASC 840, the Pinnacle lease was bifurcated between an operating and direct financing lease, resulting in the recognition of rental revenue for the land portion of the lease and interest income from the direct financing lease, relating to the leased building assets. Additionally, during September 2016, we acquired the real estate assets of the Meadows and leased these assets to Pinnacle under a single property triple-net lease and during May 2017, we acquired the real estate assets of the Tunica Properties and leased these assets to Penn under the Penn Master Lease.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income from real estate increased $145.0 million or 21.2% for the year ended December 31, 2017, as compared to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primarily due to a full year of rent for the portion of the rent received under the Pinnacle Master Lease recognized as rental income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income from the direct financing lease, a full year of rent received under the Meadows Lease and from the addition of the Tunica Properties to the Penn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Master Lease, as well as the impact of the Penn and Pinnacle rent escalators, improved results at our two Ohio properties with monthly variable rent and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increase in real estate taxes, primarily resulting from the addition of the Pinnacle properties to our real estate portfolio. Specifically, Pinnacle contributed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$103.1 million of rental revenue and income from the direct financing lease to the increase in net revenues for the year ended December 31, 2017, 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compared to the year ended December 31, 2016. The Penn properties contributed $14.5 million to the increase in net revenues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as compared to the year ended December 31, 2016, resulting from the addition of the Tunica Properties, the impact of the rent escalator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the performance at the Ohio properties, while the Meadows Lease contributed $11.4 million to the increase in net revenues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2017, as compared to the prior year. Lastly, real estate taxes contributed $15.8 million to the increase in net revenues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as compared to the prior year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food, beverage and other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to 2017</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Gaming, food, beverage and other revenue for our TRS Properties segment decreased by $9.5 million, or 6.7%, for the year ended December 31, 2018, as compared to the year ended December 31, 2017, due to decreased gaming, food, beverage and other revenues of $10.1 million at Hollywood Casino Baton Rouge, partially offset by a $0.6 million increase in revenues at Hollywood Casino Perryville. The largest driver of the decrease resulted from general market deterioration in the Baton Rouge region and the smoking ban at all Baton Rouge, Louisiana casinos that went into effect during the second quarter of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to 2016</w:t>
      </w:r>
    </w:p>
    <w:p>
      <w:pPr>
        <w:spacing w:after="0" w:line="225"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Gaming, food, beverage and other revenue for our TRS Properties segment decreased by $2.8 million, or 1.9%, for the year ended December 31, 2017, as compared to the year ended December 31, 2016, due to decreased gaming, food, beverage and other revenues of $2.5 million and $0.3 million at Hollywood Casino Perryville and Hollywood Baton Rouge, respectively. The largest driver of the decrease resulted from lower revenues at Hollywood Casino Perryville, related to the outsourcing of its food and beverage outlets to a third-party provider during the first quarter of 2017.</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expenses for the years ended December 31, 2018, 2017 and 2016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402"/>
              <w:spacing w:after="0"/>
              <w:rPr>
                <w:sz w:val="20"/>
                <w:szCs w:val="20"/>
                <w:color w:val="auto"/>
              </w:rPr>
            </w:pPr>
            <w:r>
              <w:rPr>
                <w:rFonts w:ascii="Arial" w:cs="Arial" w:eastAsia="Arial" w:hAnsi="Arial"/>
                <w:sz w:val="14"/>
                <w:szCs w:val="14"/>
                <w:b w:val="1"/>
                <w:bCs w:val="1"/>
                <w:color w:val="auto"/>
              </w:rPr>
              <w:t>Percentage</w:t>
            </w:r>
          </w:p>
        </w:tc>
      </w:tr>
      <w:tr>
        <w:trPr>
          <w:trHeight w:val="276"/>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Variance</w:t>
            </w: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Gaming, food, beverage and other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77,127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80,487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Real estate taxes</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88,757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84,666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4,091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4.8 %</w:t>
            </w: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rights and ground lease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4,353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18.1 %</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71,128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63,151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7,977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12.6 %</w:t>
            </w: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137,093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113,480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23,613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20.8 %</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Goodwill impairment charges</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59,454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59,454</w:t>
            </w:r>
          </w:p>
        </w:tc>
        <w:tc>
          <w:tcPr>
            <w:tcW w:w="100" w:type="dxa"/>
            <w:vAlign w:val="bottom"/>
          </w:tcPr>
          <w:p>
            <w:pPr>
              <w:spacing w:after="0"/>
              <w:rPr>
                <w:sz w:val="21"/>
                <w:szCs w:val="21"/>
                <w:color w:val="auto"/>
              </w:rPr>
            </w:pPr>
          </w:p>
        </w:tc>
        <w:tc>
          <w:tcPr>
            <w:tcW w:w="1620" w:type="dxa"/>
            <w:vAlign w:val="bottom"/>
          </w:tcPr>
          <w:p>
            <w:pPr>
              <w:jc w:val="right"/>
              <w:ind w:right="182"/>
              <w:spacing w:after="0"/>
              <w:rPr>
                <w:sz w:val="20"/>
                <w:szCs w:val="20"/>
                <w:color w:val="auto"/>
              </w:rPr>
            </w:pPr>
            <w:r>
              <w:rPr>
                <w:rFonts w:ascii="Arial" w:cs="Arial" w:eastAsia="Arial" w:hAnsi="Arial"/>
                <w:sz w:val="18"/>
                <w:szCs w:val="18"/>
                <w:color w:val="auto"/>
              </w:rPr>
              <w:t>N/A</w:t>
            </w:r>
          </w:p>
        </w:tc>
      </w:tr>
      <w:tr>
        <w:trPr>
          <w:trHeight w:val="27"/>
        </w:trPr>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r>
      <w:tr>
        <w:trPr>
          <w:trHeight w:val="257"/>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461,917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365,789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96,128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26.3 %</w:t>
            </w: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46"/>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63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400"/>
          </w:cols>
          <w:pgMar w:left="240" w:top="130" w:right="25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408"/>
              <w:spacing w:after="0"/>
              <w:rPr>
                <w:sz w:val="20"/>
                <w:szCs w:val="20"/>
                <w:color w:val="auto"/>
              </w:rPr>
            </w:pPr>
            <w:r>
              <w:rPr>
                <w:rFonts w:ascii="Arial" w:cs="Arial" w:eastAsia="Arial" w:hAnsi="Arial"/>
                <w:sz w:val="14"/>
                <w:szCs w:val="14"/>
                <w:b w:val="1"/>
                <w:bCs w:val="1"/>
                <w:color w:val="auto"/>
              </w:rPr>
              <w:t>Percentage</w:t>
            </w:r>
          </w:p>
        </w:tc>
      </w:tr>
      <w:tr>
        <w:trPr>
          <w:trHeight w:val="276"/>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Variance</w:t>
            </w: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Gaming, food, beverage and other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80,487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82,463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Real estate taxes</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84,666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69,448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15,218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21.9 %</w:t>
            </w: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rights and ground lease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9,206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62.2 %</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63,151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71,368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(8,217)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113,480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109,554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3,926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57"/>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365,789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347,632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18,157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5.2 %</w:t>
            </w: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food, beverage and other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with 2017</w:t>
      </w:r>
    </w:p>
    <w:p>
      <w:pPr>
        <w:spacing w:after="0" w:line="22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Gaming, food, beverage and other expense for our TRS Properties segment decreased by approximately $3.4 million, or 4.2%, for the year ended December 31, 2018, as compared to the year ended December 31, 2017, primarily resulting from lower gaming taxes due to lower revenues at Hollywood Baton Rouge.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with 2016</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Gaming, food, beverage and other expense for our TRS Properties segment decreased by approximately $2.0 million, or 2.4%, for the year ended December 31, 2017, as compared to the year ended December 31, 2016, primarily due to lower expenses resulting from the outsourcing of the operations of the food and beverage outlets at Hollywood Casino Perryville during the first quarter of 2017 and lower gaming taxes, resulting from lower revenues at both TRS Properties.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with 2017</w:t>
      </w:r>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Real estate taxes increased by $4.1 million, or 4.8%, for the year ended December 31, 2018, as compared to the year ended December 31, 2017, primarily due to the acquisition of the Tropicana properties and Plainridge Park during the year ended December 31, 2018. Although this amount is paid by our tenants, we are required to present this amount in both revenues and expense for financial reporting purposes under ASC 606.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with 2016</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Real estate taxes increased by $15.2 million, or 21.9%, for the year ended December 31, 2017, as compared to the year ended December 31, 2016, primarily due to a full year of the real estate tax expense attributable to the acquired Pinnacle and Meadows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rights and ground lease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with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Land rights and ground lease expense includes the amortization of land rights and rent expense related to the Company's long-term ground leases.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Land rights and ground lease expense increased by $4.4 million, or 18.1%, for the year ended December 31, 2018, as compared to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primarily due to the acquisition of rights to six long-term ground leases in connection with the Tropicana Acquisition. In connection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acquisition, we acquired land rights to long-term leases which are recorded on our consolidated balance sheet as land right assets and amortized over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 of the leases, including renewal options. We also record rent expense related to these ground leases with offsetting revenue recorded within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income as we have concluded that as the lessee we are the primary obligor under the ground leases. We sublease these ground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leases back to our tenants, who are responsible for payment directly to the landlord.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with 2016</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Land rights and ground lease expense increased by $9.2 million, or 62.2%, for the year ended December 31, 2017, as compared to the year ended December 31, 2016, primarily due to a full year of amortization of the land rights associated with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30" w:right="25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the Pinnacle acquisition, as well as a full year of ground rent related to these leases and the acquisition of the Tunica Properties in May of 2017.</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General and administrative expenses include items such as compensation costs (including stock-based compensation awards), professional services and costs associated with development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with 2017</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General and administrative expenses increased by $8.0 million, or 12.6%, for the year ended December 31, 2018, as compared to the year ended December 31, 2017, led primarily by expenses for the retirement of the Chief Financial Officer, partially offset by lower stock-based compensation charges in the current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with 2016</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General and administrative expenses decreased by $8.2 million, or 11.5%, for the year ended December 31, 2017, as compared to the year ended December 31, 2016, led by lower stock-based compensation charges in the current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with 2017</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Depreciation expense increased by $23.6 million, or 20.8%, to $137.1 million for the year ended December 31, 2018 as compared to the year ended December 31, 2017, primarily resulting from the addition of the Tropicana and Plainridge Park real estate assets to our portfolio, as well as the reclassification of the Pinnacle building assets to real estate investments on our balance sheet as a result of the Penn-Pinnacle Merger, which required the Amended Pinnacle Master Lease to be treated as an operating lease in its entirety.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with 2016</w:t>
      </w:r>
    </w:p>
    <w:p>
      <w:pPr>
        <w:spacing w:after="0" w:line="225"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Depreciation expense increased by $3.9 million, or 3.6%, to $113.5 million for the year ended December 31, 2017 as compared to the year ended December 31, 2016, primarily due to a full year of depreciation expense on the Meadows assets, which were acquired in September of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 charges</w:t>
      </w:r>
    </w:p>
    <w:p>
      <w:pPr>
        <w:spacing w:after="0" w:line="22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During the year ended December 31, 2018, the Company recorded a goodwill impairment charge of $59.5 million in connection with its operations at Hollywood Casino Baton Rouge. This charge was driven by general market deterioration in the Baton Rouge region and the smoking ban at all Baton Rouge, Louisiana casinos that went into effect during the second quarter of 2018, both of which significantly impacted the Company's forecasted cash flows for this reporting unit. Subsequent to conducting its impairment tests on other long-lived assets, including the gaming license at Hollywood Casino Perryville, the Company performed Step 1 of the goodwill impairment test, which indicated a potential impairment. Step 1 of the goodwill impairment test involved the determination of the fair value of the Baton Rouge reporting unit and its comparison to the reporting unit's carrying amount. Using a discounted cash flow model, which relied on projected EBITDA to determine the reporting unit's future cash flows, the Company calculated a fair value that was less than the reporting unit's carrying value and proceeded to Step 2. In Step 2 of the goodwill impairment test, the Company performed a fair value allocation as if the reporting unit had been acquired in a business combination and assigned the fair value of the reporting unit calculated in Step 1 to all assets and liabilities of the reporting unit, including any unrecognized intangible assets. Any residual fair value was allocated to goodwill to arrive at the implied fair value of goodwill. After completing the Step 2 allocation, the Company determined the goodwill on its Baton Rouge reporting unit had an implied fair value of $16.1 million and recorded the impairment charge of $59.5 million during the fourth quarter of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(expenses) for the years ended December 31, 2018, 2017 and 2016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76"/>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(30,616)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Losses on debt extinguishment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8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Total other expenses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(249,330)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(215,133)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(34,197)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line="20" w:lineRule="exact"/>
              <w:rPr>
                <w:sz w:val="1"/>
                <w:szCs w:val="1"/>
                <w:color w:val="auto"/>
              </w:rPr>
            </w:pPr>
          </w:p>
        </w:tc>
      </w:tr>
      <w:tr>
        <w:trPr>
          <w:trHeight w:val="596"/>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(31,172)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2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expenses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with 2017</w:t>
      </w:r>
    </w:p>
    <w:p>
      <w:pPr>
        <w:spacing w:after="0" w:line="14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For the year ended December 31, 2018, interest expense related to our fixed and variable rate borrowings was $247.7 million, as compared to $217.1 million in the year ended December 31, 2017. Interest expense increased primarily due to the issuance of $850 million of 5.25% senior unsecured notes due 2025, $500 million of 5.75% senior unsecured notes due 2028 and $750 million of 5.30% senior unsecured notes due 2029, as well as, increased borrowings under our revolving credit facility, partially offset by a decrease in interest expense related to the termination of the Term Loan A facility, partial repayment of the Term Loan A-1 facility and the tender and call of our 4.375% senior unsecured notes due 2018 (as described below). The additional borrowings were used to finance the Tropicana Transactions, to purchase Plainridge Park and to fund the Belterra Park Loan.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with 2016</w:t>
      </w:r>
    </w:p>
    <w:p>
      <w:pPr>
        <w:spacing w:after="0" w:line="14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the year ended December 31, 2017, interest expense related to our fixed and variable rate borrowings was $217.1 million, as compared to $185.9 million in the year ended December 31, 2016. Interest expense primarily increased due to interest expense related to the April 2016 issuance of $400 million of senior unsecured notes due 2021 and $975 million of senior unsecured notes due 2026 and borrowings of $825 million under the term loan A-1 facility. The additional borrowings were utilized to finance the Pinnacle acquisition.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Losses on debt extinguishment</w:t>
      </w:r>
    </w:p>
    <w:p>
      <w:pPr>
        <w:spacing w:after="0" w:line="229"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On May 21, 2018, the Company entered into the second amendment to the Credit Facility, which increased the Company's revolving commitments, eliminated the Term Loan A facility, required the Company to repay a portion of the Term Loan A-1 facility and extended the maturity date of the revolving credit facility to May 21, 2023. The Company recorded a loss on the early extinguishment of debt, related to the second amendment to the Credit Facility, of approximately $1.0 million for the proportional amount of unamortized debt issuance costs associated with the extinguished Term Loan A facility and related to the banks that are no longer participating in the Credit Facility.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Also on May 21, 2018, the Company completed a cash tender offer (the "Tender Offer") to purchase any and all of the outstanding $550 million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aggregate principal of its 4.375% Senior Unsecured Notes due 2018 (the "2018 Notes"). The Company received tenders from the holders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$393.5 million in aggregate principal of the 2018 Notes, or approximately 72% of its outstanding 2018 Notes in connection with the Tender Offer at a price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100.396% of the unpaid principal amount plus accrued and unpaid interest through the settlement date. The Company recorded a loss on the early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extinguishment of debt, related to the Tender Offer of approximately $2.5 million for the proportional amount of unamortized debt issuance costs associated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tendered 2018 Notes and the difference between the reaquisition price of the tendered 2018 Notes and their net carrying value. On August 16, 2018,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redeemed the remaining 2018 Notes for 100% of the principal amount and accrued and unpaid interest to, but not including, the redemption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30" w:right="25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to 2017</w:t>
      </w:r>
    </w:p>
    <w:p>
      <w:pPr>
        <w:spacing w:after="0" w:line="22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Our income tax expense decreased $4.8 million for the year ended December 31, 2018 as compared to the year ended December 31, 2017. During the year ended December 31, 2018, we had income tax expense of approximately $5.0 million, compared to income tax expense of $9.8 million during the year ended December 31, 2017. Our income tax expense is primarily driven from the operations of the TRS Properties, which are taxed at the corporate rate. The decrease in our effective tax rate for the year ended December 31, 2018 is primarily due to the Tax Cuts and Jobs Act, which lowered the corporate tax rate to 21%, effective for tax years including or commencing January 1, 2018, as well as lower pre-tax income at our TRS Properties. Our effective tax rate (income taxes as a percentage of income before income taxes) was 1.4% and 2.5% for the years ended December 31, 2018 and 2017,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to 2016</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income tax expense increased $2.2 million for the year ended December 31, 2017 as compared to the year ended December 31, 2016. During the year ended December 31, 2017, we had income tax expense of approximately $9.8 million, compared to income tax expense of $7.5 million during the year ended December 31, 2016. Income tax expense increased primarily due to adjustments at the TRS Properties related to the December 2017 Tax Cuts and Job Act. Our effective tax rate (income taxes as a percentage of income before income taxes) was 2.5% for both the years ended December 31, 2017 and 2016.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primary sources of liquidity and capital resources are cash flow from operations, borrowings from banks, and proceeds from the issuance of debt and equity securities.</w:t>
      </w:r>
    </w:p>
    <w:p>
      <w:pPr>
        <w:spacing w:after="0" w:line="170"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Net cash provided by operating activities was $654.4 million, $598.7 million and $514.4 million during the years ended December 31, 2018, 2017 and 2016, respectively. The increase in net cash provided by operating activities of $55.7 million for the year ended December 31, 2018 as compared to the year ended December 31, 2017 was primarily comprised of an increase in cash receipts from customers/tenants of $74.0 million, (excluding cash received from Pinnacle and classified as an investing activity prior to the Penn-Pinnacle Merger) and a decrease in cash paid for taxes of $6.3 million, partially offset by increases in cash paid to employees of $4.4 million and cash paid for interest of $25.3 million. The increase in cash receipts collected from our customers and tenants for the year ended December 31, 2018 as compared to the year ended December 31, 2017 was primarily due to the Tropicana Transactions, the acquisition of Plainridge Park and our entry into the Belterra Park Loan, all of which resulted in additional income from real estate, as well as the performance of the Ohio properties, the impact of the rent escalators under the Penn and Pinnacle master leases and net percentage rent adjustments, partially offset by a decrease in our TRS Properties' revenues. The decrease in cash paid for taxes was primarily due to the Tax Cuts and Jobs Act, which lowered the corporate tax rate to 21%, effective for tax years including or commencing January 1, 2018, as well as lower income at our TRS Properties. The increase in cash paid for interest was related to the Company's new borrowings which were used to fund the Tropicana Transactions, the acquisition of Plainridge Park and the Belterra Park Loan.</w:t>
      </w:r>
    </w:p>
    <w:p>
      <w:pPr>
        <w:spacing w:after="0" w:line="180"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The increase in net cash provided by operating activities for the year ended December 31, 2017 as compared to the year ended December 31, 2016 was primarily due to a full year of rent received under both the Pinnacle Master Lease and the Meadows Lease, as well as the additional rent received from Penn related to the new Tunica Properties, the performance of the Ohio properties and the impact of the rent escalators under both the Penn and Pinnacle master leases, partially offset by a decrease in our TRS Properties' net revenues. The increase in cash paid for interest was related to the Company's April 2016 acquisition of Pinnacle's real estate assets and the related borrowings.</w:t>
      </w:r>
    </w:p>
    <w:p>
      <w:pPr>
        <w:spacing w:after="0" w:line="173"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Investing activities used net cash of $1,509.8 million during the year ended December 31, 2018, provided net cash of $0.7 million during the year ended December 31, 2017 and used net cash of $3,218.6 million during the year ended December 31, 2016. Net cash used by investing activities during the year ended December 31, 2018 primarily consisted of cash payments of $1,243.5 million related to the acquisition of five Tropicana properties and Plainridge Park and $304 million of cash paid for the origination of mortgage loans to casino owner-operators, partially offset by $38.5 million of rental payments received from tenants and applied against the lease receivable we had on our balance sheet prior to the Penn-Pinnacle Merger. Net cash provided by investing activities during the year ended December 31, 2017 consisted of cash payments of $83.3 million primarily related to the acquisition of the Tunica Properties and capital maintenance expenditures of $3.2 million, partially offset by net cash received of $13.2 million from Casino Queen to retire their five-year term loan and borrow an additional $13.0 million under a new 5.5-year unsecured term loan at 15%, as well as rental payments received from tenants and applied against the lease receivable on our balance sheet of $73.1 million. Net cash used in investing activities during the year ended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December 31, 2016 consisted of cash payments of $3.3 billion related to the acquisition of the Pinnacle and Meadows' real estate assets, partially offset by principal payments of $3.2 million made by Casino Queen on their five-year term loan, as well as rental payments received from tenants and applied against the lease receivable on our balance sheet of $48.5 million. In addition to the cash paid for the Pinnacle assets, we also issued approximately 56.0 million shares of our common stock as consideration for the Pinnacle real estate assets (non-cash investing activity).</w:t>
      </w:r>
    </w:p>
    <w:p>
      <w:pPr>
        <w:spacing w:after="0" w:line="171"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Financing activities provided net cash of $852.1 million during the year ended December 31, 2018, used net cash of $606.9 million during the year ended December 31, 2017 and provided net cash of $2,698.9 million during the year ended December 31, 2016. Net cash used by financing activities for the year ended December 31, 2018 was driven by proceeds from the issuance of long-term debt of $2,593.4 million and proceeds from stock option exercises, net of taxes paid related to shares withheld for tax purposes on restricted stock award vestings, of $7.5 million, partially offset by dividend payments of $550.4 million, repayments of long-term debt of $1,164.1 million, financing costs of $32.4 million and $1.9 million of premium and related costs paid on the tender of senior unsecured notes. During the year ended December 31, 2018, the Company issued $2,100.0 million par value of new senior unsecured notes, completed a tender and redemption of the $550 million aggregate principal senior unsecured notes maturing in 2018, repaid a portion of the Term Loan A-1 facility and extinguished the Term Loan A facility. Net cash used by financing activities for the year ended December 31, 2017 included dividend payments of $529.4 million and repayments of long-term debt of $335.1 million, partially offset by proceeds from the issuance of common stock under the ATM Program, net of issuance costs of $139.4 million, proceeds from stock option exercises, net of taxes paid related to shares withheld for tax purposes on restricted stock award vestings of $18.2 million and proceeds from the issuance of long-term debt of $100.0 million. Net cash provided by financing activities for the year ended December 31, 2016 included proceeds from the issuance of long-term debt of $2.6 billion, proceeds from the issuance of common stock, net of issuance costs of $870.8 million and proceeds from stock option exercises of $113.5 million, partially offset by dividend payments of $428.4 million and repayments of long-term debt and financing costs of $409.0 million. During the year ended December 31, 2016, we issued approximately 28.8 million shares of our common stock in a primary equity offering and approximately 1.3 million shares of our common stock under the ATM Program, as well as issuing $1.375 billion in new senior unsecured notes and drawing down on the $825 million term loan A-1 facility. These new debt and equity instruments were utilized to finance the acquisition of the Pinnacle and Meadows' real estate assets. In addition to the shares issued in the primary equity offering and the ATM Offering, we also issued approximately 56.0 million shares of our common stock as consideration for the Pinnacle real estate assets (non-cash financing activity).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Capital expenditures are accounted for as either capital project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188"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During the years ended December 31, 2018, 2017 and 2016 we spent approximately $4.3 million, $3.2 million and $3.1 million, respectively, for capital maintenance expenditures. The majority of the capital maintenance expenditures were for slot machines and slot machine equipment at our TRS Properties. Our tenants are responsible for capital maintenance expenditures at our leased properties.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Unsecured Credit Facility</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Company's Credit Facility consists of a $1,175 million revolving credit facility and a $525 million Term Loan A-1 facility. On May 21, 2018, the Company entered into the second amendment to the Credit Facility, which increased the Company's revolving commitments to an aggregate principal amount of $1,100 million, eliminated the Term Loan A facility, required the Company to repay a portion of the Term Loan A-1 facility and extended the maturity date of the revolving credit facility. On October 10, 2018, the Company entered into the third amendment to the Credit Facility, which further increased the Company's revolving commitments to an aggregate principal amount of $1,175 million. The revolving credit facility matures on May 21, 2023 and the Term Loan A-1 facility matures on April 28, 2021.</w:t>
      </w:r>
    </w:p>
    <w:p>
      <w:pPr>
        <w:spacing w:after="0" w:line="19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recorded a loss on the early extinguishment of debt, related to the second amendment to the Credit Facility, of approximately $1.0 million for the proportional amount of unamortized debt issuance costs associated with the extinguished Term Loan A facility and related to the banks that are no longer participating in the Credit Facility.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30"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At December 31, 2018, the Credit Facility had a gross outstanding balance of $927 million. Additionally, at December 31, 2018, the Company was contingently obligated under letters of credit issued pursuant to the Credit Facility with face amounts aggregating approximately $0.4 million, resulting in $772.6 million of available borrowing capacity under the revolving credit facility as of December 31, 2018.</w:t>
      </w:r>
    </w:p>
    <w:p>
      <w:pPr>
        <w:spacing w:after="0" w:line="16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interest rates payable on the loans are, at the Company's option, equal to either a LIBOR rate or a base rate plus an applicable margin, which ranges from 1.0% to 2.0% per annum for LIBOR loans and 0.0% to 1.0% per annum for base rate loans, in each case, depending on the credit ratings assigned to the Credit Facility. At December 31, 2018, the applicable margin was 1.50% for LIBOR loans and 0.50% for base rate loans. In addition, the Company is required to pay a commitment fee on the unused portion of the commitments under the revolving facility at a rate that ranges from 0.15% to 0.35% per annum, depending on the credit ratings assigned to the Credit Facility. At December 31, 2018, the commitment fee rate was 0.25%. The Company is not required to repay any loans under the Credit Facility prior to maturity on May 21, 2023 and may prepay all or any portion of the loans under the Credit Facility prior to maturity without premium or penalty, subject to reimbursement of any LIBOR breakage costs of the lenders. The Company's wholly owned subsidiary, GLP Capital is the primary obligor under the Credit Facility, which is guaranteed by GLPI.</w:t>
      </w:r>
    </w:p>
    <w:p>
      <w:pPr>
        <w:spacing w:after="0" w:line="17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on and after the effective date of its election to be treated as a REIT, which the Company elected on its 2014 U.S. federal income tax return.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Credit Facility will enable the lenders under the Credit Facility to accelerate the loans and terminate the commitments thereunder. At December 31, 2018, the Company was in compliance with all required financial covenants under the Credit Facility.</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December 31, 2018, the Company had an outstanding balance of $4,975 million of senior unsecured notes consisting of the following:</w:t>
      </w:r>
    </w:p>
    <w:p>
      <w:pPr>
        <w:spacing w:after="0" w:line="237"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On September 26, 2018, the Company issued $750 million of 5.30% senior unsecured notes maturing on January 15, 2029 at an issue price equal to 99.985% of the principal amount and $350 million of 5.25% senior unsecured notes maturing on June 1, 2025 at an issue price equal to 102.148% of the principal amount (the "New 2025 Notes"). The New 2025 Notes will become part of the same series as, and are expected to be fungible with, the Company's previously issued 5.25% senior notes due 2025, $500 million aggregate principal amount of which were originally issued on May 21, 2018 (the "Initial 2025 Notes"). Interest on the notes maturing in 2025 is payable semi-annually on June 1 and December 1 of each year, commencing on December 1, 2018 and is deemed to accrue from May 21, 2018, the issuance date of the Initial 2025 Notes. Interest on the notes maturing in 2029 is payable semi-annually on January 15 and July 15 of each year, commencing on January 15, 2019. The net proceeds from the sale of the New 2025 Notes and the notes maturing in 2029, together with funds available under the revolving credit facility were used in October 2018 to (i) finance GLPI’s acquisition of the real property assets of Plainridge Park Casino from Penn and its issuance of a secured mortgage loan to Boyd in connection with Boyd’s acquisition of the real property assets of Belterra Park Gaming &amp; Entertainment Center, (ii) finance GLPI’s acquisition of substantially all the real property assets of five gaming facilities owned by Tropicana and its issuance of a mortgage loan to Eldorado in connection with Eldorado’s acquisition of substantially all the real property assets of Lumière Place, and (iii) pay the estimated transaction fees and expenses associated with the transactions.</w:t>
      </w:r>
    </w:p>
    <w:p>
      <w:pPr>
        <w:spacing w:after="0" w:line="169" w:lineRule="exact"/>
        <w:rPr>
          <w:sz w:val="20"/>
          <w:szCs w:val="20"/>
          <w:color w:val="auto"/>
        </w:rPr>
      </w:pPr>
    </w:p>
    <w:p>
      <w:pPr>
        <w:ind w:right="340" w:firstLine="648"/>
        <w:spacing w:after="0" w:line="297" w:lineRule="auto"/>
        <w:rPr>
          <w:sz w:val="20"/>
          <w:szCs w:val="20"/>
          <w:color w:val="auto"/>
        </w:rPr>
      </w:pPr>
      <w:r>
        <w:rPr>
          <w:rFonts w:ascii="Arial" w:cs="Arial" w:eastAsia="Arial" w:hAnsi="Arial"/>
          <w:sz w:val="16"/>
          <w:szCs w:val="16"/>
          <w:color w:val="auto"/>
        </w:rPr>
        <w:t>On May 21, 2018, the Company completed a cash tender offer (the "Tender Offer") to purchase any and all of the outstanding $550 million aggregate principal of its 4.375% senior unsecured notes due 2018. The Company received tenders from the holders of approximately $393.5 million in aggregate principal of these notes, or approximately 72%, in connection with the Tender Offer at a price of 100.396% of the unpaid principal amount plus accrued and unpaid interest through the settlement date. The Company recorded a loss on the early extinguishment of debt, related to the Tender Offer of approximately $2.5 million for the proportional amount of unamortized debt issuance costs associated with the tendered notes and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difference between the reaquisition price of the tendered notes and their net carrying value. On August 16, 2018, the Company redeemed the remaining notes for 100% of the principal amount and accrued and unpaid interest to, but not including the redemption date.</w:t>
      </w:r>
    </w:p>
    <w:p>
      <w:pPr>
        <w:spacing w:after="0" w:line="170"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Also on May 21, 2018, the Company issued $500 million of 5.25% senior unsecured notes maturing on June 1, 2025 and $500 million of 5.75% senior unsecured notes maturing on June 1, 2028. Interest is payable semi-annually on June 1 and December 1 of each year, commencing on December 1, 2018. The net proceeds from the sale of these notes were used (i) to prepay and extinguish the outstanding borrowings under the Term Loan A facility under the Credit Facility and to repay a portion of the outstanding borrowings under the Term Loan A-1 facility, (ii) to finance the tender offer of the 2018 Notes, (iii) to redeem the remaining 2018 Notes and (iv) to pay fees and expenses to amend our Credit Facility, as described above.</w:t>
      </w:r>
    </w:p>
    <w:p>
      <w:pPr>
        <w:spacing w:after="0" w:line="17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On April 28, 2016, in connection with the acquisition of Pinnacle, the Company issued $400 million of 4.375% senior unsecured notes maturing on April 15, 2021 and $975 million of 5.375% senior unsecured notes maturing on April 15, 2026. Interest on these notes is payable semi-annually on April 15 and October 15 of each year. The net proceeds from the sale of these notes were used (i) to finance the repayment, redemption and/or discharge of certain Pinnacle debt obligations that the Company assumed in the Pinnacle Merger, (ii) to pay transaction-related fees and expenses related to the Pinnacle Merger and (iii) for general corporate purposes.</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October 30 and 31, 2013, the Company issued $2,050 million aggregate principal amount of senior unsecured notes: $550 million of 4.375% senior unsecured notes that matured in 2018; $1,000 million of 4.875% senior unsecured notes maturing on November 1, 2020; and $500 million of 5.375% senior unsecured notes maturing on November 1, 2023. Interest on these notes is payable semi-annually on May 1 and November 1 of each year. The net proceeds from the sale of these notes, together with borrowings under the Credit Facility were used (i) to make distributions directly and indirectly to Penn in partial exchange for the contributions of real property assets by Penn and CRC Holdings, Inc. to the Company in connection with the Spin-Off, (ii) to pay related fees and expenses, (iii) to partially repay amounts funded under the revolving credit facility and (iv) to fund future earnings and profits distributions and for working capital purposes.</w:t>
      </w:r>
    </w:p>
    <w:p>
      <w:pPr>
        <w:spacing w:after="0" w:line="23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may redeem the senior unsecured notes, collectively, the "Notes" of any series at any time, and from time to time, at a redemption price of 100% of the principal amount of the Notes redeemed, plus a "make-whole" redemption premium described in the indenture governing the Notes, together with accrued and unpaid interest to, but not including, the redemption date, except that if Notes of a series are redeemed 90 or fewer days prior to their maturity, the redemption price will be 100% of the principal amount of the Notes redeemed, together with accrued and unpaid interest to, but not including, the redemption date. If GLPI experiences a change of control accompanied by a decline in the credit rating of the Notes of a particular series, the Company will be required to give holders of the Notes of such series the opportunity to sell their Notes of such series at a price equal to 101% of the principal amount of the Notes of such series, together with accrued and unpaid interest to, but not including, the repurchase date. The Notes also are subject to mandatory redemption requirements imposed by gaming laws and regulations.</w:t>
      </w:r>
    </w:p>
    <w:p>
      <w:pPr>
        <w:spacing w:after="0" w:line="23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The Notes were issued by GLP Capital L.P. and GLP Financing II, Inc. (the "Issuers"), two wholly-owned subsidiaries of GLPI, and are guaranteed on a senior unsecured basis by GLPI. The guarantees of GLPI are full and unconditional. The Notes are the Issuers' senior unsecured obligations and rank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with all of the Issuers' senior indebtedness, including the Credit Facility, and senior in right of payment to all of the Issuers'</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subordinated indebtedness, without giving effect to collateral arrangements. See Note 19 to the consolidated financial statements for additional financial information on the parent guarantor and subsidiary issuers of the Notes.</w:t>
      </w:r>
    </w:p>
    <w:p>
      <w:pPr>
        <w:spacing w:after="0" w:line="107"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The Notes contain covenants limiting the Company’s ability to: incur additional debt and use its assets to secure debt; merge or consolidate with another company; and make certain amendments to the Penn Master Lease. The Notes also require the Company to maintain a specified ratio of unencumbered assets to unsecured debt. These covenants are subject to a number of important and significant limitations, qualifications and exceptions.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2018, the Company was in compliance with all required financial covenants under the Notes.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Lease</w:t>
      </w:r>
    </w:p>
    <w:p>
      <w:pPr>
        <w:spacing w:after="0" w:line="225" w:lineRule="exact"/>
        <w:rPr>
          <w:sz w:val="20"/>
          <w:szCs w:val="20"/>
          <w:color w:val="auto"/>
        </w:rPr>
      </w:pPr>
    </w:p>
    <w:p>
      <w:pPr>
        <w:ind w:right="580" w:firstLine="486"/>
        <w:spacing w:after="0" w:line="308" w:lineRule="auto"/>
        <w:rPr>
          <w:sz w:val="20"/>
          <w:szCs w:val="20"/>
          <w:color w:val="auto"/>
        </w:rPr>
      </w:pPr>
      <w:r>
        <w:rPr>
          <w:rFonts w:ascii="Arial" w:cs="Arial" w:eastAsia="Arial" w:hAnsi="Arial"/>
          <w:sz w:val="17"/>
          <w:szCs w:val="17"/>
          <w:color w:val="auto"/>
        </w:rPr>
        <w:t>The Company assumed the capital lease obligation related to certain assets at its Aurora, Illinois property. GLPI recorded the asset and liability associated with the capital lease on its balance sheet. The original term of the capital lease was 30 years and it will terminate in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130" w:right="27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22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Based on our current level of operations and anticipated earnings, we believe that cash generated from operations and cash on hand, together with amounts available under our senior unsecured credit facility, will be adequate to meet our anticipated debt service requirements, capital expenditures, working capital needs and dividend requirements. In addition, we expect the majority of our future growth to come from acquisitions of gaming and other properties to lease to third parties. If we consummate significant acquisitions in the future, our cash requirements may increase significantly and we would likely need to raise additional proceeds through a combination of either common equity (including under our ATM Program) and/or debt offerings. Our future operating performance and our ability to service or refinance our debt will be subject to future economic conditions and to financial, business and other factors, many of which are beyond our control. See "Risk Factors-Risks Related to Our Capital Structure" of this Annual Report on Form 10-K for a discussion of the risk related to our capital structure.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30" w:right="25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Contingencies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Contractual Cash Obligations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contractual obligations at December 31, 2018:</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22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3"/>
              </w:rPr>
              <w:t>2020 - 2021</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2022 - 2023</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9"/>
              </w:rPr>
              <w:t>2024 and After</w:t>
            </w:r>
          </w:p>
        </w:tc>
      </w:tr>
      <w:tr>
        <w:trPr>
          <w:trHeight w:val="196"/>
        </w:trPr>
        <w:tc>
          <w:tcPr>
            <w:tcW w:w="2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49"/>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Senior unsecured credit facility</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70"/>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Principal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927,000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525,000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402,000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97"/>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Interest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131,495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41,879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65,977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23,639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4.875% senior unsecured notes due 2020</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Principal</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97,500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48,750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48,750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2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4.375% senior unsecured notes due 2021</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70"/>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Principal</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77"/>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43,750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17,500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26,250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5.375% senior unsecured notes due 2023</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Principal</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134,375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26,875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53,750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53,750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2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5.25% senior unsecured notes due 2025</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70"/>
        </w:trPr>
        <w:tc>
          <w:tcPr>
            <w:tcW w:w="4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Principal</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850,000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850,000</w:t>
            </w:r>
          </w:p>
        </w:tc>
      </w:tr>
      <w:tr>
        <w:trPr>
          <w:trHeight w:val="277"/>
        </w:trPr>
        <w:tc>
          <w:tcPr>
            <w:tcW w:w="4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Interest</w:t>
            </w: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290,063</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44,625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89,250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89,250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66,938</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5.375% senior unsecured notes due 2026</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Principal</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975,000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975,000</w:t>
            </w: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393,048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52,406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104,813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104,813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131,016</w:t>
            </w:r>
          </w:p>
        </w:tc>
      </w:tr>
      <w:tr>
        <w:trPr>
          <w:trHeight w:val="27"/>
        </w:trPr>
        <w:tc>
          <w:tcPr>
            <w:tcW w:w="2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5.75% senior unsecured notes due 2028</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70"/>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Principal</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500,000</w:t>
            </w:r>
          </w:p>
        </w:tc>
      </w:tr>
      <w:tr>
        <w:trPr>
          <w:trHeight w:val="277"/>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273,125</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28,750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57,500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57,500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129,375</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5.30% senior unsecured notes due 2029</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Principal</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750,000</w:t>
            </w: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409,535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31,910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79,500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79,500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218,625</w:t>
            </w:r>
          </w:p>
        </w:tc>
      </w:tr>
      <w:tr>
        <w:trPr>
          <w:trHeight w:val="27"/>
        </w:trPr>
        <w:tc>
          <w:tcPr>
            <w:tcW w:w="2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w:t>
            </w:r>
          </w:p>
        </w:tc>
      </w:tr>
      <w:tr>
        <w:trPr>
          <w:trHeight w:val="270"/>
        </w:trPr>
        <w:tc>
          <w:tcPr>
            <w:tcW w:w="41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5"/>
                <w:szCs w:val="25"/>
                <w:color w:val="auto"/>
                <w:vertAlign w:val="superscript"/>
              </w:rPr>
              <w:t>(2)</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616,886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15,519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30,201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30,031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541,135</w:t>
            </w:r>
          </w:p>
        </w:tc>
      </w:tr>
      <w:tr>
        <w:trPr>
          <w:trHeight w:val="229"/>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1"/>
              </w:rPr>
              <w:t>Other liabilities reflected in the Company's consolidated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4120" w:type="dxa"/>
            <w:vAlign w:val="bottom"/>
            <w:gridSpan w:val="2"/>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balance sheets </w:t>
            </w:r>
            <w:r>
              <w:rPr>
                <w:rFonts w:ascii="Arial" w:cs="Arial" w:eastAsia="Arial" w:hAnsi="Arial"/>
                <w:sz w:val="25"/>
                <w:szCs w:val="25"/>
                <w:color w:val="auto"/>
                <w:vertAlign w:val="superscript"/>
              </w:rPr>
              <w:t>(3)</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57"/>
        </w:trPr>
        <w:tc>
          <w:tcPr>
            <w:tcW w:w="41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8,293,431</w:t>
            </w:r>
          </w:p>
        </w:tc>
        <w:tc>
          <w:tcPr>
            <w:tcW w:w="12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308,879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2,481,255</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1,340,774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4,162,523</w:t>
            </w:r>
          </w:p>
        </w:tc>
      </w:tr>
      <w:tr>
        <w:trPr>
          <w:trHeight w:val="20"/>
        </w:trPr>
        <w:tc>
          <w:tcPr>
            <w:tcW w:w="2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2240" w:type="dxa"/>
            <w:vAlign w:val="bottom"/>
            <w:tcBorders>
              <w:bottom w:val="single" w:sz="8" w:color="auto"/>
            </w:tcBorders>
          </w:tcPr>
          <w:p>
            <w:pPr>
              <w:spacing w:after="0"/>
              <w:rPr>
                <w:sz w:val="21"/>
                <w:szCs w:val="21"/>
                <w:color w:val="auto"/>
              </w:rPr>
            </w:pPr>
          </w:p>
        </w:tc>
        <w:tc>
          <w:tcPr>
            <w:tcW w:w="1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bl>
    <w:p>
      <w:pPr>
        <w:spacing w:after="0" w:line="364" w:lineRule="exact"/>
        <w:rPr>
          <w:sz w:val="20"/>
          <w:szCs w:val="20"/>
          <w:color w:val="auto"/>
        </w:rPr>
      </w:pPr>
    </w:p>
    <w:p>
      <w:pPr>
        <w:ind w:left="660" w:right="140" w:hanging="652"/>
        <w:spacing w:after="0" w:line="232" w:lineRule="auto"/>
        <w:tabs>
          <w:tab w:leader="none" w:pos="66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The interest rates associated with the variable rate components of our senior unsecured credit facility are estimated, reflected of forward LIBOR curves plus the spread over LIBOR of 150 basis points. The contractual amounts to be paid on our variable rate obligations are affected by changes in market interest rates and changes in our spreads which are based on our leverage ratios. Future changes in such ratios will impact the contractual amounts to be paid.</w:t>
      </w:r>
    </w:p>
    <w:p>
      <w:pPr>
        <w:spacing w:after="0" w:line="147" w:lineRule="exact"/>
        <w:rPr>
          <w:sz w:val="20"/>
          <w:szCs w:val="20"/>
          <w:color w:val="auto"/>
        </w:rPr>
      </w:pPr>
    </w:p>
    <w:p>
      <w:pPr>
        <w:spacing w:after="0"/>
        <w:tabs>
          <w:tab w:leader="none" w:pos="9160" w:val="left"/>
        </w:tabs>
        <w:rPr>
          <w:sz w:val="20"/>
          <w:szCs w:val="20"/>
          <w:color w:val="auto"/>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The Company's contractual obligations related to operating leases includes the fixed payments due under those ground</w:t>
      </w:r>
      <w:r>
        <w:rPr>
          <w:sz w:val="20"/>
          <w:szCs w:val="20"/>
          <w:color w:val="auto"/>
        </w:rPr>
        <w:tab/>
      </w:r>
      <w:r>
        <w:rPr>
          <w:rFonts w:ascii="Arial" w:cs="Arial" w:eastAsia="Arial" w:hAnsi="Arial"/>
          <w:sz w:val="16"/>
          <w:szCs w:val="16"/>
          <w:color w:val="auto"/>
        </w:rPr>
        <w:t>leases for which the Company</w:t>
      </w:r>
    </w:p>
    <w:p>
      <w:pPr>
        <w:ind w:right="5620"/>
        <w:spacing w:after="0" w:line="288" w:lineRule="auto"/>
        <w:rPr>
          <w:sz w:val="20"/>
          <w:szCs w:val="20"/>
          <w:color w:val="auto"/>
        </w:rPr>
      </w:pPr>
      <w:r>
        <w:rPr>
          <w:rFonts w:ascii="Arial" w:cs="Arial" w:eastAsia="Arial" w:hAnsi="Arial"/>
          <w:sz w:val="17"/>
          <w:szCs w:val="17"/>
          <w:color w:val="auto"/>
        </w:rPr>
        <w:t>subleases the land to our tenants who are responsible for payment directly to the landlord, as we are considered the primary obligor under these leases.</w:t>
      </w:r>
    </w:p>
    <w:p>
      <w:pPr>
        <w:spacing w:after="0" w:line="163" w:lineRule="exact"/>
        <w:rPr>
          <w:sz w:val="20"/>
          <w:szCs w:val="20"/>
          <w:color w:val="auto"/>
        </w:rPr>
      </w:pPr>
    </w:p>
    <w:p>
      <w:pPr>
        <w:ind w:right="2780" w:firstLine="8"/>
        <w:spacing w:after="0" w:line="216" w:lineRule="auto"/>
        <w:tabs>
          <w:tab w:leader="none" w:pos="273"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Primarily represents liabilities associated with reward programs at our TRS Properties that can be redeemed for free play, merchandise or services.</w:t>
      </w:r>
    </w:p>
    <w:p>
      <w:pPr>
        <w:sectPr>
          <w:pgSz w:w="11900" w:h="16838" w:orient="portrait"/>
          <w:cols w:equalWidth="0" w:num="1">
            <w:col w:w="11400"/>
          </w:cols>
          <w:pgMar w:left="240" w:top="130" w:right="259" w:bottom="1440"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00"/>
          </w:cols>
          <w:pgMar w:left="240" w:top="130" w:right="259" w:bottom="1440" w:gutter="0" w:footer="0" w:header="0"/>
          <w:type w:val="continuous"/>
        </w:sectPr>
      </w:pPr>
    </w:p>
    <w:bookmarkStart w:id="62" w:name="page63"/>
    <w:bookmarkEnd w:id="6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Commercial Commitments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our material commercial commitments as of December 31, 2018 for the following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272415</wp:posOffset>
            </wp:positionV>
            <wp:extent cx="4751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Total Amounts</w:t>
            </w:r>
          </w:p>
        </w:tc>
        <w:tc>
          <w:tcPr>
            <w:tcW w:w="340" w:type="dxa"/>
            <w:vAlign w:val="bottom"/>
          </w:tcPr>
          <w:p>
            <w:pPr>
              <w:spacing w:after="0"/>
              <w:rPr>
                <w:sz w:val="14"/>
                <w:szCs w:val="14"/>
                <w:color w:val="auto"/>
              </w:rPr>
            </w:pPr>
          </w:p>
        </w:tc>
        <w:tc>
          <w:tcPr>
            <w:tcW w:w="10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4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2020 - 2021</w:t>
            </w:r>
          </w:p>
        </w:tc>
        <w:tc>
          <w:tcPr>
            <w:tcW w:w="100" w:type="dxa"/>
            <w:vAlign w:val="bottom"/>
          </w:tcPr>
          <w:p>
            <w:pPr>
              <w:spacing w:after="0"/>
              <w:rPr>
                <w:sz w:val="14"/>
                <w:szCs w:val="14"/>
                <w:color w:val="auto"/>
              </w:rPr>
            </w:pPr>
          </w:p>
        </w:tc>
        <w:tc>
          <w:tcPr>
            <w:tcW w:w="140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2022 - 2023</w:t>
            </w:r>
          </w:p>
        </w:tc>
        <w:tc>
          <w:tcPr>
            <w:tcW w:w="120" w:type="dxa"/>
            <w:vAlign w:val="bottom"/>
          </w:tcPr>
          <w:p>
            <w:pPr>
              <w:spacing w:after="0"/>
              <w:rPr>
                <w:sz w:val="14"/>
                <w:szCs w:val="14"/>
                <w:color w:val="auto"/>
              </w:rPr>
            </w:pPr>
          </w:p>
        </w:tc>
        <w:tc>
          <w:tcPr>
            <w:tcW w:w="14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2024 and After</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Committed</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(in thousands)</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60" w:type="dxa"/>
            <w:vAlign w:val="bottom"/>
            <w:shd w:val="clear" w:color="auto" w:fill="CCEEFF"/>
          </w:tcPr>
          <w:p>
            <w:pPr>
              <w:ind w:left="20"/>
              <w:spacing w:after="0" w:line="276" w:lineRule="exact"/>
              <w:rPr>
                <w:sz w:val="20"/>
                <w:szCs w:val="20"/>
                <w:color w:val="auto"/>
              </w:rPr>
            </w:pPr>
            <w:r>
              <w:rPr>
                <w:rFonts w:ascii="Arial" w:cs="Arial" w:eastAsia="Arial" w:hAnsi="Arial"/>
                <w:sz w:val="18"/>
                <w:szCs w:val="18"/>
                <w:color w:val="auto"/>
              </w:rPr>
              <w:t xml:space="preserve">Letters of Credit </w:t>
            </w:r>
            <w:r>
              <w:rPr>
                <w:rFonts w:ascii="Arial" w:cs="Arial" w:eastAsia="Arial" w:hAnsi="Arial"/>
                <w:sz w:val="25"/>
                <w:szCs w:val="25"/>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360" w:type="dxa"/>
            <w:vAlign w:val="bottom"/>
          </w:tcPr>
          <w:p>
            <w:pPr>
              <w:ind w:left="26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2"/>
                <w:szCs w:val="22"/>
                <w:color w:val="auto"/>
              </w:rPr>
            </w:pP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40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414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24"/>
          <w:szCs w:val="24"/>
          <w:color w:val="auto"/>
          <w:vertAlign w:val="superscript"/>
        </w:rPr>
      </w:pPr>
      <w:r>
        <w:rPr>
          <w:rFonts w:ascii="Arial" w:cs="Arial" w:eastAsia="Arial" w:hAnsi="Arial"/>
          <w:sz w:val="17"/>
          <w:szCs w:val="17"/>
          <w:color w:val="auto"/>
        </w:rPr>
        <w:t>The available balance under the revolving credit portion of our senior unsecured credit facility is reduced by outstanding letters of credit.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had no off-balance sheet arrangements as of December 31, 2018 and 2017.</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We face market risk exposure in the form of interest rate risk. These market risks arise from our debt obligations. We have no international operations. Our exposure to foreign currency fluctuations is not significant to our financial condition or results of operations.</w:t>
      </w:r>
    </w:p>
    <w:p>
      <w:pPr>
        <w:spacing w:after="0" w:line="14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GLPI’s primary market risk exposure is interest rate risk with respect to its indebtedness of $5,903.1 million at December 31, 2018. Furthermore, $4,975.0 million of our obligations are the senior unsecured notes that have fixed interest rates with maturity dates ranging from two years to ten years.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GLPI also expects to manage its exposure to interest rate risk by maintaining a mix of fixed and variable rates for its indebtedness. However, the provisions of the Code applicable to REITs substantially limit GLPI’s ability to hedge its assets and liabilities.</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table below provides information at December 31, 2018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for our variable rate debt are based on implied forward LIBOR rates at December 31, 2018.</w:t>
      </w:r>
    </w:p>
    <w:p>
      <w:pPr>
        <w:spacing w:after="0" w:line="328" w:lineRule="exact"/>
        <w:rPr>
          <w:sz w:val="20"/>
          <w:szCs w:val="20"/>
          <w:color w:val="auto"/>
        </w:rPr>
      </w:pPr>
    </w:p>
    <w:tbl>
      <w:tblPr>
        <w:tblLayout w:type="fixed"/>
        <w:tblInd w:w="2460" w:type="dxa"/>
        <w:tblCellMar>
          <w:top w:w="0" w:type="dxa"/>
          <w:left w:w="0" w:type="dxa"/>
          <w:bottom w:w="0" w:type="dxa"/>
          <w:right w:w="0" w:type="dxa"/>
        </w:tblCellMar>
      </w:tblPr>
      <w:tr>
        <w:trPr>
          <w:trHeight w:val="161"/>
        </w:trPr>
        <w:tc>
          <w:tcPr>
            <w:tcW w:w="860" w:type="dxa"/>
            <w:vAlign w:val="bottom"/>
          </w:tcPr>
          <w:p>
            <w:pPr>
              <w:jc w:val="right"/>
              <w:ind w:right="228"/>
              <w:spacing w:after="0"/>
              <w:rPr>
                <w:sz w:val="20"/>
                <w:szCs w:val="20"/>
                <w:color w:val="auto"/>
              </w:rPr>
            </w:pPr>
            <w:r>
              <w:rPr>
                <w:rFonts w:ascii="Arial" w:cs="Arial" w:eastAsia="Arial" w:hAnsi="Arial"/>
                <w:sz w:val="14"/>
                <w:szCs w:val="14"/>
                <w:b w:val="1"/>
                <w:bCs w:val="1"/>
                <w:color w:val="auto"/>
                <w:w w:val="91"/>
              </w:rPr>
              <w:t>01/01/19-</w:t>
            </w:r>
          </w:p>
        </w:tc>
        <w:tc>
          <w:tcPr>
            <w:tcW w:w="1120" w:type="dxa"/>
            <w:vAlign w:val="bottom"/>
          </w:tcPr>
          <w:p>
            <w:pPr>
              <w:jc w:val="right"/>
              <w:ind w:right="248"/>
              <w:spacing w:after="0"/>
              <w:rPr>
                <w:sz w:val="20"/>
                <w:szCs w:val="20"/>
                <w:color w:val="auto"/>
              </w:rPr>
            </w:pPr>
            <w:r>
              <w:rPr>
                <w:rFonts w:ascii="Arial" w:cs="Arial" w:eastAsia="Arial" w:hAnsi="Arial"/>
                <w:sz w:val="14"/>
                <w:szCs w:val="14"/>
                <w:b w:val="1"/>
                <w:bCs w:val="1"/>
                <w:color w:val="auto"/>
              </w:rPr>
              <w:t>1/01/20-</w:t>
            </w:r>
          </w:p>
        </w:tc>
        <w:tc>
          <w:tcPr>
            <w:tcW w:w="1100" w:type="dxa"/>
            <w:vAlign w:val="bottom"/>
          </w:tcPr>
          <w:p>
            <w:pPr>
              <w:jc w:val="right"/>
              <w:ind w:right="248"/>
              <w:spacing w:after="0"/>
              <w:rPr>
                <w:sz w:val="20"/>
                <w:szCs w:val="20"/>
                <w:color w:val="auto"/>
              </w:rPr>
            </w:pPr>
            <w:r>
              <w:rPr>
                <w:rFonts w:ascii="Arial" w:cs="Arial" w:eastAsia="Arial" w:hAnsi="Arial"/>
                <w:sz w:val="14"/>
                <w:szCs w:val="14"/>
                <w:b w:val="1"/>
                <w:bCs w:val="1"/>
                <w:color w:val="auto"/>
              </w:rPr>
              <w:t>1/01/21-</w:t>
            </w:r>
          </w:p>
        </w:tc>
        <w:tc>
          <w:tcPr>
            <w:tcW w:w="1080" w:type="dxa"/>
            <w:vAlign w:val="bottom"/>
          </w:tcPr>
          <w:p>
            <w:pPr>
              <w:jc w:val="right"/>
              <w:ind w:right="228"/>
              <w:spacing w:after="0"/>
              <w:rPr>
                <w:sz w:val="20"/>
                <w:szCs w:val="20"/>
                <w:color w:val="auto"/>
              </w:rPr>
            </w:pPr>
            <w:r>
              <w:rPr>
                <w:rFonts w:ascii="Arial" w:cs="Arial" w:eastAsia="Arial" w:hAnsi="Arial"/>
                <w:sz w:val="14"/>
                <w:szCs w:val="14"/>
                <w:b w:val="1"/>
                <w:bCs w:val="1"/>
                <w:color w:val="auto"/>
              </w:rPr>
              <w:t>1/01/22-</w:t>
            </w:r>
          </w:p>
        </w:tc>
        <w:tc>
          <w:tcPr>
            <w:tcW w:w="1060" w:type="dxa"/>
            <w:vAlign w:val="bottom"/>
          </w:tcPr>
          <w:p>
            <w:pPr>
              <w:jc w:val="right"/>
              <w:ind w:right="188"/>
              <w:spacing w:after="0"/>
              <w:rPr>
                <w:sz w:val="20"/>
                <w:szCs w:val="20"/>
                <w:color w:val="auto"/>
              </w:rPr>
            </w:pPr>
            <w:r>
              <w:rPr>
                <w:rFonts w:ascii="Arial" w:cs="Arial" w:eastAsia="Arial" w:hAnsi="Arial"/>
                <w:sz w:val="14"/>
                <w:szCs w:val="14"/>
                <w:b w:val="1"/>
                <w:bCs w:val="1"/>
                <w:color w:val="auto"/>
              </w:rPr>
              <w:t>1/01/23-</w:t>
            </w:r>
          </w:p>
        </w:tc>
        <w:tc>
          <w:tcPr>
            <w:tcW w:w="12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Thereafter</w:t>
            </w:r>
          </w:p>
        </w:tc>
        <w:tc>
          <w:tcPr>
            <w:tcW w:w="9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1080" w:type="dxa"/>
            <w:vAlign w:val="bottom"/>
          </w:tcPr>
          <w:p>
            <w:pPr>
              <w:jc w:val="center"/>
              <w:ind w:left="208"/>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86"/>
        </w:trPr>
        <w:tc>
          <w:tcPr>
            <w:tcW w:w="860" w:type="dxa"/>
            <w:vAlign w:val="bottom"/>
          </w:tcPr>
          <w:p>
            <w:pPr>
              <w:jc w:val="right"/>
              <w:ind w:right="248"/>
              <w:spacing w:after="0"/>
              <w:rPr>
                <w:sz w:val="20"/>
                <w:szCs w:val="20"/>
                <w:color w:val="auto"/>
              </w:rPr>
            </w:pPr>
            <w:r>
              <w:rPr>
                <w:rFonts w:ascii="Arial" w:cs="Arial" w:eastAsia="Arial" w:hAnsi="Arial"/>
                <w:sz w:val="14"/>
                <w:szCs w:val="14"/>
                <w:b w:val="1"/>
                <w:bCs w:val="1"/>
                <w:color w:val="auto"/>
                <w:w w:val="95"/>
              </w:rPr>
              <w:t>12/31/19</w:t>
            </w:r>
          </w:p>
        </w:tc>
        <w:tc>
          <w:tcPr>
            <w:tcW w:w="1120" w:type="dxa"/>
            <w:vAlign w:val="bottom"/>
          </w:tcPr>
          <w:p>
            <w:pPr>
              <w:jc w:val="right"/>
              <w:ind w:right="228"/>
              <w:spacing w:after="0"/>
              <w:rPr>
                <w:sz w:val="20"/>
                <w:szCs w:val="20"/>
                <w:color w:val="auto"/>
              </w:rPr>
            </w:pPr>
            <w:r>
              <w:rPr>
                <w:rFonts w:ascii="Arial" w:cs="Arial" w:eastAsia="Arial" w:hAnsi="Arial"/>
                <w:sz w:val="14"/>
                <w:szCs w:val="14"/>
                <w:b w:val="1"/>
                <w:bCs w:val="1"/>
                <w:color w:val="auto"/>
              </w:rPr>
              <w:t>12/31/20</w:t>
            </w:r>
          </w:p>
        </w:tc>
        <w:tc>
          <w:tcPr>
            <w:tcW w:w="1100" w:type="dxa"/>
            <w:vAlign w:val="bottom"/>
          </w:tcPr>
          <w:p>
            <w:pPr>
              <w:jc w:val="right"/>
              <w:ind w:right="228"/>
              <w:spacing w:after="0"/>
              <w:rPr>
                <w:sz w:val="20"/>
                <w:szCs w:val="20"/>
                <w:color w:val="auto"/>
              </w:rPr>
            </w:pPr>
            <w:r>
              <w:rPr>
                <w:rFonts w:ascii="Arial" w:cs="Arial" w:eastAsia="Arial" w:hAnsi="Arial"/>
                <w:sz w:val="14"/>
                <w:szCs w:val="14"/>
                <w:b w:val="1"/>
                <w:bCs w:val="1"/>
                <w:color w:val="auto"/>
              </w:rPr>
              <w:t>12/31/21</w:t>
            </w:r>
          </w:p>
        </w:tc>
        <w:tc>
          <w:tcPr>
            <w:tcW w:w="1080" w:type="dxa"/>
            <w:vAlign w:val="bottom"/>
          </w:tcPr>
          <w:p>
            <w:pPr>
              <w:jc w:val="right"/>
              <w:ind w:right="208"/>
              <w:spacing w:after="0"/>
              <w:rPr>
                <w:sz w:val="20"/>
                <w:szCs w:val="20"/>
                <w:color w:val="auto"/>
              </w:rPr>
            </w:pPr>
            <w:r>
              <w:rPr>
                <w:rFonts w:ascii="Arial" w:cs="Arial" w:eastAsia="Arial" w:hAnsi="Arial"/>
                <w:sz w:val="14"/>
                <w:szCs w:val="14"/>
                <w:b w:val="1"/>
                <w:bCs w:val="1"/>
                <w:color w:val="auto"/>
              </w:rPr>
              <w:t>12/31/22</w:t>
            </w:r>
          </w:p>
        </w:tc>
        <w:tc>
          <w:tcPr>
            <w:tcW w:w="1060" w:type="dxa"/>
            <w:vAlign w:val="bottom"/>
          </w:tcPr>
          <w:p>
            <w:pPr>
              <w:jc w:val="right"/>
              <w:ind w:right="188"/>
              <w:spacing w:after="0"/>
              <w:rPr>
                <w:sz w:val="20"/>
                <w:szCs w:val="20"/>
                <w:color w:val="auto"/>
              </w:rPr>
            </w:pPr>
            <w:r>
              <w:rPr>
                <w:rFonts w:ascii="Arial" w:cs="Arial" w:eastAsia="Arial" w:hAnsi="Arial"/>
                <w:sz w:val="14"/>
                <w:szCs w:val="14"/>
                <w:b w:val="1"/>
                <w:bCs w:val="1"/>
                <w:color w:val="auto"/>
              </w:rPr>
              <w:t>12/31/23</w:t>
            </w:r>
          </w:p>
        </w:tc>
        <w:tc>
          <w:tcPr>
            <w:tcW w:w="12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12/31/2018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7620</wp:posOffset>
            </wp:positionV>
            <wp:extent cx="5608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08320" cy="8890"/>
                    </a:xfrm>
                    <a:prstGeom prst="rect">
                      <a:avLst/>
                    </a:prstGeom>
                    <a:noFill/>
                  </pic:spPr>
                </pic:pic>
              </a:graphicData>
            </a:graphic>
          </wp:anchor>
        </w:drawing>
      </w:r>
    </w:p>
    <w:p>
      <w:pPr>
        <w:spacing w:after="0" w:line="10" w:lineRule="exact"/>
        <w:rPr>
          <w:sz w:val="20"/>
          <w:szCs w:val="20"/>
          <w:color w:val="auto"/>
        </w:rPr>
      </w:pPr>
    </w:p>
    <w:p>
      <w:pPr>
        <w:ind w:left="6220"/>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8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Long-term debt:</w:t>
            </w:r>
          </w:p>
        </w:tc>
        <w:tc>
          <w:tcPr>
            <w:tcW w:w="7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64"/>
        </w:trPr>
        <w:tc>
          <w:tcPr>
            <w:tcW w:w="40" w:type="dxa"/>
            <w:vAlign w:val="bottom"/>
            <w:tcBorders>
              <w:top w:val="single" w:sz="8" w:color="CCEEFF"/>
            </w:tcBorders>
          </w:tcPr>
          <w:p>
            <w:pPr>
              <w:spacing w:after="0"/>
              <w:rPr>
                <w:sz w:val="22"/>
                <w:szCs w:val="22"/>
                <w:color w:val="auto"/>
              </w:rPr>
            </w:pPr>
          </w:p>
        </w:tc>
        <w:tc>
          <w:tcPr>
            <w:tcW w:w="102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Fixed rate</w:t>
            </w:r>
          </w:p>
        </w:tc>
        <w:tc>
          <w:tcPr>
            <w:tcW w:w="82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jc w:val="right"/>
              <w:ind w:right="26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CCEEFF"/>
            </w:tcBorders>
          </w:tcPr>
          <w:p>
            <w:pPr>
              <w:ind w:left="320"/>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1,000,000</w:t>
            </w:r>
          </w:p>
        </w:tc>
        <w:tc>
          <w:tcPr>
            <w:tcW w:w="30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CCEEFF"/>
            </w:tcBorders>
          </w:tcPr>
          <w:p>
            <w:pPr>
              <w:jc w:val="right"/>
              <w:ind w:right="68"/>
              <w:spacing w:after="0"/>
              <w:rPr>
                <w:sz w:val="20"/>
                <w:szCs w:val="20"/>
                <w:color w:val="auto"/>
              </w:rPr>
            </w:pPr>
            <w:r>
              <w:rPr>
                <w:rFonts w:ascii="Arial" w:cs="Arial" w:eastAsia="Arial" w:hAnsi="Arial"/>
                <w:sz w:val="14"/>
                <w:szCs w:val="14"/>
                <w:color w:val="auto"/>
              </w:rPr>
              <w:t>400,000</w:t>
            </w:r>
          </w:p>
        </w:tc>
        <w:tc>
          <w:tcPr>
            <w:tcW w:w="500" w:type="dxa"/>
            <w:vAlign w:val="bottom"/>
            <w:tcBorders>
              <w:top w:val="single" w:sz="8" w:color="CCEEFF"/>
            </w:tcBorders>
          </w:tcPr>
          <w:p>
            <w:pPr>
              <w:jc w:val="right"/>
              <w:ind w:right="24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CCEEFF"/>
            </w:tcBorders>
          </w:tcPr>
          <w:p>
            <w:pPr>
              <w:ind w:left="320"/>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500,000</w:t>
            </w:r>
          </w:p>
        </w:tc>
        <w:tc>
          <w:tcPr>
            <w:tcW w:w="30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3,075,000</w:t>
            </w:r>
          </w:p>
        </w:tc>
        <w:tc>
          <w:tcPr>
            <w:tcW w:w="28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4,975,000</w:t>
            </w:r>
          </w:p>
        </w:tc>
        <w:tc>
          <w:tcPr>
            <w:tcW w:w="360" w:type="dxa"/>
            <w:vAlign w:val="bottom"/>
            <w:tcBorders>
              <w:top w:val="single" w:sz="8" w:color="CCEEFF"/>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4,958,455</w:t>
            </w:r>
          </w:p>
        </w:tc>
      </w:tr>
      <w:tr>
        <w:trPr>
          <w:trHeight w:val="276"/>
        </w:trPr>
        <w:tc>
          <w:tcPr>
            <w:tcW w:w="40" w:type="dxa"/>
            <w:vAlign w:val="bottom"/>
            <w:shd w:val="clear" w:color="auto" w:fill="CCEEFF"/>
          </w:tcPr>
          <w:p>
            <w:pPr>
              <w:spacing w:after="0"/>
              <w:rPr>
                <w:sz w:val="24"/>
                <w:szCs w:val="24"/>
                <w:color w:val="auto"/>
              </w:rPr>
            </w:pPr>
          </w:p>
        </w:tc>
        <w:tc>
          <w:tcPr>
            <w:tcW w:w="18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Average interest rate</w:t>
            </w:r>
          </w:p>
        </w:tc>
        <w:tc>
          <w:tcPr>
            <w:tcW w:w="7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4.88%</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4.38%</w:t>
            </w:r>
          </w:p>
        </w:tc>
        <w:tc>
          <w:tcPr>
            <w:tcW w:w="5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5.38%</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5.38%</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18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Variable rate</w:t>
            </w:r>
          </w:p>
        </w:tc>
        <w:tc>
          <w:tcPr>
            <w:tcW w:w="7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525,000</w:t>
            </w:r>
          </w:p>
        </w:tc>
        <w:tc>
          <w:tcPr>
            <w:tcW w:w="5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402,000</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927,000</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909,308</w:t>
            </w:r>
          </w:p>
        </w:tc>
      </w:tr>
      <w:tr>
        <w:trPr>
          <w:trHeight w:val="258"/>
        </w:trPr>
        <w:tc>
          <w:tcPr>
            <w:tcW w:w="40" w:type="dxa"/>
            <w:vAlign w:val="bottom"/>
          </w:tcPr>
          <w:p>
            <w:pPr>
              <w:spacing w:after="0"/>
              <w:rPr>
                <w:sz w:val="22"/>
                <w:szCs w:val="22"/>
                <w:color w:val="auto"/>
              </w:rPr>
            </w:pPr>
          </w:p>
        </w:tc>
        <w:tc>
          <w:tcPr>
            <w:tcW w:w="1840" w:type="dxa"/>
            <w:vAlign w:val="bottom"/>
            <w:gridSpan w:val="2"/>
          </w:tcPr>
          <w:p>
            <w:pPr>
              <w:ind w:left="140"/>
              <w:spacing w:after="0"/>
              <w:rPr>
                <w:sz w:val="20"/>
                <w:szCs w:val="20"/>
                <w:color w:val="auto"/>
              </w:rPr>
            </w:pPr>
            <w:r>
              <w:rPr>
                <w:rFonts w:ascii="Arial" w:cs="Arial" w:eastAsia="Arial" w:hAnsi="Arial"/>
                <w:sz w:val="14"/>
                <w:szCs w:val="14"/>
                <w:color w:val="auto"/>
              </w:rPr>
              <w:t xml:space="preserve">Average interest rate </w:t>
            </w:r>
            <w:r>
              <w:rPr>
                <w:rFonts w:ascii="Arial" w:cs="Arial" w:eastAsia="Arial" w:hAnsi="Arial"/>
                <w:sz w:val="8"/>
                <w:szCs w:val="8"/>
                <w:color w:val="auto"/>
              </w:rPr>
              <w:t>(1)</w:t>
            </w: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248"/>
              <w:spacing w:after="0"/>
              <w:rPr>
                <w:sz w:val="20"/>
                <w:szCs w:val="20"/>
                <w:color w:val="auto"/>
              </w:rPr>
            </w:pPr>
            <w:r>
              <w:rPr>
                <w:rFonts w:ascii="Arial" w:cs="Arial" w:eastAsia="Arial" w:hAnsi="Arial"/>
                <w:sz w:val="14"/>
                <w:szCs w:val="14"/>
                <w:color w:val="auto"/>
              </w:rPr>
              <w:t>4.29%</w:t>
            </w: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248"/>
              <w:spacing w:after="0"/>
              <w:rPr>
                <w:sz w:val="20"/>
                <w:szCs w:val="20"/>
                <w:color w:val="auto"/>
              </w:rPr>
            </w:pPr>
            <w:r>
              <w:rPr>
                <w:rFonts w:ascii="Arial" w:cs="Arial" w:eastAsia="Arial" w:hAnsi="Arial"/>
                <w:sz w:val="14"/>
                <w:szCs w:val="14"/>
                <w:color w:val="auto"/>
              </w:rPr>
              <w:t>4.14%</w:t>
            </w: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1732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620" w:right="2760" w:hanging="5612"/>
        <w:spacing w:after="0" w:line="481" w:lineRule="auto"/>
        <w:tabs>
          <w:tab w:leader="none" w:pos="5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Estimated rate, reflective of forward LIBOR plus the spread over LIBOR applicable to variable-rate borrowing. 62</w:t>
      </w:r>
    </w:p>
    <w:p>
      <w:pPr>
        <w:sectPr>
          <w:pgSz w:w="11900" w:h="16838" w:orient="portrait"/>
          <w:cols w:equalWidth="0" w:num="1">
            <w:col w:w="11360"/>
          </w:cols>
          <w:pgMar w:left="240" w:top="130" w:right="29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Gaming and Leisure Properties, Inc. and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Gaming and Leisure Properties, Inc. and Subsidiaries (the "Company") as of December 31, 2018 and 2017, the related consolidated statements of income, changes in shareholders’ equity (deficit), and cash flows, for each of the three years in the period ended December 31, 2018, and the related notes and the schedules listed in the Index at Item 15 (collectively referred to as the "financial statements"). In our opinion, the financial statements present fairly, in all material respects, the financial position of the Company as of December 31, 2018 and 2017, and the results of their operations and their cash flows for each of the three years in the period ended December 31, 2018, in conformity with accounting principles generally accepted in the United States of America.</w:t>
      </w:r>
    </w:p>
    <w:p>
      <w:pPr>
        <w:spacing w:after="0" w:line="1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13, 2019,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30" w:right="25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Pr>
          <w:p>
            <w:pPr>
              <w:spacing w:after="0"/>
              <w:rPr>
                <w:sz w:val="16"/>
                <w:szCs w:val="16"/>
                <w:color w:val="auto"/>
              </w:rPr>
            </w:pPr>
          </w:p>
        </w:tc>
        <w:tc>
          <w:tcPr>
            <w:tcW w:w="1340" w:type="dxa"/>
            <w:vAlign w:val="bottom"/>
          </w:tcPr>
          <w:p>
            <w:pPr>
              <w:jc w:val="right"/>
              <w:ind w:right="71"/>
              <w:spacing w:after="0"/>
              <w:rPr>
                <w:sz w:val="20"/>
                <w:szCs w:val="20"/>
                <w:color w:val="auto"/>
              </w:rPr>
            </w:pPr>
            <w:r>
              <w:rPr>
                <w:rFonts w:ascii="Arial" w:cs="Arial" w:eastAsia="Arial" w:hAnsi="Arial"/>
                <w:sz w:val="14"/>
                <w:szCs w:val="14"/>
                <w:b w:val="1"/>
                <w:bCs w:val="1"/>
                <w:color w:val="auto"/>
                <w:w w:val="91"/>
              </w:rPr>
              <w:t>December 31, 2017</w:t>
            </w:r>
          </w:p>
        </w:tc>
      </w:tr>
      <w:tr>
        <w:trPr>
          <w:trHeight w:val="270"/>
        </w:trPr>
        <w:tc>
          <w:tcPr>
            <w:tcW w:w="83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Real estate investments, net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7,331,460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3,662,045</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rights,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673,207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640,148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100,884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108,293</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Mortgage loans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303,684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Investment in direct financing lease, net</w:t>
            </w:r>
          </w:p>
        </w:tc>
        <w:tc>
          <w:tcPr>
            <w:tcW w:w="1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2,637,639</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29,054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30,967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8,452</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75,521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intangible assets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9,577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9,577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5,178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4,478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67,486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58,675</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8,577,293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7,246,882</w:t>
            </w:r>
          </w:p>
        </w:tc>
      </w:tr>
      <w:tr>
        <w:trPr>
          <w:trHeight w:val="271"/>
        </w:trPr>
        <w:tc>
          <w:tcPr>
            <w:tcW w:w="8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30,297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7,913</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interest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33,241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Accrued salaries and wages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17,010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10,809</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Gaming, property, and other taxes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35,399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w w:val="97"/>
              </w:rPr>
              <w:t>Long-term debt, net of unamortized debt issuance costs, bond premiums and original issuance discounts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5,853,497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4,442,880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rental revenue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293,911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232,023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244</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25,411</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6,311,686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4,788,635</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7"/>
        </w:trPr>
        <w:tc>
          <w:tcPr>
            <w:tcW w:w="8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 (Note 11)</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84"/>
        </w:trPr>
        <w:tc>
          <w:tcPr>
            <w:tcW w:w="8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84"/>
        </w:trPr>
        <w:tc>
          <w:tcPr>
            <w:tcW w:w="8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w w:val="90"/>
              </w:rPr>
              <w:t>Preferred stock ($.01 par value, 50,000,000 shares authorized, no shares issued or outstanding at December 31,</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340" w:type="dxa"/>
            <w:vAlign w:val="bottom"/>
          </w:tcPr>
          <w:p>
            <w:pPr>
              <w:ind w:left="180"/>
              <w:spacing w:after="0"/>
              <w:rPr>
                <w:sz w:val="20"/>
                <w:szCs w:val="20"/>
                <w:color w:val="auto"/>
              </w:rPr>
            </w:pPr>
            <w:r>
              <w:rPr>
                <w:rFonts w:ascii="Arial" w:cs="Arial" w:eastAsia="Arial" w:hAnsi="Arial"/>
                <w:sz w:val="18"/>
                <w:szCs w:val="18"/>
                <w:color w:val="auto"/>
              </w:rPr>
              <w:t>2018 and December 31, 2017)</w:t>
            </w:r>
          </w:p>
        </w:tc>
        <w:tc>
          <w:tcPr>
            <w:tcW w:w="14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Common stock ($.01 par value, 500,000,000 shares authorized, 214,211,932 and 212,717,549 shares issued and</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outstanding at December 31, 2018 and December 31, 2017,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3,952,503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3,933,829</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(1,689,038)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(1,477,709)</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2,265,607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2,458,247</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8,577,293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7,246,882</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30" w:right="239" w:bottom="1440" w:gutter="0" w:footer="0" w:header="0"/>
          <w:type w:val="continuous"/>
        </w:sectPr>
      </w:pPr>
    </w:p>
    <w:bookmarkStart w:id="65" w:name="page66"/>
    <w:bookmarkEnd w:id="6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179"/>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83"/>
        </w:trPr>
        <w:tc>
          <w:tcPr>
            <w:tcW w:w="6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747,654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671,190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567,444</w:t>
            </w:r>
          </w:p>
        </w:tc>
      </w:tr>
      <w:tr>
        <w:trPr>
          <w:trHeight w:val="27"/>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48,917</w:t>
            </w: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Interest income from mortgaged real estate</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6,943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taxes paid by tenants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87,466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83,698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67,843</w:t>
            </w:r>
          </w:p>
        </w:tc>
      </w:tr>
      <w:tr>
        <w:trPr>
          <w:trHeight w:val="237"/>
        </w:trPr>
        <w:tc>
          <w:tcPr>
            <w:tcW w:w="6320" w:type="dxa"/>
            <w:vAlign w:val="bottom"/>
            <w:gridSpan w:val="2"/>
          </w:tcPr>
          <w:p>
            <w:pPr>
              <w:ind w:left="40"/>
              <w:spacing w:after="0"/>
              <w:rPr>
                <w:sz w:val="20"/>
                <w:szCs w:val="20"/>
                <w:color w:val="auto"/>
              </w:rPr>
            </w:pPr>
            <w:r>
              <w:rPr>
                <w:rFonts w:ascii="Arial" w:cs="Arial" w:eastAsia="Arial" w:hAnsi="Arial"/>
                <w:sz w:val="18"/>
                <w:szCs w:val="18"/>
                <w:color w:val="auto"/>
              </w:rPr>
              <w:t>Total income from real estate</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923,182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829,221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684,204</w:t>
            </w:r>
          </w:p>
        </w:tc>
      </w:tr>
      <w:tr>
        <w:trPr>
          <w:trHeight w:val="27"/>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132,545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142,086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144,051</w:t>
            </w:r>
          </w:p>
        </w:tc>
      </w:tr>
      <w:tr>
        <w:trPr>
          <w:trHeight w:val="237"/>
        </w:trPr>
        <w:tc>
          <w:tcPr>
            <w:tcW w:w="632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1,055,727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971,307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828,255</w:t>
            </w:r>
          </w:p>
        </w:tc>
      </w:tr>
      <w:tr>
        <w:trPr>
          <w:trHeight w:val="27"/>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6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632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80,487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82,463</w:t>
            </w: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Real estate taxes</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88,757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84,666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69,448</w:t>
            </w:r>
          </w:p>
        </w:tc>
      </w:tr>
      <w:tr>
        <w:trPr>
          <w:trHeight w:val="27"/>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and ground lease expense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14,799</w:t>
            </w: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71,128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63,151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71,368</w:t>
            </w:r>
          </w:p>
        </w:tc>
      </w:tr>
      <w:tr>
        <w:trPr>
          <w:trHeight w:val="27"/>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137,093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109,554</w:t>
            </w:r>
          </w:p>
        </w:tc>
      </w:tr>
      <w:tr>
        <w:trPr>
          <w:trHeight w:val="243"/>
        </w:trPr>
        <w:tc>
          <w:tcPr>
            <w:tcW w:w="6320" w:type="dxa"/>
            <w:vAlign w:val="bottom"/>
            <w:gridSpan w:val="2"/>
          </w:tcPr>
          <w:p>
            <w:pPr>
              <w:ind w:left="120"/>
              <w:spacing w:after="0"/>
              <w:rPr>
                <w:sz w:val="20"/>
                <w:szCs w:val="20"/>
                <w:color w:val="auto"/>
              </w:rPr>
            </w:pPr>
            <w:r>
              <w:rPr>
                <w:rFonts w:ascii="Arial" w:cs="Arial" w:eastAsia="Arial" w:hAnsi="Arial"/>
                <w:sz w:val="18"/>
                <w:szCs w:val="18"/>
                <w:color w:val="auto"/>
              </w:rPr>
              <w:t>Goodwill impairment charges</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59,454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461,917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365,789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347,632</w:t>
            </w:r>
          </w:p>
        </w:tc>
      </w:tr>
      <w:tr>
        <w:trPr>
          <w:trHeight w:val="237"/>
        </w:trPr>
        <w:tc>
          <w:tcPr>
            <w:tcW w:w="632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593,810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605,518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480,623</w:t>
            </w:r>
          </w:p>
        </w:tc>
      </w:tr>
      <w:tr>
        <w:trPr>
          <w:trHeight w:val="27"/>
        </w:trPr>
        <w:tc>
          <w:tcPr>
            <w:tcW w:w="6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7"/>
        </w:trPr>
        <w:tc>
          <w:tcPr>
            <w:tcW w:w="6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63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(185,896)</w:t>
            </w: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2,123</w:t>
            </w:r>
          </w:p>
        </w:tc>
      </w:tr>
      <w:tr>
        <w:trPr>
          <w:trHeight w:val="27"/>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Losses on debt extinguishment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63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other expenses</w:t>
            </w:r>
          </w:p>
        </w:tc>
        <w:tc>
          <w:tcPr>
            <w:tcW w:w="2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(249,330)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(215,133)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(183,773)</w:t>
            </w:r>
          </w:p>
        </w:tc>
      </w:tr>
      <w:tr>
        <w:trPr>
          <w:trHeight w:val="284"/>
        </w:trPr>
        <w:tc>
          <w:tcPr>
            <w:tcW w:w="6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632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344,480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390,385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296,850</w:t>
            </w:r>
          </w:p>
        </w:tc>
      </w:tr>
      <w:tr>
        <w:trPr>
          <w:trHeight w:val="27"/>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9,787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7,545</w:t>
            </w:r>
          </w:p>
        </w:tc>
      </w:tr>
      <w:tr>
        <w:trPr>
          <w:trHeight w:val="297"/>
        </w:trPr>
        <w:tc>
          <w:tcPr>
            <w:tcW w:w="63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339,516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380,598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289,305</w:t>
            </w:r>
          </w:p>
        </w:tc>
      </w:tr>
      <w:tr>
        <w:trPr>
          <w:trHeight w:val="284"/>
        </w:trPr>
        <w:tc>
          <w:tcPr>
            <w:tcW w:w="6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632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r>
      <w:tr>
        <w:trPr>
          <w:trHeight w:val="243"/>
        </w:trPr>
        <w:tc>
          <w:tcPr>
            <w:tcW w:w="6320" w:type="dxa"/>
            <w:vAlign w:val="bottom"/>
            <w:gridSpan w:val="2"/>
          </w:tcPr>
          <w:p>
            <w:pPr>
              <w:ind w:left="4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1.60</w:t>
            </w:r>
          </w:p>
        </w:tc>
      </w:tr>
    </w:tbl>
    <w:p>
      <w:pPr>
        <w:spacing w:after="0" w:line="200" w:lineRule="exact"/>
        <w:rPr>
          <w:sz w:val="20"/>
          <w:szCs w:val="20"/>
          <w:color w:val="auto"/>
        </w:rPr>
      </w:pPr>
    </w:p>
    <w:p>
      <w:pPr>
        <w:spacing w:after="0" w:line="24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240"/>
          </w:cols>
          <w:pgMar w:left="240" w:top="130" w:right="141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2"/>
            <w:vMerge w:val="restart"/>
          </w:tcPr>
          <w:p>
            <w:pPr>
              <w:jc w:val="center"/>
              <w:ind w:right="340"/>
              <w:spacing w:after="0" w:line="139" w:lineRule="exact"/>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4"/>
                <w:szCs w:val="4"/>
                <w:color w:val="auto"/>
              </w:rPr>
            </w:pPr>
          </w:p>
        </w:tc>
        <w:tc>
          <w:tcPr>
            <w:tcW w:w="128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4"/>
                <w:szCs w:val="4"/>
                <w:color w:val="auto"/>
              </w:rPr>
            </w:pPr>
          </w:p>
        </w:tc>
        <w:tc>
          <w:tcPr>
            <w:tcW w:w="1200" w:type="dxa"/>
            <w:vAlign w:val="bottom"/>
            <w:vMerge w:val="restart"/>
          </w:tcPr>
          <w:p>
            <w:pPr>
              <w:jc w:val="center"/>
              <w:ind w:right="92"/>
              <w:spacing w:after="0" w:line="13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5"/>
        </w:trPr>
        <w:tc>
          <w:tcPr>
            <w:tcW w:w="4120" w:type="dxa"/>
            <w:vAlign w:val="bottom"/>
          </w:tcPr>
          <w:p>
            <w:pPr>
              <w:spacing w:after="0"/>
              <w:rPr>
                <w:sz w:val="5"/>
                <w:szCs w:val="5"/>
                <w:color w:val="auto"/>
              </w:rPr>
            </w:pPr>
          </w:p>
        </w:tc>
        <w:tc>
          <w:tcPr>
            <w:tcW w:w="15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5"/>
                <w:szCs w:val="5"/>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200" w:type="dxa"/>
            <w:vAlign w:val="bottom"/>
          </w:tcPr>
          <w:p>
            <w:pPr>
              <w:jc w:val="center"/>
              <w:ind w:right="72"/>
              <w:spacing w:after="0"/>
              <w:rPr>
                <w:sz w:val="20"/>
                <w:szCs w:val="20"/>
                <w:color w:val="auto"/>
              </w:rPr>
            </w:pPr>
            <w:r>
              <w:rPr>
                <w:rFonts w:ascii="Arial" w:cs="Arial" w:eastAsia="Arial" w:hAnsi="Arial"/>
                <w:sz w:val="14"/>
                <w:szCs w:val="14"/>
                <w:b w:val="1"/>
                <w:bCs w:val="1"/>
                <w:color w:val="auto"/>
                <w:w w:val="97"/>
              </w:rPr>
              <w:t>Equity (Deficit)</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2015</w:t>
            </w:r>
          </w:p>
        </w:tc>
        <w:tc>
          <w:tcPr>
            <w:tcW w:w="13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115,594,321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935,220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(1,189,890)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(253,514)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Issuance of common stock</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86,074,167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2,693,939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2,694,800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 activity</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5,870,282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115,416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115,475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Restricted stock activity</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138,057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16,154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16,155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($2.32 per common share)</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(428,352)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(428,352)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289,305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289,305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2016</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207,676,827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3,760,729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(1,328,937)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2,433,869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Issuance of common stock</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3,864,872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139,376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139,414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 activity</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1,013,984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21,003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Restricted stock activity</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161,866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12,731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12,733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($2.50 per common share)</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(529,370)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(529,370)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380,598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380,598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2017</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212,717,549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3,933,829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(1,477,709)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2,458,247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Stock option activity</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1,007,750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19,805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19,815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activity</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486,633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Dividends paid ($2.57 per common share)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(550,435)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(550,435)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Adoption of new revenue standard</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339,516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339,516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2018</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214,211,932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2,142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3,952,503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(1,689,038)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2,265,607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30"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84"/>
        </w:trPr>
        <w:tc>
          <w:tcPr>
            <w:tcW w:w="6860" w:type="dxa"/>
            <w:vAlign w:val="bottom"/>
            <w:gridSpan w:val="3"/>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5"/>
        </w:trPr>
        <w:tc>
          <w:tcPr>
            <w:tcW w:w="1160" w:type="dxa"/>
            <w:vAlign w:val="bottom"/>
            <w:tcBorders>
              <w:top w:val="single" w:sz="8" w:color="0000EE"/>
            </w:tcBorders>
          </w:tcPr>
          <w:p>
            <w:pPr>
              <w:spacing w:after="0"/>
              <w:rPr>
                <w:sz w:val="24"/>
                <w:szCs w:val="24"/>
                <w:color w:val="auto"/>
              </w:rPr>
            </w:pPr>
          </w:p>
        </w:tc>
        <w:tc>
          <w:tcPr>
            <w:tcW w:w="7160" w:type="dxa"/>
            <w:vAlign w:val="bottom"/>
            <w:gridSpan w:val="5"/>
          </w:tcPr>
          <w:p>
            <w:pPr>
              <w:jc w:val="center"/>
              <w:ind w:left="1877"/>
              <w:spacing w:after="0"/>
              <w:rPr>
                <w:sz w:val="20"/>
                <w:szCs w:val="20"/>
                <w:color w:val="auto"/>
              </w:rPr>
            </w:pPr>
            <w:r>
              <w:rPr>
                <w:rFonts w:ascii="Arial" w:cs="Arial" w:eastAsia="Arial" w:hAnsi="Arial"/>
                <w:sz w:val="16"/>
                <w:szCs w:val="16"/>
                <w:b w:val="1"/>
                <w:bCs w:val="1"/>
                <w:color w:val="auto"/>
                <w:w w:val="91"/>
              </w:rPr>
              <w:t>Gaming and Leisure Properties, Inc. and Subsidiaries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6040" w:type="dxa"/>
            <w:vAlign w:val="bottom"/>
            <w:gridSpan w:val="3"/>
          </w:tcPr>
          <w:p>
            <w:pPr>
              <w:jc w:val="center"/>
              <w:ind w:left="3037"/>
              <w:spacing w:after="0"/>
              <w:rPr>
                <w:sz w:val="20"/>
                <w:szCs w:val="20"/>
                <w:color w:val="auto"/>
              </w:rPr>
            </w:pPr>
            <w:r>
              <w:rPr>
                <w:rFonts w:ascii="Arial" w:cs="Arial" w:eastAsia="Arial" w:hAnsi="Arial"/>
                <w:sz w:val="16"/>
                <w:szCs w:val="16"/>
                <w:b w:val="1"/>
                <w:bCs w:val="1"/>
                <w:color w:val="auto"/>
                <w:w w:val="89"/>
              </w:rPr>
              <w:t>Consolidated Statements of Cash Flows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700" w:type="dxa"/>
            <w:vAlign w:val="bottom"/>
            <w:gridSpan w:val="2"/>
          </w:tcPr>
          <w:p>
            <w:pPr>
              <w:jc w:val="center"/>
              <w:ind w:left="3317"/>
              <w:spacing w:after="0"/>
              <w:rPr>
                <w:sz w:val="20"/>
                <w:szCs w:val="20"/>
                <w:color w:val="auto"/>
              </w:rPr>
            </w:pPr>
            <w:r>
              <w:rPr>
                <w:rFonts w:ascii="Arial" w:cs="Arial" w:eastAsia="Arial" w:hAnsi="Arial"/>
                <w:sz w:val="16"/>
                <w:szCs w:val="16"/>
                <w:b w:val="1"/>
                <w:bCs w:val="1"/>
                <w:color w:val="auto"/>
                <w:w w:val="88"/>
              </w:rPr>
              <w:t>(in thousands)</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7"/>
        </w:trPr>
        <w:tc>
          <w:tcPr>
            <w:tcW w:w="6860" w:type="dxa"/>
            <w:vAlign w:val="bottom"/>
            <w:gridSpan w:val="3"/>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40" w:type="dxa"/>
            <w:vAlign w:val="bottom"/>
          </w:tcPr>
          <w:p>
            <w:pPr>
              <w:spacing w:after="0"/>
              <w:rPr>
                <w:sz w:val="24"/>
                <w:szCs w:val="24"/>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tcBorders>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gridSpan w:val="3"/>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339,516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380,598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289,305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gridSpan w:val="3"/>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148,365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123,835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115,717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w w:val="96"/>
              </w:rPr>
              <w:t>Amortization of debt issuance costs, bond premiums and original issuance discounts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15,146</w:t>
            </w:r>
          </w:p>
        </w:tc>
        <w:tc>
          <w:tcPr>
            <w:tcW w:w="0" w:type="dxa"/>
            <w:vAlign w:val="bottom"/>
          </w:tcPr>
          <w:p>
            <w:pPr>
              <w:spacing w:after="0"/>
              <w:rPr>
                <w:sz w:val="1"/>
                <w:szCs w:val="1"/>
                <w:color w:val="auto"/>
              </w:rPr>
            </w:pPr>
          </w:p>
        </w:tc>
      </w:tr>
      <w:tr>
        <w:trPr>
          <w:trHeight w:val="243"/>
        </w:trPr>
        <w:tc>
          <w:tcPr>
            <w:tcW w:w="6860" w:type="dxa"/>
            <w:vAlign w:val="bottom"/>
            <w:gridSpan w:val="3"/>
          </w:tcPr>
          <w:p>
            <w:pPr>
              <w:ind w:left="380"/>
              <w:spacing w:after="0"/>
              <w:rPr>
                <w:sz w:val="20"/>
                <w:szCs w:val="20"/>
                <w:color w:val="auto"/>
              </w:rPr>
            </w:pPr>
            <w:r>
              <w:rPr>
                <w:rFonts w:ascii="Arial" w:cs="Arial" w:eastAsia="Arial" w:hAnsi="Arial"/>
                <w:sz w:val="18"/>
                <w:szCs w:val="18"/>
                <w:color w:val="auto"/>
              </w:rPr>
              <w:t>Losses (gains) on dispositions of property</w:t>
            </w:r>
          </w:p>
        </w:tc>
        <w:tc>
          <w:tcPr>
            <w:tcW w:w="3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43"/>
        </w:trPr>
        <w:tc>
          <w:tcPr>
            <w:tcW w:w="6860" w:type="dxa"/>
            <w:vAlign w:val="bottom"/>
            <w:gridSpan w:val="3"/>
          </w:tcPr>
          <w:p>
            <w:pPr>
              <w:ind w:left="38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11,152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15,636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18,312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Straight-line rent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58,673</w:t>
            </w:r>
          </w:p>
        </w:tc>
        <w:tc>
          <w:tcPr>
            <w:tcW w:w="0" w:type="dxa"/>
            <w:vAlign w:val="bottom"/>
          </w:tcPr>
          <w:p>
            <w:pPr>
              <w:spacing w:after="0"/>
              <w:rPr>
                <w:sz w:val="1"/>
                <w:szCs w:val="1"/>
                <w:color w:val="auto"/>
              </w:rPr>
            </w:pPr>
          </w:p>
        </w:tc>
      </w:tr>
      <w:tr>
        <w:trPr>
          <w:trHeight w:val="243"/>
        </w:trPr>
        <w:tc>
          <w:tcPr>
            <w:tcW w:w="6860" w:type="dxa"/>
            <w:vAlign w:val="bottom"/>
            <w:gridSpan w:val="3"/>
          </w:tcPr>
          <w:p>
            <w:pPr>
              <w:ind w:left="380"/>
              <w:spacing w:after="0"/>
              <w:rPr>
                <w:sz w:val="20"/>
                <w:szCs w:val="20"/>
                <w:color w:val="auto"/>
              </w:rPr>
            </w:pPr>
            <w:r>
              <w:rPr>
                <w:rFonts w:ascii="Arial" w:cs="Arial" w:eastAsia="Arial" w:hAnsi="Arial"/>
                <w:sz w:val="18"/>
                <w:szCs w:val="18"/>
                <w:color w:val="auto"/>
              </w:rPr>
              <w:t>Losses on debt extinguishment</w:t>
            </w:r>
          </w:p>
        </w:tc>
        <w:tc>
          <w:tcPr>
            <w:tcW w:w="3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Goodwill impairment charges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(Increase) decrease,</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gridSpan w:val="3"/>
          </w:tcPr>
          <w:p>
            <w:pPr>
              <w:ind w:left="60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7,565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(Decrease), increase</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gridSpan w:val="3"/>
          </w:tcPr>
          <w:p>
            <w:pPr>
              <w:ind w:left="60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0" w:type="dxa"/>
            <w:vAlign w:val="bottom"/>
          </w:tcPr>
          <w:p>
            <w:pPr>
              <w:spacing w:after="0"/>
              <w:rPr>
                <w:sz w:val="1"/>
                <w:szCs w:val="1"/>
                <w:color w:val="auto"/>
              </w:rPr>
            </w:pPr>
          </w:p>
        </w:tc>
      </w:tr>
      <w:tr>
        <w:trPr>
          <w:trHeight w:val="243"/>
        </w:trPr>
        <w:tc>
          <w:tcPr>
            <w:tcW w:w="6860" w:type="dxa"/>
            <w:vAlign w:val="bottom"/>
            <w:gridSpan w:val="3"/>
          </w:tcPr>
          <w:p>
            <w:pPr>
              <w:ind w:left="600"/>
              <w:spacing w:after="0"/>
              <w:rPr>
                <w:sz w:val="20"/>
                <w:szCs w:val="20"/>
                <w:color w:val="auto"/>
              </w:rPr>
            </w:pPr>
            <w:r>
              <w:rPr>
                <w:rFonts w:ascii="Arial" w:cs="Arial" w:eastAsia="Arial" w:hAnsi="Arial"/>
                <w:sz w:val="18"/>
                <w:szCs w:val="18"/>
                <w:color w:val="auto"/>
              </w:rPr>
              <w:t>Accrued interest</w:t>
            </w:r>
          </w:p>
        </w:tc>
        <w:tc>
          <w:tcPr>
            <w:tcW w:w="3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12,020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16,120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Accrued salaries and wages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43"/>
        </w:trPr>
        <w:tc>
          <w:tcPr>
            <w:tcW w:w="6860" w:type="dxa"/>
            <w:vAlign w:val="bottom"/>
            <w:gridSpan w:val="3"/>
          </w:tcPr>
          <w:p>
            <w:pPr>
              <w:ind w:left="600"/>
              <w:spacing w:after="0"/>
              <w:rPr>
                <w:sz w:val="20"/>
                <w:szCs w:val="20"/>
                <w:color w:val="auto"/>
              </w:rPr>
            </w:pPr>
            <w:r>
              <w:rPr>
                <w:rFonts w:ascii="Arial" w:cs="Arial" w:eastAsia="Arial" w:hAnsi="Arial"/>
                <w:sz w:val="18"/>
                <w:szCs w:val="18"/>
                <w:color w:val="auto"/>
              </w:rPr>
              <w:t>Gaming, property and other taxes</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37"/>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654,433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598,711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514,370</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gridSpan w:val="3"/>
          </w:tcPr>
          <w:p>
            <w:pPr>
              <w:ind w:left="180"/>
              <w:spacing w:after="0"/>
              <w:rPr>
                <w:sz w:val="20"/>
                <w:szCs w:val="20"/>
                <w:color w:val="auto"/>
              </w:rPr>
            </w:pPr>
            <w:r>
              <w:rPr>
                <w:rFonts w:ascii="Arial" w:cs="Arial" w:eastAsia="Arial" w:hAnsi="Arial"/>
                <w:sz w:val="18"/>
                <w:szCs w:val="18"/>
                <w:color w:val="auto"/>
              </w:rPr>
              <w:t>Capital project expenditures</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Capital maintenance expenditures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43"/>
        </w:trPr>
        <w:tc>
          <w:tcPr>
            <w:tcW w:w="6860" w:type="dxa"/>
            <w:vAlign w:val="bottom"/>
            <w:gridSpan w:val="3"/>
          </w:tcPr>
          <w:p>
            <w:pPr>
              <w:ind w:left="180"/>
              <w:spacing w:after="0"/>
              <w:rPr>
                <w:sz w:val="20"/>
                <w:szCs w:val="20"/>
                <w:color w:val="auto"/>
              </w:rPr>
            </w:pPr>
            <w:r>
              <w:rPr>
                <w:rFonts w:ascii="Arial" w:cs="Arial" w:eastAsia="Arial" w:hAnsi="Arial"/>
                <w:sz w:val="18"/>
                <w:szCs w:val="18"/>
                <w:color w:val="auto"/>
              </w:rPr>
              <w:t>Proceeds from sale of property and equipment</w:t>
            </w:r>
          </w:p>
        </w:tc>
        <w:tc>
          <w:tcPr>
            <w:tcW w:w="3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Principal payments on loan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43"/>
        </w:trPr>
        <w:tc>
          <w:tcPr>
            <w:tcW w:w="6860" w:type="dxa"/>
            <w:vAlign w:val="bottom"/>
            <w:gridSpan w:val="3"/>
          </w:tcPr>
          <w:p>
            <w:pPr>
              <w:ind w:left="180"/>
              <w:spacing w:after="0"/>
              <w:rPr>
                <w:sz w:val="20"/>
                <w:szCs w:val="20"/>
                <w:color w:val="auto"/>
              </w:rPr>
            </w:pPr>
            <w:r>
              <w:rPr>
                <w:rFonts w:ascii="Arial" w:cs="Arial" w:eastAsia="Arial" w:hAnsi="Arial"/>
                <w:sz w:val="18"/>
                <w:szCs w:val="18"/>
                <w:color w:val="auto"/>
              </w:rPr>
              <w:t>Acquisition of real estate assets</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(1,243,466)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(83,252)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(3,267,992)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Originations of mortgage loans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(303,684)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gridSpan w:val="3"/>
          </w:tcPr>
          <w:p>
            <w:pPr>
              <w:ind w:left="180"/>
              <w:spacing w:after="0"/>
              <w:rPr>
                <w:sz w:val="20"/>
                <w:szCs w:val="20"/>
                <w:color w:val="auto"/>
              </w:rPr>
            </w:pPr>
            <w:r>
              <w:rPr>
                <w:rFonts w:ascii="Arial" w:cs="Arial" w:eastAsia="Arial" w:hAnsi="Arial"/>
                <w:sz w:val="18"/>
                <w:szCs w:val="18"/>
                <w:color w:val="auto"/>
              </w:rPr>
              <w:t>Collections of principal payments on investment in direct financing lease</w:t>
            </w:r>
          </w:p>
        </w:tc>
        <w:tc>
          <w:tcPr>
            <w:tcW w:w="3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38,459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73,072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48,533</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(1,509,784)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(3,218,616)</w:t>
            </w:r>
          </w:p>
        </w:tc>
        <w:tc>
          <w:tcPr>
            <w:tcW w:w="0" w:type="dxa"/>
            <w:vAlign w:val="bottom"/>
          </w:tcPr>
          <w:p>
            <w:pPr>
              <w:spacing w:after="0"/>
              <w:rPr>
                <w:sz w:val="1"/>
                <w:szCs w:val="1"/>
                <w:color w:val="auto"/>
              </w:rPr>
            </w:pPr>
          </w:p>
        </w:tc>
      </w:tr>
      <w:tr>
        <w:trPr>
          <w:trHeight w:val="237"/>
        </w:trPr>
        <w:tc>
          <w:tcPr>
            <w:tcW w:w="6860" w:type="dxa"/>
            <w:vAlign w:val="bottom"/>
            <w:gridSpan w:val="3"/>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(550,435)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(529,370)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(428,352)</w:t>
            </w:r>
          </w:p>
        </w:tc>
        <w:tc>
          <w:tcPr>
            <w:tcW w:w="0" w:type="dxa"/>
            <w:vAlign w:val="bottom"/>
          </w:tcPr>
          <w:p>
            <w:pPr>
              <w:spacing w:after="0"/>
              <w:rPr>
                <w:sz w:val="1"/>
                <w:szCs w:val="1"/>
                <w:color w:val="auto"/>
              </w:rPr>
            </w:pPr>
          </w:p>
        </w:tc>
      </w:tr>
      <w:tr>
        <w:trPr>
          <w:trHeight w:val="229"/>
        </w:trPr>
        <w:tc>
          <w:tcPr>
            <w:tcW w:w="6860" w:type="dxa"/>
            <w:vAlign w:val="bottom"/>
            <w:gridSpan w:val="3"/>
          </w:tcPr>
          <w:p>
            <w:pPr>
              <w:ind w:left="180"/>
              <w:spacing w:after="0"/>
              <w:rPr>
                <w:sz w:val="20"/>
                <w:szCs w:val="20"/>
                <w:color w:val="auto"/>
              </w:rPr>
            </w:pPr>
            <w:r>
              <w:rPr>
                <w:rFonts w:ascii="Arial" w:cs="Arial" w:eastAsia="Arial" w:hAnsi="Arial"/>
                <w:sz w:val="18"/>
                <w:szCs w:val="18"/>
                <w:color w:val="auto"/>
                <w:w w:val="98"/>
              </w:rPr>
              <w:t>Proceeds from exercise of options, net of taxes paid related to shares withheld for tax</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3"/>
          </w:tcPr>
          <w:p>
            <w:pPr>
              <w:ind w:left="340"/>
              <w:spacing w:after="0"/>
              <w:rPr>
                <w:sz w:val="20"/>
                <w:szCs w:val="20"/>
                <w:color w:val="auto"/>
              </w:rPr>
            </w:pPr>
            <w:r>
              <w:rPr>
                <w:rFonts w:ascii="Arial" w:cs="Arial" w:eastAsia="Arial" w:hAnsi="Arial"/>
                <w:sz w:val="18"/>
                <w:szCs w:val="18"/>
                <w:color w:val="auto"/>
              </w:rPr>
              <w:t>purposes on restricted stock award vestings</w:t>
            </w:r>
          </w:p>
        </w:tc>
        <w:tc>
          <w:tcPr>
            <w:tcW w:w="3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7,537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18,157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113,484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 net of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139,414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870,810</w:t>
            </w:r>
          </w:p>
        </w:tc>
        <w:tc>
          <w:tcPr>
            <w:tcW w:w="0" w:type="dxa"/>
            <w:vAlign w:val="bottom"/>
          </w:tcPr>
          <w:p>
            <w:pPr>
              <w:spacing w:after="0"/>
              <w:rPr>
                <w:sz w:val="1"/>
                <w:szCs w:val="1"/>
                <w:color w:val="auto"/>
              </w:rPr>
            </w:pPr>
          </w:p>
        </w:tc>
      </w:tr>
      <w:tr>
        <w:trPr>
          <w:trHeight w:val="243"/>
        </w:trPr>
        <w:tc>
          <w:tcPr>
            <w:tcW w:w="6860" w:type="dxa"/>
            <w:vAlign w:val="bottom"/>
            <w:gridSpan w:val="3"/>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3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2,593,405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2,552,000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Financing costs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(31,911)</w:t>
            </w:r>
          </w:p>
        </w:tc>
        <w:tc>
          <w:tcPr>
            <w:tcW w:w="0" w:type="dxa"/>
            <w:vAlign w:val="bottom"/>
          </w:tcPr>
          <w:p>
            <w:pPr>
              <w:spacing w:after="0"/>
              <w:rPr>
                <w:sz w:val="1"/>
                <w:szCs w:val="1"/>
                <w:color w:val="auto"/>
              </w:rPr>
            </w:pPr>
          </w:p>
        </w:tc>
      </w:tr>
      <w:tr>
        <w:trPr>
          <w:trHeight w:val="243"/>
        </w:trPr>
        <w:tc>
          <w:tcPr>
            <w:tcW w:w="6860" w:type="dxa"/>
            <w:vAlign w:val="bottom"/>
            <w:gridSpan w:val="3"/>
          </w:tcPr>
          <w:p>
            <w:pPr>
              <w:ind w:left="180"/>
              <w:spacing w:after="0"/>
              <w:rPr>
                <w:sz w:val="20"/>
                <w:szCs w:val="20"/>
                <w:color w:val="auto"/>
              </w:rPr>
            </w:pPr>
            <w:r>
              <w:rPr>
                <w:rFonts w:ascii="Arial" w:cs="Arial" w:eastAsia="Arial" w:hAnsi="Arial"/>
                <w:sz w:val="18"/>
                <w:szCs w:val="18"/>
                <w:color w:val="auto"/>
              </w:rPr>
              <w:t>Repayments of long-term debt</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(1,164,117)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(335,112)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(377,104)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Premium and related costs paid on tender of senior unsecured notes</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852,080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(606,911)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2,698,927</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(5,319)</w:t>
            </w:r>
          </w:p>
        </w:tc>
        <w:tc>
          <w:tcPr>
            <w:tcW w:w="0" w:type="dxa"/>
            <w:vAlign w:val="bottom"/>
          </w:tcPr>
          <w:p>
            <w:pPr>
              <w:spacing w:after="0"/>
              <w:rPr>
                <w:sz w:val="1"/>
                <w:szCs w:val="1"/>
                <w:color w:val="auto"/>
              </w:rPr>
            </w:pP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29,054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36,556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41,875</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25,783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29,054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36,556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60" w:type="dxa"/>
            <w:vAlign w:val="bottom"/>
          </w:tcPr>
          <w:p>
            <w:pPr>
              <w:spacing w:after="0"/>
              <w:rPr>
                <w:sz w:val="18"/>
                <w:szCs w:val="18"/>
                <w:color w:val="auto"/>
              </w:rPr>
            </w:pPr>
          </w:p>
        </w:tc>
        <w:tc>
          <w:tcPr>
            <w:tcW w:w="8500" w:type="dxa"/>
            <w:vAlign w:val="bottom"/>
            <w:gridSpan w:val="7"/>
          </w:tcPr>
          <w:p>
            <w:pPr>
              <w:jc w:val="center"/>
              <w:ind w:left="517"/>
              <w:spacing w:after="0"/>
              <w:rPr>
                <w:sz w:val="20"/>
                <w:szCs w:val="20"/>
                <w:color w:val="auto"/>
              </w:rPr>
            </w:pPr>
            <w:r>
              <w:rPr>
                <w:rFonts w:ascii="Arial" w:cs="Arial" w:eastAsia="Arial" w:hAnsi="Arial"/>
                <w:sz w:val="18"/>
                <w:szCs w:val="18"/>
                <w:color w:val="auto"/>
                <w:w w:val="91"/>
              </w:rPr>
              <w:t>See Note 18 for supplemental cash flow information and noncash investing and financing activities.</w:t>
            </w:r>
          </w:p>
        </w:tc>
        <w:tc>
          <w:tcPr>
            <w:tcW w:w="1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240" w:top="118" w:right="559" w:bottom="1440" w:gutter="0" w:footer="0" w:header="0"/>
        </w:sectPr>
      </w:pPr>
    </w:p>
    <w:p>
      <w:pPr>
        <w:spacing w:after="0" w:line="14"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100"/>
          </w:cols>
          <w:pgMar w:left="240" w:top="118" w:right="559" w:bottom="1440" w:gutter="0" w:footer="0" w:header="0"/>
          <w:type w:val="continuous"/>
        </w:sectPr>
      </w:pPr>
    </w:p>
    <w:bookmarkStart w:id="68" w:name="page69"/>
    <w:bookmarkEnd w:id="6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Gaming and Leisure Properties,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Basis of Presentation</w:t>
      </w:r>
    </w:p>
    <w:p>
      <w:pPr>
        <w:spacing w:after="0" w:line="2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Gaming and Leisure Properties, Inc. ("GLPI") is a self-administered and self-managed Pennsylvania real estate investment trust ("REIT"). GLPI (together with its subsidiaries, the "Company") was incorporated on February 13, 2013, as a wholly-owned subsidiary of Penn National Gaming, Inc.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assets and liabilities of GLPI were recorded at their respective historical carrying values at the time of the Spin-Off in accordance with the provisions of Financial Accounting Standards Board ("FASB") Accounting Standards Codification ("ASC") 505-60 - </w:t>
      </w:r>
      <w:r>
        <w:rPr>
          <w:rFonts w:ascii="Arial" w:cs="Arial" w:eastAsia="Arial" w:hAnsi="Arial"/>
          <w:sz w:val="18"/>
          <w:szCs w:val="18"/>
          <w:i w:val="1"/>
          <w:iCs w:val="1"/>
          <w:color w:val="auto"/>
        </w:rPr>
        <w:t>Spinoffs and</w:t>
      </w:r>
      <w:r>
        <w:rPr>
          <w:rFonts w:ascii="Arial" w:cs="Arial" w:eastAsia="Arial" w:hAnsi="Arial"/>
          <w:sz w:val="18"/>
          <w:szCs w:val="18"/>
          <w:color w:val="auto"/>
        </w:rPr>
        <w:t xml:space="preserve"> </w:t>
      </w:r>
      <w:r>
        <w:rPr>
          <w:rFonts w:ascii="Arial" w:cs="Arial" w:eastAsia="Arial" w:hAnsi="Arial"/>
          <w:sz w:val="18"/>
          <w:szCs w:val="18"/>
          <w:i w:val="1"/>
          <w:iCs w:val="1"/>
          <w:color w:val="auto"/>
        </w:rPr>
        <w:t>Reverse Spinoffs (</w:t>
      </w:r>
      <w:r>
        <w:rPr>
          <w:rFonts w:ascii="Arial" w:cs="Arial" w:eastAsia="Arial" w:hAnsi="Arial"/>
          <w:sz w:val="18"/>
          <w:szCs w:val="18"/>
          <w:color w:val="auto"/>
        </w:rPr>
        <w:t>"ASC 505"</w:t>
      </w:r>
      <w:r>
        <w:rPr>
          <w:rFonts w:ascii="Arial" w:cs="Arial" w:eastAsia="Arial" w:hAnsi="Arial"/>
          <w:sz w:val="18"/>
          <w:szCs w:val="18"/>
          <w:i w:val="1"/>
          <w:iCs w:val="1"/>
          <w:color w:val="auto"/>
        </w:rPr>
        <w:t>).</w:t>
      </w:r>
    </w:p>
    <w:p>
      <w:pPr>
        <w:spacing w:after="0" w:line="19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Company elected on its United States ("U.S.") federal income tax return for its taxable year that began on January 1, 2014 to be treated as a REIT and GLPI, together with an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 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w:t>
      </w:r>
    </w:p>
    <w:p>
      <w:pPr>
        <w:spacing w:after="0" w:line="17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As a result of the Spin-Off, GLPI owns substantially all of Penn’s former real property assets and leases back most of those assets to Penn for use by its subsidiaries, under a unitary master lease, a triple-net operating lease with an initial term of 15 years (expiring October 31, 2028) with no purchase option, followed by four 5-year renewal options (exercisable by Penn) on the same terms and conditions (the "Penn Master Lease"), and GLPI also owns and operates the TRS Properties through an indirect wholly-owned subsidiary, GLP Holdings, Inc. In April 2016, the Company acquired substantially all of the real estate assets of Pinnacle Entertainment, Inc. ("Pinnacle") for approximately $4.8 billion. GLPI originally leased these assets back to Pinnacle, under a unitary triple-net lease with an initial term of 10 years (expiring April 30, 2026) with no purchase option, followed by five 5-year renewal options (exercisable by Pinnacle) on the same terms and conditions (the "Pinnacle Master Lease"). On October 15, 2018, the Company completed its previously announced transactions with Penn, Pinnacle and Boyd Gaming Corporation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for these properties on terms similar to the Company’s existing master leases.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See Note 4 for further details surrounding the original Pinnacle acquisition and the subsequent acquisition of Pinnacle by Penn.</w:t>
      </w:r>
    </w:p>
    <w:p>
      <w:pPr>
        <w:spacing w:after="0" w:line="17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GLPI’s primary business consists of acquiring, financing, and owning real estate property to be leased to gaming operators in triple-net lease arrangements. As of December 31, 2018, GLPI’s portfolio consisted of interests in 46 gaming and related facilities, including the TRS Properties, the real property associated with 33 gaming and related facilities operated by Penn, the real property associated with 6 gaming and related facilities operated by Eldorado (including one mortgaged facility), the real property associated with 4 gaming and related facilities operated by Boyd (including one mortgaged facility) and the real property associated with the Casino Queen in East St. Louis, Illinois. These facilities are geographically diversified across 16 states and contain approximately 23.5 million square feet. As of December 31, 2018, the Company's properties were 100% occupied.</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GLPI expects to grow its portfolio by pursuing opportunities to acquire additional gaming facilities to lease to gaming operators under prudent terms. In addition to the acquisition of Plainridge Park described above, on October 1, 2018,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30"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Company closed its previously announced transaction to acquire certain real property assets from Tropicana Entertainment Inc. (“Tropicana”) and certain of its affiliates pursuant to a Purchase and Sale Agreement (the “Real Estate Purchase Agreement”) dated April 15, 2018 between Tropicana and GLP Capital L.P., the operating partnership of GLPI (“GLP Capital”),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("Eldorado") acquired the operating assets of these properties from Tropicana pursuant to an Agreement and Plan of Merger dated April 15, 2018 by and among Tropicana, GLP Capital, Eldorado and a wholly-owned subsidiary of Eldorado (the "Tropicana Merger Agreement") and leased the GLP Assets from the Company pursuant to the terms of a new unitary triple-net master lease with a 15-year initial term, with no purchase option followed by four successive 5 -year renewal periods (exercisable by Eldorado) on the same terms and conditions (the “Eldorado Master Lease”). Additionally, on October 1, 2018 the Company made a mortgage loan to Eldorado in the amount of $246.0 million in connection with Eldorado’s acquisition of Lumière Place (together with the Tropicana Acquisition the "Tropicana Transactions").</w:t>
      </w:r>
    </w:p>
    <w:p>
      <w:pPr>
        <w:spacing w:after="0" w:line="8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GLPI and its subsidiaries. All intercompany accounts and transactions have been eliminated in consolidation.</w:t>
      </w:r>
    </w:p>
    <w:p>
      <w:pPr>
        <w:spacing w:after="0" w:line="8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may differ from those estimates.</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In May 2017, the Financial Accounting Standards Board ("FASB") issued ASU No. 2017-09, </w:t>
      </w:r>
      <w:r>
        <w:rPr>
          <w:rFonts w:ascii="Arial" w:cs="Arial" w:eastAsia="Arial" w:hAnsi="Arial"/>
          <w:sz w:val="16"/>
          <w:szCs w:val="16"/>
          <w:i w:val="1"/>
          <w:iCs w:val="1"/>
          <w:color w:val="auto"/>
        </w:rPr>
        <w:t>Compensation - Stock Compensation (Topic 718):</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Scope of Modification Accounting </w:t>
      </w:r>
      <w:r>
        <w:rPr>
          <w:rFonts w:ascii="Arial" w:cs="Arial" w:eastAsia="Arial" w:hAnsi="Arial"/>
          <w:sz w:val="16"/>
          <w:szCs w:val="16"/>
          <w:color w:val="auto"/>
        </w:rPr>
        <w:t>("ASU 2017-09"). This ASU provides clarity about which changes to the terms or conditions of a share-based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award require the application of modification accounting. Specifically, ASU 2017-09 clarifies that changes to the terms or conditions of an award should be accounted for as a modification unless all of the following are met: 1) the fair value of the modified award is the same as the fair value of the original award immediately before the original award is modified, 2) the vesting conditions of the modified award are the same as the vesting conditions of the original award immediately before the original award is modified and 3) the classification of the modified award as an equity instrument or a liability instrument is the same as the classification of the original award immediately before the original award is modified. ASU 2017-09 is effective for annual reporting periods beginning after December 15, 2017. The Company adopted ASU 2017-09 on January 1, 2018 and does not expect ASU 2017-09 to significantly impact its accounting for share-based payment awards, as changes to awards' terms and conditions subsequent to the grant date are unusual and infrequent in nature.</w:t>
      </w:r>
    </w:p>
    <w:p>
      <w:pPr>
        <w:spacing w:after="0" w:line="167"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6"/>
          <w:szCs w:val="16"/>
          <w:color w:val="auto"/>
        </w:rPr>
        <w:t xml:space="preserve">In January 2017, the FASB issued ASU No.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("ASU 2017-01"). This ASU provides clarifying guidance on what constitutes a business acquisition versus an asset acquisition. Specifically, the new guidance lays out a screen to more easily determine if a set of integrated assets and activities does in fact represent a business. Under the ASU 2017-01, when substantially all of the fair value of the gross assets acquired is concentrated in a single identifiable asset or group of similar identifiable assets, the assets do not represent a business.</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ASU 2017-01 is effective for annual reporting periods beginning after December 15, 2017. The Company adopted ASU 2017-01 on January 1, 2018 with no impact to the Company's accounting treatment of its acquisitions.</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a Consensus of the FASB Emerging Issues Task Force </w:t>
      </w:r>
      <w:r>
        <w:rPr>
          <w:rFonts w:ascii="Arial" w:cs="Arial" w:eastAsia="Arial" w:hAnsi="Arial"/>
          <w:sz w:val="18"/>
          <w:szCs w:val="18"/>
          <w:color w:val="auto"/>
        </w:rPr>
        <w:t>("ASU 2016-15")</w:t>
      </w:r>
      <w:r>
        <w:rPr>
          <w:rFonts w:ascii="Arial" w:cs="Arial" w:eastAsia="Arial" w:hAnsi="Arial"/>
          <w:sz w:val="18"/>
          <w:szCs w:val="18"/>
          <w:i w:val="1"/>
          <w:iCs w:val="1"/>
          <w:color w:val="auto"/>
        </w:rPr>
        <w:t xml:space="preserve">. </w:t>
      </w:r>
      <w:r>
        <w:rPr>
          <w:rFonts w:ascii="Arial" w:cs="Arial" w:eastAsia="Arial" w:hAnsi="Arial"/>
          <w:sz w:val="18"/>
          <w:szCs w:val="18"/>
          <w:color w:val="auto"/>
        </w:rPr>
        <w:t>This ASU provides clarifying guidance on the presentation of certain cash</w:t>
      </w:r>
      <w:r>
        <w:rPr>
          <w:rFonts w:ascii="Arial" w:cs="Arial" w:eastAsia="Arial" w:hAnsi="Arial"/>
          <w:sz w:val="18"/>
          <w:szCs w:val="18"/>
          <w:i w:val="1"/>
          <w:iCs w:val="1"/>
          <w:color w:val="auto"/>
        </w:rPr>
        <w:t xml:space="preserve"> </w:t>
      </w:r>
      <w:r>
        <w:rPr>
          <w:rFonts w:ascii="Arial" w:cs="Arial" w:eastAsia="Arial" w:hAnsi="Arial"/>
          <w:sz w:val="18"/>
          <w:szCs w:val="18"/>
          <w:color w:val="auto"/>
        </w:rPr>
        <w:t>receipts and cash payments in the statement of cash flows. ASU 2016-15 is effective for annual reporting periods beginning after December 15, 2017. The Company adopted ASU 2016-15 on January 1, 2018, with no impact to its presentation of cash receipts and payments on its consolidated statements of cash flows.</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("ASU 2014-09"). This new standard replaces all preceding U.S. GAAP guidance on this topic and eliminates all industry-specific guidance. ASU 2014-09 provides a unified five-step model to determine when and how revenue is recognized. The core principle is that a company should recognize revenue to depict the transfer of promised goods or services to customers in an amount that reflects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30" w:right="25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the consideration for which the entity expects to be entitled in exchange for those goods or services. The Company adopted ASU 2014-09 on January 1, 2018 using the modified retrospective approach and recorded a cumulative adjustment to retained earnings of approximately $410,000 at the adoption date.</w:t>
      </w:r>
    </w:p>
    <w:p>
      <w:pPr>
        <w:spacing w:after="0" w:line="124"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The majority of the Company's revenue recognition policies were not impacted by the new revenue standard, as leases (the source of the Company's majority of revenues) are excluded from ASU 2014-09. Only the accounting treatment for the customer loyalty programs at the TRS properties was impacted by the adoption of ASU 2014-09. See Note 12 for further details on the adoption impact of ASU 2014-09 at the TRS Properties.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 - Goodwill and Other - Internal 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Implementation Costs Incurred in a Cloud Computing Arrangement that is a Service Contract (a consensus of the FASB Emerging Issues Task Force</w:t>
      </w:r>
      <w:r>
        <w:rPr>
          <w:rFonts w:ascii="Arial" w:cs="Arial" w:eastAsia="Arial" w:hAnsi="Arial"/>
          <w:sz w:val="16"/>
          <w:szCs w:val="16"/>
          <w:color w:val="auto"/>
        </w:rPr>
        <w:t>) ("ASU 2018-15"). This ASU clarifies that entities should follow the guidance for capitalizing implementation costs incurred to develop or obtain</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internal-use software to account for implementation costs of cloud computing arrangements that are service contracts. ASU 2018-15 does not change the accounting for the service component of a cloud computing arrangement. ASU 2018-15 is effective for fiscal years beginning after December 15, 2019, with early adoption permitted. The Company does not expect the adoption of ASU 2018-15 to have a significant impact on its consolidated financial statements.</w:t>
      </w:r>
    </w:p>
    <w:p>
      <w:pPr>
        <w:spacing w:after="0" w:line="16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xml:space="preserve"> ("ASU 2017-04"). This ASU simplifies an entity's goodwill impairment test by eliminating Step 2 from the test. The new guidance also amends the definition of impairment to a condition that exists when the carrying amount of goodwill exceeds its fair value. By eliminating Step 2 from the test, entities are no longer required to determine the implied fair value of goodwill by computing the fair value (at impairment testing date) of all assets and liabilities in a manner similar to that required in conjunction with business combinations. Upon the adoption of ASU 2017-04, an impairment charge is simply recorded as the difference between carrying value and fair value, when carrying value exceeds fair value. ASU 2017-04 is effective for annual reporting periods beginning after December 15, 2019 and early adoption is permitted. The Company expects the adoption of ASU 2017-04 to simplify the analysis required under the goodwill impairment test.</w:t>
      </w:r>
    </w:p>
    <w:p>
      <w:pPr>
        <w:spacing w:after="0" w:line="192"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 </w:t>
      </w:r>
      <w:r>
        <w:rPr>
          <w:rFonts w:ascii="Arial" w:cs="Arial" w:eastAsia="Arial" w:hAnsi="Arial"/>
          <w:sz w:val="18"/>
          <w:szCs w:val="18"/>
          <w:color w:val="auto"/>
        </w:rPr>
        <w:t>("ASU 2016-13"). This ASU introduces a new model for estimating credit losses for certain types of financial instruments, including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loans receivable, amongst other financial instruments. ASU 2016-13 sets forth an "expected credit loss" impairment model to replace the current "incurred loss" method of recognizing credit losses, which is intended to improve financial reporting by requiring timely recording of credit losses on loans and other financial instruments. ASU 2016-13 is effective for fiscal years beginning after December 15, 2019, with early adoption permitted for fiscal years beginning after December 15, 2018. The Company does not expect the adoption of ASU 2016-13 to have a significant impact on its consolidated financial statements.</w:t>
      </w:r>
    </w:p>
    <w:p>
      <w:pPr>
        <w:spacing w:after="0" w:line="18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This ASU primarily provides new guidance for lessees on the accounting treatment of operating leases. Under the new guidance, lessees are required to recognize assets and liabilities arising from operating leases on the balance sheet. ASU 2016-02 also aligns lessor accounting with the revenue recognition guidance in Topic 606 of the Accounting Standards Codification. Generally speaking, ASU 2016-02 will more significantly impact the accounting for leases in which GLPI is the lessee by requiring the Company to record a right of use asset and lease liability on its consolidated balance sheets for these leases. The Company's accounting treatment of its triple-net tenant leases, which are the primary source of revenues to the Company is not significantly impacted by the adoption of ASU 2016-02, other than to eliminate the real estate tax gross-up discussed below.</w:t>
      </w:r>
    </w:p>
    <w:p>
      <w:pPr>
        <w:spacing w:after="0" w:line="18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ASU 2016-02 is effective for annual reporting periods beginning after December 15, 2018 and was originally required to be adopted on a modified retrospective basis, meaning the new leasing model would need to be applied to the earliest year presented in the financial statements and thereafter. However, in July 2018, the FASB issued ASU No.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xml:space="preserve"> ("ASU 2018-11") which permits companies to apply the transition provisions of the lease accounting standard at its effective date (i.e. comparative financial statements are not required). Furthermore, in December 2018, the FASB issued ASU No. 2018-20, </w:t>
      </w:r>
      <w:r>
        <w:rPr>
          <w:rFonts w:ascii="Arial" w:cs="Arial" w:eastAsia="Arial" w:hAnsi="Arial"/>
          <w:sz w:val="16"/>
          <w:szCs w:val="16"/>
          <w:i w:val="1"/>
          <w:iCs w:val="1"/>
          <w:color w:val="auto"/>
        </w:rPr>
        <w:t>Leases (Topic 842): Narrow Scope Improvements for Lessors</w:t>
      </w:r>
      <w:r>
        <w:rPr>
          <w:rFonts w:ascii="Arial" w:cs="Arial" w:eastAsia="Arial" w:hAnsi="Arial"/>
          <w:sz w:val="16"/>
          <w:szCs w:val="16"/>
          <w:color w:val="auto"/>
        </w:rPr>
        <w:t xml:space="preserve"> ("ASU 2018-20"). ASU 2018-20 clarifies that lessor costs paid directly to a third-party by a lessee on behalf of the lessor, are no longer required to be recognized in the lessor's financial statements. Therefore, upon the adoption of ASU 2016-02, the Company will no longer gross-up its financial statements for real estate taxes paid directly to third-parties by its tenants. The Company notes, however, that ground leases for which the tenant pays the landlord directly on the Company's behalf are still required to be grossed-up within its consolidated financial statements upon the adoption of ASU 2016-02 as these are not considered lessor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30"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costs. On January 1, 2019, the Company prospectively adopted ASU 2016-02 using the new transition option available under ASU 2018-11 and recorded a right-of-use asset and related lease liability of approximately $180 million on its consolidated balance sheet to represent its future lease obligations.</w:t>
      </w:r>
    </w:p>
    <w:p>
      <w:pPr>
        <w:spacing w:after="0" w:line="120" w:lineRule="exact"/>
        <w:rPr>
          <w:sz w:val="20"/>
          <w:szCs w:val="20"/>
          <w:color w:val="auto"/>
        </w:rPr>
      </w:pPr>
    </w:p>
    <w:p>
      <w:pPr>
        <w:ind w:right="7840" w:firstLine="8"/>
        <w:spacing w:after="0" w:line="485" w:lineRule="auto"/>
        <w:tabs>
          <w:tab w:leader="none" w:pos="189"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Cash and Cash Equivalents</w:t>
      </w:r>
    </w:p>
    <w:p>
      <w:pPr>
        <w:spacing w:after="0" w:line="4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Company considers all cash balances and highly-liquid investments with original maturities of three months or less to be cash and cash equivalents.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83" w:lineRule="exact"/>
        <w:rPr>
          <w:sz w:val="20"/>
          <w:szCs w:val="20"/>
          <w:color w:val="auto"/>
        </w:rPr>
      </w:pPr>
    </w:p>
    <w:p>
      <w:pPr>
        <w:ind w:right="40" w:firstLine="567"/>
        <w:spacing w:after="0" w:line="286" w:lineRule="auto"/>
        <w:rPr>
          <w:sz w:val="20"/>
          <w:szCs w:val="20"/>
          <w:color w:val="auto"/>
        </w:rPr>
      </w:pPr>
      <w:r>
        <w:rPr>
          <w:rFonts w:ascii="Arial" w:cs="Arial" w:eastAsia="Arial" w:hAnsi="Arial"/>
          <w:sz w:val="16"/>
          <w:szCs w:val="16"/>
          <w:color w:val="auto"/>
        </w:rPr>
        <w:t>Concentrations of credit risk arise when a number of operators, tenants, or obligors related to the Company's investments are engaged in similar business activities, or activities in the same geographic region, or have similar economic features that would cause their ability to meet contractual obligations, including those to the Company, to be similarly affected by changes in economic conditions. Additionally, concentrations of credit risk may arise when revenues of the Company are derived from a small number of tenants. As of December 31, 2018, substantially all of the Company's real estate properties were leased to Penn, Eldorado and Boyd. During the year ended December 31, 2018, approximately 93% of the Company's collective income from real estate (excluding real estate taxes and ground leases paid by tenants) was derived from tenant leases with Penn and its acquiree Pinnacle, whereas approximately 3% and 2% of the Company's collective income from real estate (excluding real estate taxes and ground leases paid by tenants) was derived from tenant leases and mortgage loans with Eldorado and Boyd, respectively. Figures for Eldorado and Boyd represent partial years of revenue as both leases commenced in the fourth quarter of 2018. Revenues from our tenants are reported in the Company's GLP Capital, L.P. reportable segment. Penn, Eldorado and Boyd are publicly traded companies that are subject to the informational filing requirements of the Securities Exchange Act of 1934, as amended, and are required to file periodic reports on Form 10-K and Form 10-Q and current reports on Form 8-K with the Securities and Exchange Commission ("SEC"). Readers are directed to Penn, Eldorado and Boyd's respective websites for further financial information on these companies. Other than the Company's tenant concentration, management believes the Company's portfolio was reasonably diversified by geographical location and did not contain any other significant concentrations of credit risk. As of December 31, 2018, the Company's portfolio of 46 properties is diversified by location across 16 states.</w:t>
      </w:r>
    </w:p>
    <w:p>
      <w:pPr>
        <w:spacing w:after="0" w:line="22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Financial instruments that subject the Company to credit risk consist of cash and cash equivalents, accounts receivable, mortgage loans receivable and loans receivable.</w:t>
      </w:r>
    </w:p>
    <w:p>
      <w:pPr>
        <w:spacing w:after="0" w:line="224"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Company's policy is to limit the amount of credit exposure to any one financial institution and place investments with financial institutions evaluated as being creditworthy, or in short-term money market and tax-free bond funds which are exposed to minimal interest rate and credit risk. At times, the Company has bank deposits and overnight repurchase agreements that exceed federally-insured limits.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 Assets</w:t>
      </w:r>
    </w:p>
    <w:p>
      <w:pPr>
        <w:spacing w:after="0" w:line="283"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Prepaid expenses consist of expenditures for goods (other than inventories) or services before the goods are used or the services are received. These amounts are deferred and charged to operations as the benefits are realized and primarily consist of prepayments for insurance and other contracts that will be expensed during the subsequent year. It also includes property taxes that were paid in advance, as well as transaction costs that will be allocated to purchase price upon the closing of an asset acquisition. Other assets consists primarily of accounts receivable, deposits, food and beverage inventory and deferred compensation plan assets (See Note 11 for further details on the deferred compensation plan).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Assets and Liabilities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Fair value is defined as the price that would be received to sell an asset or transfer a liability in an orderly transaction between market participants at the measurement date. Assets and liabilities recorded at fair value are classified based upon the level of judgment associated with the inputs used to measure their fair value. ASC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establishes a hierarchy that prioritizes fair value measurements based on the types of inputs used for the various valuation techniques (market approach, income approach, and cost approach). The levels of the hierarchy related to the subjectivity of the valuation inputs are described below:</w:t>
      </w:r>
    </w:p>
    <w:p>
      <w:pPr>
        <w:spacing w:after="0" w:line="188" w:lineRule="exact"/>
        <w:rPr>
          <w:sz w:val="20"/>
          <w:szCs w:val="20"/>
          <w:color w:val="auto"/>
        </w:rPr>
      </w:pPr>
    </w:p>
    <w:p>
      <w:pPr>
        <w:ind w:left="5620" w:right="3620" w:hanging="5288"/>
        <w:spacing w:after="0" w:line="810" w:lineRule="auto"/>
        <w:tabs>
          <w:tab w:leader="none" w:pos="6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 for identical assets or liabilities. 71</w:t>
      </w:r>
    </w:p>
    <w:p>
      <w:pPr>
        <w:sectPr>
          <w:pgSz w:w="11900" w:h="16838" w:orient="portrait"/>
          <w:cols w:equalWidth="0" w:num="1">
            <w:col w:w="11420"/>
          </w:cols>
          <w:pgMar w:left="240" w:top="130"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right="460" w:hanging="328"/>
        <w:spacing w:after="0" w:line="34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3: Unobservable inputs that reflect the reporting entity's own assumptions, as there is little, if any, related market activity.</w:t>
      </w:r>
    </w:p>
    <w:p>
      <w:pPr>
        <w:spacing w:after="0" w:line="225" w:lineRule="exact"/>
        <w:rPr>
          <w:sz w:val="20"/>
          <w:szCs w:val="20"/>
          <w:color w:val="auto"/>
        </w:rPr>
      </w:pPr>
    </w:p>
    <w:p>
      <w:pPr>
        <w:ind w:right="420" w:firstLine="357"/>
        <w:spacing w:after="0" w:line="277" w:lineRule="auto"/>
        <w:rPr>
          <w:sz w:val="20"/>
          <w:szCs w:val="20"/>
          <w:color w:val="auto"/>
        </w:rPr>
      </w:pPr>
      <w:r>
        <w:rPr>
          <w:rFonts w:ascii="Arial" w:cs="Arial" w:eastAsia="Arial" w:hAnsi="Arial"/>
          <w:sz w:val="18"/>
          <w:szCs w:val="18"/>
          <w:color w:val="auto"/>
        </w:rPr>
        <w:t>The Company's assessment of the significance of a particular input to the fair value measurement requires judgment and may affect the valuation of assets and liabilities and their placement within the fair value hierarchy.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practicable to estimate: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fair value of the Company’s cash and cash equivalents approximates the carrying value of the Company’s cash and cash equivalents, due to the short maturity of the cash equivalents.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Compensation Plan Assets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Company's deferred compensation plan assets consist of open-ended mutual funds and as such the fair value measurement of the assets is considered a Level 1 measurement as defined under ASC 820. Deferred compensation plan assets are included within other assets on the consolidated balance sheets.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Mortgage Loans Receivable</w:t>
      </w:r>
    </w:p>
    <w:p>
      <w:pPr>
        <w:spacing w:after="0" w:line="22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The fair value of the mortgage loans receivable approximates the carrying value of the Company's mortgage loans receivable, as collection on the outstanding loan balances is reasonably assured. The fair value measurement of the loan receivable is considered a Level 3 measurement as defined under ASC 820.</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fair value of the senior unsecured notes and senior unsecured credit facility is estimated based on quoted prices in active markets and as such is a Level 1 measurement as defined under ASC 820.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the Company’s financial instruments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2018</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2017</w:t>
            </w:r>
          </w:p>
        </w:tc>
        <w:tc>
          <w:tcPr>
            <w:tcW w:w="92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Carrying</w:t>
            </w:r>
          </w:p>
        </w:tc>
        <w:tc>
          <w:tcPr>
            <w:tcW w:w="540" w:type="dxa"/>
            <w:vAlign w:val="bottom"/>
          </w:tcPr>
          <w:p>
            <w:pPr>
              <w:spacing w:after="0"/>
              <w:rPr>
                <w:sz w:val="13"/>
                <w:szCs w:val="13"/>
                <w:color w:val="auto"/>
              </w:rPr>
            </w:pPr>
          </w:p>
        </w:tc>
        <w:tc>
          <w:tcPr>
            <w:tcW w:w="1040" w:type="dxa"/>
            <w:vAlign w:val="bottom"/>
            <w:gridSpan w:val="2"/>
          </w:tcPr>
          <w:p>
            <w:pPr>
              <w:jc w:val="center"/>
              <w:ind w:right="62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560" w:type="dxa"/>
            <w:vAlign w:val="bottom"/>
          </w:tcPr>
          <w:p>
            <w:pPr>
              <w:spacing w:after="0"/>
              <w:rPr>
                <w:sz w:val="13"/>
                <w:szCs w:val="13"/>
                <w:color w:val="auto"/>
              </w:rPr>
            </w:pPr>
          </w:p>
        </w:tc>
        <w:tc>
          <w:tcPr>
            <w:tcW w:w="920" w:type="dxa"/>
            <w:vAlign w:val="bottom"/>
          </w:tcPr>
          <w:p>
            <w:pPr>
              <w:jc w:val="right"/>
              <w:ind w:right="515"/>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540" w:type="dxa"/>
            <w:vAlign w:val="bottom"/>
          </w:tcPr>
          <w:p>
            <w:pPr>
              <w:spacing w:after="0"/>
              <w:rPr>
                <w:sz w:val="16"/>
                <w:szCs w:val="16"/>
                <w:color w:val="auto"/>
              </w:rPr>
            </w:pPr>
          </w:p>
        </w:tc>
        <w:tc>
          <w:tcPr>
            <w:tcW w:w="10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Pr>
          <w:p>
            <w:pPr>
              <w:spacing w:after="0"/>
              <w:rPr>
                <w:sz w:val="16"/>
                <w:szCs w:val="16"/>
                <w:color w:val="auto"/>
              </w:rPr>
            </w:pPr>
          </w:p>
        </w:tc>
        <w:tc>
          <w:tcPr>
            <w:tcW w:w="920" w:type="dxa"/>
            <w:vAlign w:val="bottom"/>
          </w:tcPr>
          <w:p>
            <w:pPr>
              <w:jc w:val="right"/>
              <w:ind w:right="475"/>
              <w:spacing w:after="0"/>
              <w:rPr>
                <w:sz w:val="20"/>
                <w:szCs w:val="20"/>
                <w:color w:val="auto"/>
              </w:rPr>
            </w:pPr>
            <w:r>
              <w:rPr>
                <w:rFonts w:ascii="Arial" w:cs="Arial" w:eastAsia="Arial" w:hAnsi="Arial"/>
                <w:sz w:val="14"/>
                <w:szCs w:val="14"/>
                <w:b w:val="1"/>
                <w:bCs w:val="1"/>
                <w:color w:val="auto"/>
                <w:w w:val="90"/>
              </w:rPr>
              <w:t>Value</w:t>
            </w: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25,783</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25,783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29,054</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29,054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compensation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22,709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22,709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22,617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22,617</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Mortgage loans receivable</w:t>
            </w:r>
          </w:p>
        </w:tc>
        <w:tc>
          <w:tcPr>
            <w:tcW w:w="28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303,684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303,684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unsecured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927,000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909,308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1,055,000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1,045,600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Senior unsecured notes</w:t>
            </w:r>
          </w:p>
        </w:tc>
        <w:tc>
          <w:tcPr>
            <w:tcW w:w="28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4,975,000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4,958,455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3,425,000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w w:val="99"/>
              </w:rPr>
              <w:t>3,574,688</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4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Certain assets and liabilities are measured at fair value on a nonrecurring basis in periods subsequent to initial recognition. Assets measured at fair value on a nonrecurring basis during the year ended December 31, 2018 are categorized in the table below based upon the lowest level of significant input to the valuation. There were no assets measured at fair value on a nonrecurring basis during the year ended December 31, 2017 or liabilities measured at fair value on a nonrecurring basis during the years ended December 31, 2018 and 2017.</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30"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Total Impairment Charges Recorded</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3</w:t>
            </w:r>
          </w:p>
        </w:tc>
        <w:tc>
          <w:tcPr>
            <w:tcW w:w="23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during the Year Ended December 31,</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95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(in thousands)</w:t>
            </w:r>
          </w:p>
        </w:tc>
        <w:tc>
          <w:tcPr>
            <w:tcW w:w="5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16,067</w:t>
            </w:r>
          </w:p>
        </w:tc>
        <w:tc>
          <w:tcPr>
            <w:tcW w:w="120" w:type="dxa"/>
            <w:vAlign w:val="bottom"/>
          </w:tcPr>
          <w:p>
            <w:pPr>
              <w:spacing w:after="0"/>
              <w:rPr>
                <w:sz w:val="21"/>
                <w:szCs w:val="21"/>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59,454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 receivable</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13,000</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57"/>
        </w:trPr>
        <w:tc>
          <w:tcPr>
            <w:tcW w:w="5500" w:type="dxa"/>
            <w:vAlign w:val="bottom"/>
          </w:tcPr>
          <w:p>
            <w:pPr>
              <w:ind w:left="20"/>
              <w:spacing w:after="0"/>
              <w:rPr>
                <w:sz w:val="20"/>
                <w:szCs w:val="20"/>
                <w:color w:val="auto"/>
              </w:rPr>
            </w:pPr>
            <w:r>
              <w:rPr>
                <w:rFonts w:ascii="Arial" w:cs="Arial" w:eastAsia="Arial" w:hAnsi="Arial"/>
                <w:sz w:val="18"/>
                <w:szCs w:val="18"/>
                <w:color w:val="auto"/>
              </w:rPr>
              <w:t>Total assets measured at fair value on a nonrecurring basis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29,067</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60,954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During the year ended December 31, 2018, the Company recorded goodwill impairment charges of $59.5 million on its Baton Rouge reporting unit, resulting from a significant reduction in the long-term earnings forecast of this property. The Company utilized the income approach to measure the fair value of goodwill, which involves a number of key assumptions, such as cash flow forecasts and discount rates. See Note 9 for additional information regarding the calculation of the impairment charge.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 Receivable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During the fourth quarter of 2018, the Company recorded an impairment charge of $1.5 million related to the paid-in-kind interest income on its loan receivable with Casino Queen. The Company determined, based upon facts and circumstances existing at December 31, 2018, that the paid-in-kind interest due to the Company at December 31, 2018 is not expected to be collected. Therefore, the Company did not recognize the paid-in-kind interest income due to the Company for the quarter ended December 31, 2018 and took a charge for the previously recognized paid-in-kind interest income through the Company’s consolidated statement of earnings as a reversal of the paid-in-kind interest income recognized earlier in the year. See Note 8 for further details surrounding the Casino Queen loan.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Investments</w:t>
      </w:r>
    </w:p>
    <w:p>
      <w:pPr>
        <w:spacing w:after="0" w:line="283"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Real estate investments primarily represent land and buildings leased to the Company's tenants. The Company records the acquisition of real estate assets at fair value, including acquisition and closing costs. The cost of properties developed by the Company include costs of construction, property taxes, interest and other miscellaneous costs incurred during the development period until the project is substantially complete and available for occupancy. The Company considers the period of future benefit of the asset to determine the appropriate useful lives. Depreciation is computed using a straight-line method over the estimated useful lives of the buildings and building improvements which are generally between 10 to 31 years.</w:t>
      </w:r>
    </w:p>
    <w:p>
      <w:pPr>
        <w:spacing w:after="0" w:line="21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continually monitors events and circumstances that could indicate that the carrying amount of its real estate investments may not be recoverable or realized. When indicators of potential impairment suggest that the carrying value of a real estate investment may not be recoverable, the Company estimates the fair value of the investment by calculating the undiscounted future cash flows from the use and eventual disposition of the investment. This amount is compared to the asset's carrying value. If the Company determines the carrying amount is not recoverable, it would recognize an impairment charge equivalent to the amount required to reduce the carrying value of the asset to its estimated fair value, calculated in accordance with GAAP. The Company groups its real estate investments together by lease, the lowest level for which identifiable cash flows are available, in evaluating impairment. In assessing the recoverability of the carrying value, the Company must make assumptions regarding future cash flows and other factors. The factors considered by the Company in performing this assessment include current operating results, market and other applicable trends and residual values, as well as the effect of obsolescence, demand, competition and other factors. If these estimates or the related assumptions change in the future, the Company may be required to record an impairment loss.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Rights</w:t>
      </w:r>
    </w:p>
    <w:p>
      <w:pPr>
        <w:spacing w:after="0" w:line="28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Land rights represent the Company's rights to land subject to long-term ground leases. The Company records land rights at the acquisition date fair value of the long-term rights purchased from sellers. Essentially, land rights represent the below market value of the related ground leases. Land rights are amortized over the individual lease term of each ground lease, including all renewal options. Amortization expense related to the land rights is recorded within land rights and ground lease expense in the Company's consolidated statements of income. Land rights are monitored for potential impairment in much the same way as the Company's real estate assets. If the Company determines the carrying amount of a land right is not recoverable, it would recognize an impairment charge equivalent to the amount required to reduce the carrying value of the asset to its estimated fair value, calculated in accordance with GAAP.</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30" w:right="25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Used in Operations</w:t>
      </w:r>
    </w:p>
    <w:p>
      <w:pPr>
        <w:spacing w:after="0" w:line="283"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Property and equipment are stated at cost, less accumulated depreciation and represent assets used by the Company's TRS operations and certain corporate assets. Maintenance and repairs that neither add materially to the value of the asset nor appreciably prolong its useful life are charged to expense as incurred. Gains or losses on the disposal of property and equipment are included in the determination of income.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of property and equipment is recorded using the straight-line method over the following estimated useful lives: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improvements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years</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Building and improvements</w:t>
            </w:r>
          </w:p>
        </w:tc>
        <w:tc>
          <w:tcPr>
            <w:tcW w:w="2140" w:type="dxa"/>
            <w:vAlign w:val="bottom"/>
          </w:tcPr>
          <w:p>
            <w:pPr>
              <w:jc w:val="right"/>
              <w:spacing w:after="0"/>
              <w:rPr>
                <w:sz w:val="20"/>
                <w:szCs w:val="20"/>
                <w:color w:val="auto"/>
              </w:rPr>
            </w:pPr>
            <w:r>
              <w:rPr>
                <w:rFonts w:ascii="Arial" w:cs="Arial" w:eastAsia="Arial" w:hAnsi="Arial"/>
                <w:sz w:val="18"/>
                <w:szCs w:val="18"/>
                <w:color w:val="auto"/>
              </w:rPr>
              <w:t>5 to 31 years</w:t>
            </w:r>
          </w:p>
        </w:tc>
      </w:tr>
      <w:tr>
        <w:trPr>
          <w:trHeight w:val="27"/>
        </w:trPr>
        <w:tc>
          <w:tcPr>
            <w:tcW w:w="37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43"/>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Furniture, fixtures, and equipment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31 years</w:t>
            </w:r>
          </w:p>
        </w:tc>
      </w:tr>
      <w:tr>
        <w:trPr>
          <w:trHeight w:val="27"/>
        </w:trPr>
        <w:tc>
          <w:tcPr>
            <w:tcW w:w="370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Leasehold improvements are depreciated over the shorter of the estimated useful life of the improvement or the related lease term. The estimated useful lives are determined based on the nature of the assets as well as the Company's current operating strategy.</w:t>
      </w:r>
    </w:p>
    <w:p>
      <w:pPr>
        <w:spacing w:after="0" w:line="224"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Company reviews the carrying value of its property and equipment for possible impairment whenever events or changes in circumstances indicate that the carrying value of an asset may not be recoverable based upon the estimated undiscounted future cash flows expected to result from its use and eventual disposition. If the Company determines the carrying amount is not recoverable, it would recognize an impairment charge equivalent to the amount required to reduce the carrying value of the asset to its estimated fair value, calculated in accordance with GAAP. In estimating expected future cash flows for determining whether an asset is impaired, assets are grouped at the individual property level. In assessing the recoverability of the carrying value of property and equipment, the Company must make assumptions regarding future cash flows and other factors. The factors considered by the Company in performing this assessment include current operating results, market and other applicable trends and residual values, as well as the effect of obsolescence, demand, competition and other factors. If these estimates or the related assumptions change in the future, the Company may be required to record an impairment loss for these assets.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Loans Receivable</w:t>
      </w:r>
    </w:p>
    <w:p>
      <w:pPr>
        <w:spacing w:after="0" w:line="283"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The Company may periodically loan funds to casino owner-operators via secured mortgage loans for the purchase of gaming related properties. Mortgage loans are recorded on the Company's consolidated balance sheets at carrying value which approximates fair value. If the collectability of an outstanding mortgage balance is not reasonably assured, the Company will assess the loan's carrying value for potential impairment. If it is determined the loan is in fact impaired it will be written down or off completely. At December 31, 2018, the Company does not have any allowances recorded against its mortgage loans receivable as the collection of the remaining principal and interest payments is reasonable assured. Interest income related to mortgage loans receivable is recorded as revenue from mortgaged real estate within the Company's consolidated statements of income in the period earned.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Direct Financing Leases</w:t>
      </w:r>
    </w:p>
    <w:p>
      <w:pPr>
        <w:spacing w:after="0" w:line="28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As discussed in Note 8, prior to the Penn-Pinnacle Merger, the Pinnacle Master Lease was bifurcated between an operating lease and a direct financing lease, with the land assets qualifying for operating lease treatment and the building assets triggering direct financing lease treatment. This net investment in direct financing lease was unwound in conjunction with the Penn-Pinnacle Merger, via the fourth amendment to the Pinnacle Master. As a result of this amendment, the Company reassessed the lease's classification and determined the new lease agreement qualified for operating lease treatment under ASC 840 -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840"). Therefore, subsequent to the Penn-Pinnacle Merger, the Pinnacle Master Lease is treated as an operating lease in its entirety and the building assets previously recorded as an investment in direct financing lease on the Company's consolidated balance sheet were recorded as real estate assets on the Company's consolidated balance sheet. At December 31, 2017, the Company's investment in direct financing lease represented the building portion of the real estate assets acquired in the original Pinnacle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283"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 xml:space="preserve">The Company's goodwill and intangible assets are the result of the contribution of Hollywood Casino Baton Rouge and Hollywood Casino Perryville in connection with the Spin-Off. The Company's goodwill resides on the books of its Hollywood Casino Baton Rouge subsidiary, while the other intangible asset represents a gaming license on the books of its Hollywood Casino Perryville subsidiary. Both subsidiaries are members of the TRS Properties segment and are considered separate reporting units under ASC 350 -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("ASC 350"). Goodwill is tested at the reporting</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30" w:right="2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unit level, which is an operating segment or one level below an operating segment for which discrete financial information is available</w:t>
      </w:r>
    </w:p>
    <w:p>
      <w:pPr>
        <w:spacing w:after="0" w:line="27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Under ASC 350, the Company is required to test goodwill for impairment at least annually and whenever events or circumstances indicate that it is more likely than not that goodwill may be impaired. The Company has elected to perform its annual goodwill impairment test as of October 1 of each year. In accordance with ASC 350, the Company tests goodwill for impairment subsequent to testing its other long-lived assets for impairment.</w:t>
      </w:r>
    </w:p>
    <w:p>
      <w:pPr>
        <w:spacing w:after="0" w:line="22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ASC 350 prescribes a two-step goodwill impairment test, the first step which involves the determination of the fair value of each reporting unit and its comparison to the carrying amount. In order to determine the fair value of the Baton Rouge reporting unit, the Company utilizes a discounted cash flow model, which relies on projected EBITDA to determine the reporting unit's future cash flows. If the carrying amount exceeds the fair value in step 1, then step 2 of the impairment test is performed to determine the implied fair value of goodwill. If the implied fair value of goodwill is less than the goodwill allocated to the reporting unit, an impairment loss is recognized.</w:t>
      </w:r>
    </w:p>
    <w:p>
      <w:pPr>
        <w:spacing w:after="0" w:line="24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accordance with ASC 350, the Company considers its Hollywood Casino Perryville gaming license an indefinite-lived intangible asset that does not require amortization based on the Company's future expectations to operate this casino indefinitely, as well as the gaming industry's historical experience in renewing these intangible assets at minimal cost with various state gaming commissions. Rather, the Company's gaming license is tested annually, or more frequently if indicators of impairment exist, for impairment by comparing the fair value of the recorded asset to its carrying amount. If the carrying amount of the indefinite-life intangible asset exceeds its fair value, an impairment loss is recognized. Hollywood Casino Perryville's gaming license will expire in September 2025, fifteen years from the casino's opening date. The Company expects to expense any costs related to the gaming license renewal as incurred.</w:t>
      </w:r>
    </w:p>
    <w:p>
      <w:pPr>
        <w:spacing w:after="0" w:line="21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calculates the fair value of its gaming license using the Greenfield Method under the income approach. The Greenfield Method estimates the fair value of the gaming license assuming the Company built a casino with similar utility to that of the existing facility. The method assumes a theoretical start-up company going into business without any assets other than the intangible asset being valued. As such the value of the license is a function of the following items:</w:t>
      </w:r>
    </w:p>
    <w:p>
      <w:pPr>
        <w:spacing w:after="0" w:line="241"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Projected revenues and operating cash flows;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Theoretical construction costs and duration;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Pre-opening expenses;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Discounting that reflects the level of risk associated with receiving future cash flows attributable to the license;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Remaining useful life of the license</w:t>
      </w:r>
    </w:p>
    <w:p>
      <w:pPr>
        <w:spacing w:after="0" w:line="27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evaluation of goodwill and indefinite-lived intangible assets requires the use of estimates about future operating results to determine the estimated fair value of the reporting unit and the indefinite-lived intangible assets. The Company must make various assumptions and estimates in performing its impairment testing. The implied fair value includes estimates of future cash flows that are based on reasonable and supportable assumptions, which represent the Company's best estimates of the cash flows expected to result from the use of the assets. Changes in estimates, increases in the Company's cost of capital, reductions in transaction multiples, changes in operating and capital expenditure assumptions or application of alternative assumptions and definitions could produce significantly different results. Future cash flow estimates are, by their nature, subjective and actual results may differ materially from the Company's estimates. If the Company's ongoing estimates of future cash flows are not met, the Company may have to record additional impairment charges in future accounting periods. The Company's estimates of cash flows are based on the current regulatory and economic climates, as well as recent operating information and budgets. These estimates could be negatively impacted by changes in federal, state or local regulations, economic downturns, or other events.</w:t>
      </w:r>
    </w:p>
    <w:p>
      <w:pPr>
        <w:spacing w:after="0" w:line="23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Forecasted cash flows can be significantly impacted by the local economy in which the Company's subsidiaries operate. For example, increases in unemployment rates can result in decreased customer visitations and/or lower customer spend per visit. In addition, new legislation which approves gaming in nearby jurisdictions or further expands gaming in jurisdictions in which the Company operates can result in increased competition for the property. This generally has a negative effect on profitability once competitors become established, as a certain level of cannibalization occurs absent an overall increase in customer visitations. Lastly, increases in gaming taxes approved by state regulatory bodies can negatively impact forecasted cash flows.</w:t>
      </w:r>
    </w:p>
    <w:p>
      <w:pPr>
        <w:spacing w:after="0" w:line="212"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Assumptions and estimates about future cash flow levels are complex and subjective. They are sensitive to changes in underlying assumptions and can be affected by a variety of factors, including external factors, such as industry, geopolitical and economic trends, and internal factors, such as changes in the Company's business strategy, which may reallocate capital and</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30" w:right="239" w:bottom="1440" w:gutter="0" w:footer="0" w:header="0"/>
          <w:type w:val="continuous"/>
        </w:sectPr>
      </w:pPr>
    </w:p>
    <w:bookmarkStart w:id="76" w:name="page77"/>
    <w:bookmarkEnd w:id="7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resources to different or new opportunities which management believes will enhance the Company's overall value but may be to the detriment of its existing operations. For further information on the Company's evaluation of its goodwill and gaming license for impairment during the year ended December 31, 2018, see Note 9.</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83"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 xml:space="preserve">Debt issuance costs that are incurred by the Company in connection with the issuance of debt are deferred and amortized to interest expense over the contractual term of the underlying indebtedness. In accordance with ASU 2015-03, </w:t>
      </w:r>
      <w:r>
        <w:rPr>
          <w:rFonts w:ascii="Arial" w:cs="Arial" w:eastAsia="Arial" w:hAnsi="Arial"/>
          <w:sz w:val="16"/>
          <w:szCs w:val="16"/>
          <w:i w:val="1"/>
          <w:iCs w:val="1"/>
          <w:color w:val="auto"/>
        </w:rPr>
        <w:t>Interest - Imputation of Interest (Subtopic 835-30): Simplifying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Presentation of Debt Issuance Costs, </w:t>
      </w:r>
      <w:r>
        <w:rPr>
          <w:rFonts w:ascii="Arial" w:cs="Arial" w:eastAsia="Arial" w:hAnsi="Arial"/>
          <w:sz w:val="16"/>
          <w:szCs w:val="16"/>
          <w:color w:val="auto"/>
        </w:rPr>
        <w:t>the Company records long-term debt net of unamortized debt issuance costs on its consolidated balance sheets.</w:t>
      </w:r>
      <w:r>
        <w:rPr>
          <w:rFonts w:ascii="Arial" w:cs="Arial" w:eastAsia="Arial" w:hAnsi="Arial"/>
          <w:sz w:val="16"/>
          <w:szCs w:val="16"/>
          <w:i w:val="1"/>
          <w:iCs w:val="1"/>
          <w:color w:val="auto"/>
        </w:rPr>
        <w:t xml:space="preserve"> </w:t>
      </w:r>
      <w:r>
        <w:rPr>
          <w:rFonts w:ascii="Arial" w:cs="Arial" w:eastAsia="Arial" w:hAnsi="Arial"/>
          <w:sz w:val="16"/>
          <w:szCs w:val="16"/>
          <w:color w:val="auto"/>
        </w:rPr>
        <w:t>Similarly, the Company records long-term debt net of any unamortized bond premiums and original issuance discounts on its consolidated balance sheets.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Receivable</w:t>
      </w:r>
    </w:p>
    <w:p>
      <w:pPr>
        <w:spacing w:after="0" w:line="28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may periodically loan funds to tenants. Loans are made at prevailing market interest rates and recorded on the Company's consolidated balance sheets at carrying value which approximates fair value. If the collectability of an outstanding loan balance is not reasonably assured, the Company will assess the loan's carrying value for potential impairment. If it is determined the loan is in fact impaired it will be written down or off completely.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8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TRS Properties are able to engage in activities resulting in income that would not be qualifying income for a REIT. As a result, certain activities of the Company which occur within its TRS Properties are subject to federal and state income taxes.</w:t>
      </w:r>
    </w:p>
    <w:p>
      <w:pPr>
        <w:spacing w:after="0" w:line="224"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The Company accounts for income taxes in accordance with ASC 740 -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Under ASC 740, deferred tax assets and liabilities are determined based on the differences between the financial statement carrying amounts and the tax bases of existing assets and liabilities and are measured at the prevailing enacted tax rates that will be in effect when these differences are settled or realized. ASC 740 also requires that deferred tax assets be reduced by a valuation allowance if it is more likely than not that some portion or all of the deferred tax assets will not be realized. The realizability of the deferred tax assets is evaluated by assessing the valuation allowance and by adjusting the amount of the allowance, if any, as necessary. The factors used to assess the likelihood of realization are the forecast of future taxable income.</w:t>
      </w:r>
    </w:p>
    <w:p>
      <w:pPr>
        <w:spacing w:after="0" w:line="232"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ASC 740 also creates a single model to address uncertainty in tax positions, and clarifies the accounting for uncertainty in income taxes recognized in an enterprise's financial statements by prescribing the minimum recognition threshold a tax position is required to meet before being recognized in an enterprise's financial statements. It also provides guidance on derecognition, measurement, classification, interest and penalties, accounting in interim periods, disclosure and transition. The Company did not have any uncertain tax positions for the three years ended December 31, 2018.</w:t>
      </w:r>
    </w:p>
    <w:p>
      <w:pPr>
        <w:spacing w:after="0" w:line="208"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Company is required under ASC 740 to disclose its accounting policy for classifying interest and penalties, the amount of interest and penalties charged to expense each period, as well as the cumulative amounts recorded in the consolidated balance sheets. If and when they occur, the Company will classify any income tax-related penalties and interest accrued related to unrecognized tax benefits in taxes on income within the consolidated statements of income. During the years ended December 31, 2018 and 2017, the Company recognized no penalties and interest, net of deferred income taxes and during the year ended December 31, 2016, the Company recognized $1 thousand of penalties and interest, net of deferred income taxes.</w:t>
      </w:r>
    </w:p>
    <w:p>
      <w:pPr>
        <w:spacing w:after="0" w:line="21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elected on its U.S. federal income tax return for its taxable year that began on January 1, 2014 to be treated as a REIT and the Company, together with an indirect wholly-owned subsidiary of the Company, GLP Holdings, Inc., jointly elected to treat each of GLP Holdings, Inc., Louisiana Casino Cruises, Inc. and Penn Cecil Maryland, Inc. as a "taxable REIT subsidiary" effective on the first day of the first taxable year of GLPI as a REIT. The Company continues to be organized and to operate in a manner that will permit the Company to qualify as a REIT. To qualify as a REIT, the Company must meet certain organizational and operational requirements, including a requirement to distribute at least 90% of its annual REIT taxable income to shareholders. As a REIT, the Company generally will not be subject to federal, state or local income tax on income that it distributes as dividends to its shareholders, except in those jurisdictions that do not allow a deduction for such distributions. If the Company fails to qualify as a REIT in any taxable year, it will be subject to U.S. federal, state and local income tax, including any applicable alternative minimum tax, on its taxable income at regular corporate income tax rates, and dividends paid to its shareholders would not be deductible by the Company in computing taxable income. Any resulting corporate liability could be substantial and could materially and adversely affect the Company's net income and net cash available for distribution to shareholders. Unless the Company was entitled to relief under certain Internal Revenue Code provisions, the Company also would be disqualified from re-electing to be taxed as a REIT for the 4 taxable years following the year in which it failed to qualify to be taxed as a REIT.</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30" w:right="2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Company recognizes rental revenue from tenants, including rental abatements, lease incentives and contractually fixed increases attributable to operating leases, on a straight-line basis over the term of the related leases when collectability is reasonably assured. Additionally, percentage rent that is fixed and determinable at the lease inception date is recorded on a straight-line basis over the lease term, resulting in the recognition of deferred rental revenue on the Company’s consolidated balance sheets. Deferred rental revenue is amortized to rental revenue on a straight-line basis over the remainder of the lease term. The lease term includes the initial non-cancelable lease term and any reasonably assured renewable periods. Contingent rental income that is not fixed and determinable at lease inception is recognized only when the lessee achieves the specified target. Recognition of rental income commences when control of the facility has been transferred to the tenant.</w:t>
      </w:r>
    </w:p>
    <w:p>
      <w:pPr>
        <w:spacing w:after="0" w:line="17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Company recognizes income from tenants subject to direct financing leases ratably over the lease term using the effective interest rate method which produces a constant periodic rate of return on the net investment in the leased property. At lease inception, the Company records an asset which represents the Company's net investment in the direct financing lease. This initial net investment is determined by aggregating the total future minimum lease payments attributable to the direct financing lease and the estimated residual value of the property, less unearned income. Over the lease term, the investment in the direct financing lease is reduced and income is recognized for the building portion of rent. Furthermore, as the net investment in direct financing lease includes only future minimum lease payments, percentage rent that is not fixed and determinable at the lease inception is excluded from the determination of the rent attributable to the leased assets and will therefore be recorded as income from the direct financing lease in the period earned. In conjunction with the Penn-Pinnacle Merger on October 15, 2108, the Company's only direct financing lease was unwound and the master lease it was associated with qualified for operating lease treatment in its entirety. For further details refer to Note 8.</w:t>
      </w:r>
    </w:p>
    <w:p>
      <w:pPr>
        <w:spacing w:after="0" w:line="182"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Additionally, in accordance with ASC 606 -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the Company records revenue for the real estate taxes paid by its tenants on the leased properties with an offsetting expense in real estate taxes within the consolidated statement of income as the Company has concluded it is the primary obligor. Similarly, the Company records revenue for the ground lease rent paid by its tenants with an offsetting expense in land rights and ground lease expense within the consolidated statements of income as the Company has concluded that as the lessee it is the primary obligor under the ground leases. The Company subleases these ground leases back to its tenants, who are responsible for payment directly to the landlord.</w:t>
      </w:r>
    </w:p>
    <w:p>
      <w:pPr>
        <w:spacing w:after="0" w:line="77"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The Company may periodically loan funds to casino owner-operators via secured mortgage loans for the purchase of gaming related properties. Interest income related to mortgage loans receivable is recorded as revenue from mortgaged real estate within the Company's consolidated statements of income in the period earned.</w:t>
      </w:r>
    </w:p>
    <w:p>
      <w:pPr>
        <w:spacing w:after="0" w:line="10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Gaming revenue generated by the TRS Properties mainly consists of revenue from slot machines and to a lesser extent, table game and poker revenue. Gaming revenue from slot machines is the aggregate net difference between gaming wins and losses with liabilities recognized for funds deposited by customers before gaming play occurs, for "ticket-in, ticket-out" coupons in the customers’ possession, and for accruals related to the anticipated payout of progressive jackpots. Progressive slot machines, which contain base jackpots that increase at a progressive rate based on the number of coins played, are charged to revenue as the amount of the jackpots increase. Table game gaming revenue is the aggregate of table drop adjusted for the change in aggregate table chip inventory. Table drop is the total dollar amount of the currency, coins, chips, tokens, outstanding counter checks (markers), and front money that are removed from the live gaming tables. Additionally, food and beverage revenue is recognized as services are performed.</w:t>
      </w:r>
    </w:p>
    <w:p>
      <w:pPr>
        <w:spacing w:after="0" w:line="16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Gaming revenue is recognized net of certain sales incentives, including promotional allowances in accordance with ASC 606. The Company also defers a portion of the revenue received from customers (who participate in the points based loyalty programs) at the time of play and attributed to the awarded points until a later period when the points are redeemed or forfeited. See Note 12 for a summary of the changes to the recognition of revenue at the TRS Properties related to the adoption of ASU 2014-09 on January 1, 2018.</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Gaming Taxes</w:t>
      </w:r>
    </w:p>
    <w:p>
      <w:pPr>
        <w:spacing w:after="0" w:line="229"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For the TRS Properties, the Company is subject to gaming taxes based on gross gaming revenues in the jurisdictions in which it operates. The Company recognizes gaming tax expense based on the statutorily required percentage of revenue that is required to be paid to state and local jurisdictions in the states where wagering occurs. The Company records gaming taxes at the Company’s estimated effective gaming tax rate for the year, considering estimated taxable gaming revenue and the applicable rates. Such estimates are adjusted each interim period. If gaming tax rates change during the year, such changes are applied prospectively in the determination of gaming tax expense in future interim periods. For the three years ended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30" w:right="23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December 31, 2018, these expenses, which are recorded within gaming, food, beverage and other expense in the consolidated statements of income, totaled $56.0 million, $57.4 million and $57.7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The Company calculates earnings per share ("EPS") in accordance with ASC 260 - </w:t>
      </w:r>
      <w:r>
        <w:rPr>
          <w:rFonts w:ascii="Arial" w:cs="Arial" w:eastAsia="Arial" w:hAnsi="Arial"/>
          <w:sz w:val="18"/>
          <w:szCs w:val="18"/>
          <w:i w:val="1"/>
          <w:iCs w:val="1"/>
          <w:color w:val="auto"/>
        </w:rPr>
        <w:t>Earnings Per Share</w:t>
      </w:r>
      <w:r>
        <w:rPr>
          <w:rFonts w:ascii="Arial" w:cs="Arial" w:eastAsia="Arial" w:hAnsi="Arial"/>
          <w:sz w:val="18"/>
          <w:szCs w:val="18"/>
          <w:color w:val="auto"/>
        </w:rPr>
        <w:t>. Basic EPS is computed by dividing net income applicable to common stock by the weighted-average number of common shares outstanding during the period, excluding net income attributable to participating securities (unvested restricted stock awards). Diluted EPS reflects the additional dilution for all potentially-dilutive securities such as stock options, unvested restricted shares and unvested performance-based restricted shares.</w:t>
      </w:r>
    </w:p>
    <w:p>
      <w:pPr>
        <w:spacing w:after="0" w:line="187" w:lineRule="exact"/>
        <w:rPr>
          <w:sz w:val="20"/>
          <w:szCs w:val="20"/>
          <w:color w:val="auto"/>
        </w:rPr>
      </w:pPr>
    </w:p>
    <w:p>
      <w:pPr>
        <w:jc w:val="both"/>
        <w:ind w:right="480" w:firstLine="648"/>
        <w:spacing w:after="0" w:line="308" w:lineRule="auto"/>
        <w:rPr>
          <w:sz w:val="20"/>
          <w:szCs w:val="20"/>
          <w:color w:val="auto"/>
        </w:rPr>
      </w:pPr>
      <w:r>
        <w:rPr>
          <w:rFonts w:ascii="Arial" w:cs="Arial" w:eastAsia="Arial" w:hAnsi="Arial"/>
          <w:sz w:val="17"/>
          <w:szCs w:val="17"/>
          <w:color w:val="auto"/>
        </w:rPr>
        <w:t>The following table reconciles the weighted-average common shares outstanding used in the calculation of basic EPS to the weighted-average common shares outstanding used in the calculation of diluted EPS for the years ended December 31, 2018, 2017 and 2016:</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9"/>
          </w:tcPr>
          <w:p>
            <w:pPr>
              <w:jc w:val="center"/>
              <w:ind w:right="160"/>
              <w:spacing w:after="0"/>
              <w:rPr>
                <w:sz w:val="20"/>
                <w:szCs w:val="20"/>
                <w:color w:val="auto"/>
              </w:rPr>
            </w:pPr>
            <w:r>
              <w:rPr>
                <w:rFonts w:ascii="Arial" w:cs="Arial" w:eastAsia="Arial" w:hAnsi="Arial"/>
                <w:sz w:val="14"/>
                <w:szCs w:val="14"/>
                <w:b w:val="1"/>
                <w:bCs w:val="1"/>
                <w:color w:val="auto"/>
                <w:w w:val="93"/>
              </w:rPr>
              <w:t>Year Ended December 31,</w:t>
            </w: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64"/>
        </w:trPr>
        <w:tc>
          <w:tcPr>
            <w:tcW w:w="7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r>
      <w:tr>
        <w:trPr>
          <w:trHeight w:val="196"/>
        </w:trPr>
        <w:tc>
          <w:tcPr>
            <w:tcW w:w="7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6"/>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Determination of shares:</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213,720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210,705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178,594</w:t>
            </w:r>
          </w:p>
        </w:tc>
        <w:tc>
          <w:tcPr>
            <w:tcW w:w="2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conversion of dilutive employee stock-based awards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Assumed conversion of restricted stock awards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conversion of performance-based restricted stock awards</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57"/>
        </w:trPr>
        <w:tc>
          <w:tcPr>
            <w:tcW w:w="7360" w:type="dxa"/>
            <w:vAlign w:val="bottom"/>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214,779</w:t>
            </w:r>
          </w:p>
        </w:tc>
        <w:tc>
          <w:tcPr>
            <w:tcW w:w="4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212,752</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180,622</w:t>
            </w:r>
          </w:p>
        </w:tc>
        <w:tc>
          <w:tcPr>
            <w:tcW w:w="20" w:type="dxa"/>
            <w:vAlign w:val="bottom"/>
            <w:tcBorders>
              <w:top w:val="single" w:sz="8" w:color="auto"/>
              <w:bottom w:val="single" w:sz="8" w:color="auto"/>
            </w:tcBorders>
          </w:tcPr>
          <w:p>
            <w:pPr>
              <w:spacing w:after="0"/>
              <w:rPr>
                <w:sz w:val="22"/>
                <w:szCs w:val="22"/>
                <w:color w:val="auto"/>
              </w:rPr>
            </w:pPr>
          </w:p>
        </w:tc>
      </w:tr>
      <w:tr>
        <w:trPr>
          <w:trHeight w:val="20"/>
        </w:trPr>
        <w:tc>
          <w:tcPr>
            <w:tcW w:w="738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05"/>
        </w:trPr>
        <w:tc>
          <w:tcPr>
            <w:tcW w:w="11160" w:type="dxa"/>
            <w:vAlign w:val="bottom"/>
            <w:gridSpan w:val="16"/>
          </w:tcPr>
          <w:p>
            <w:pPr>
              <w:ind w:left="660"/>
              <w:spacing w:after="0"/>
              <w:rPr>
                <w:sz w:val="20"/>
                <w:szCs w:val="20"/>
                <w:color w:val="auto"/>
              </w:rPr>
            </w:pPr>
            <w:r>
              <w:rPr>
                <w:rFonts w:ascii="Arial" w:cs="Arial" w:eastAsia="Arial" w:hAnsi="Arial"/>
                <w:sz w:val="18"/>
                <w:szCs w:val="18"/>
                <w:color w:val="auto"/>
                <w:w w:val="91"/>
              </w:rPr>
              <w:t>The following table presents the calculation of basic and diluted EPS for the Company’s common stock for the years ended December 31, 2018,</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2017 and 2016: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2"/>
        </w:trPr>
        <w:tc>
          <w:tcPr>
            <w:tcW w:w="7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10"/>
          </w:tcPr>
          <w:p>
            <w:pPr>
              <w:jc w:val="center"/>
              <w:ind w:right="160"/>
              <w:spacing w:after="0"/>
              <w:rPr>
                <w:sz w:val="20"/>
                <w:szCs w:val="20"/>
                <w:color w:val="auto"/>
              </w:rPr>
            </w:pPr>
            <w:r>
              <w:rPr>
                <w:rFonts w:ascii="Arial" w:cs="Arial" w:eastAsia="Arial" w:hAnsi="Arial"/>
                <w:sz w:val="14"/>
                <w:szCs w:val="14"/>
                <w:b w:val="1"/>
                <w:bCs w:val="1"/>
                <w:color w:val="auto"/>
                <w:w w:val="93"/>
              </w:rPr>
              <w:t>Year Ended December 31,</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73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2"/>
                <w:szCs w:val="22"/>
                <w:color w:val="auto"/>
              </w:rPr>
            </w:pPr>
          </w:p>
        </w:tc>
      </w:tr>
      <w:tr>
        <w:trPr>
          <w:trHeight w:val="196"/>
        </w:trPr>
        <w:tc>
          <w:tcPr>
            <w:tcW w:w="7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3"/>
          </w:tcPr>
          <w:p>
            <w:pPr>
              <w:jc w:val="center"/>
              <w:ind w:right="260"/>
              <w:spacing w:after="0"/>
              <w:rPr>
                <w:sz w:val="20"/>
                <w:szCs w:val="20"/>
                <w:color w:val="auto"/>
              </w:rPr>
            </w:pPr>
            <w:r>
              <w:rPr>
                <w:rFonts w:ascii="Arial" w:cs="Arial" w:eastAsia="Arial" w:hAnsi="Arial"/>
                <w:sz w:val="14"/>
                <w:szCs w:val="14"/>
                <w:b w:val="1"/>
                <w:bCs w:val="1"/>
                <w:color w:val="auto"/>
                <w:w w:val="90"/>
              </w:rPr>
              <w:t>(in thousands, except per share amounts)</w:t>
            </w:r>
          </w:p>
        </w:tc>
      </w:tr>
      <w:tr>
        <w:trPr>
          <w:trHeight w:val="256"/>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Calculation of basic EPS:</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339,516</w:t>
            </w:r>
          </w:p>
        </w:tc>
        <w:tc>
          <w:tcPr>
            <w:tcW w:w="340" w:type="dxa"/>
            <w:vAlign w:val="bottom"/>
            <w:gridSpan w:val="5"/>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380,598</w:t>
            </w:r>
          </w:p>
        </w:tc>
        <w:tc>
          <w:tcPr>
            <w:tcW w:w="20" w:type="dxa"/>
            <w:vAlign w:val="bottom"/>
          </w:tcPr>
          <w:p>
            <w:pPr>
              <w:spacing w:after="0"/>
              <w:rPr>
                <w:sz w:val="21"/>
                <w:szCs w:val="21"/>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289,305</w:t>
            </w:r>
          </w:p>
        </w:tc>
        <w:tc>
          <w:tcPr>
            <w:tcW w:w="2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allocated to participating securities</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0" w:type="dxa"/>
            <w:vAlign w:val="bottom"/>
          </w:tcPr>
          <w:p>
            <w:pPr>
              <w:spacing w:after="0"/>
              <w:rPr>
                <w:sz w:val="23"/>
                <w:szCs w:val="23"/>
                <w:color w:val="auto"/>
              </w:rPr>
            </w:pPr>
          </w:p>
        </w:tc>
      </w:tr>
      <w:tr>
        <w:trPr>
          <w:trHeight w:val="237"/>
        </w:trPr>
        <w:tc>
          <w:tcPr>
            <w:tcW w:w="7360" w:type="dxa"/>
            <w:vAlign w:val="bottom"/>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2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339,041</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2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379,976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288,637</w:t>
            </w:r>
          </w:p>
        </w:tc>
        <w:tc>
          <w:tcPr>
            <w:tcW w:w="20" w:type="dxa"/>
            <w:vAlign w:val="bottom"/>
          </w:tcPr>
          <w:p>
            <w:pPr>
              <w:spacing w:after="0"/>
              <w:rPr>
                <w:sz w:val="20"/>
                <w:szCs w:val="20"/>
                <w:color w:val="auto"/>
              </w:rPr>
            </w:pPr>
          </w:p>
        </w:tc>
      </w:tr>
      <w:tr>
        <w:trPr>
          <w:trHeight w:val="27"/>
        </w:trPr>
        <w:tc>
          <w:tcPr>
            <w:tcW w:w="7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213,720</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210,705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178,594</w:t>
            </w:r>
          </w:p>
        </w:tc>
        <w:tc>
          <w:tcPr>
            <w:tcW w:w="20" w:type="dxa"/>
            <w:vAlign w:val="bottom"/>
          </w:tcPr>
          <w:p>
            <w:pPr>
              <w:spacing w:after="0"/>
              <w:rPr>
                <w:sz w:val="21"/>
                <w:szCs w:val="21"/>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Basic EPS</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1.59</w:t>
            </w:r>
          </w:p>
        </w:tc>
        <w:tc>
          <w:tcPr>
            <w:tcW w:w="340" w:type="dxa"/>
            <w:vAlign w:val="bottom"/>
            <w:gridSpan w:val="5"/>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21"/>
                <w:szCs w:val="21"/>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7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Calculation of diluted EPS: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339,516</w:t>
            </w:r>
          </w:p>
        </w:tc>
        <w:tc>
          <w:tcPr>
            <w:tcW w:w="34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380,598</w:t>
            </w: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289,305</w:t>
            </w:r>
          </w:p>
        </w:tc>
        <w:tc>
          <w:tcPr>
            <w:tcW w:w="20" w:type="dxa"/>
            <w:vAlign w:val="bottom"/>
          </w:tcPr>
          <w:p>
            <w:pPr>
              <w:spacing w:after="0"/>
              <w:rPr>
                <w:sz w:val="21"/>
                <w:szCs w:val="21"/>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214,779</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212,752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180,622</w:t>
            </w:r>
          </w:p>
        </w:tc>
        <w:tc>
          <w:tcPr>
            <w:tcW w:w="2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7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1.79</w:t>
            </w:r>
          </w:p>
        </w:tc>
        <w:tc>
          <w:tcPr>
            <w:tcW w:w="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21"/>
                <w:szCs w:val="21"/>
                <w:color w:val="auto"/>
              </w:rPr>
            </w:pPr>
          </w:p>
        </w:tc>
      </w:tr>
      <w:tr>
        <w:trPr>
          <w:trHeight w:val="27"/>
        </w:trPr>
        <w:tc>
          <w:tcPr>
            <w:tcW w:w="73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202"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There were 13,335 outstanding equity based awards during the year ended December 31, 2018 and 3,483 and 23,954 outstanding equity based awards during the years ended December 31, 2017 and 2016, respectively, that were not included in the computation of diluted EPS because they were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4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Company's Amended and Restated 2013 Long Term Incentive Compensation Plan (the "2013 Plan") provides for the Company to issue restricted stock awards, including performance-based restricted stock awards, and other equity or cash based awards to employees. Any director, employee or consultant shall be eligible to receive such awards.</w:t>
      </w:r>
    </w:p>
    <w:p>
      <w:pPr>
        <w:spacing w:after="0" w:line="10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The Company accounts for stock compensation under ASC 718 -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 of</w:t>
      </w:r>
    </w:p>
    <w:p>
      <w:pPr>
        <w:sectPr>
          <w:pgSz w:w="11900" w:h="16838" w:orient="portrait"/>
          <w:cols w:equalWidth="0" w:num="1">
            <w:col w:w="11380"/>
          </w:cols>
          <w:pgMar w:left="240" w:top="130" w:right="279"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380"/>
          </w:cols>
          <w:pgMar w:left="240" w:top="130" w:right="279" w:bottom="1440" w:gutter="0" w:footer="0" w:header="0"/>
          <w:type w:val="continuous"/>
        </w:sectPr>
      </w:pPr>
    </w:p>
    <w:bookmarkStart w:id="79" w:name="page80"/>
    <w:bookmarkEnd w:id="7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grant. The Company utilizes a third-party valuation firm to measure the fair value of performance-based restricted stock awards at grant date using the Monte Carlo model.</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unrecognized compensation cost relating to restricted stock awards and performance-based restricted stock awards will be amortized to expense over the awards’ remaining vesting periods.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15 for further information related to stock-based compensation.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Consistent with how the Company’s Chief Operating Decision Maker reviews and assesses the Company’s financial performance, the Company has two reportable segments, GLP Capital, L.P. (a wholly-owned subsidiary of GLPI through which GLPI owns substantially all of its real estate assets)</w:t>
      </w:r>
    </w:p>
    <w:p>
      <w:pPr>
        <w:ind w:right="80"/>
        <w:spacing w:after="0" w:line="255" w:lineRule="auto"/>
        <w:rPr>
          <w:sz w:val="20"/>
          <w:szCs w:val="20"/>
          <w:color w:val="auto"/>
        </w:rPr>
      </w:pPr>
      <w:r>
        <w:rPr>
          <w:rFonts w:ascii="Arial" w:cs="Arial" w:eastAsia="Arial" w:hAnsi="Arial"/>
          <w:sz w:val="18"/>
          <w:szCs w:val="18"/>
          <w:color w:val="auto"/>
        </w:rPr>
        <w:t>("GLP Capital") and the TRS Properties. The GLP Capital reportable segment consists of the leased real property and represents the majority of the Company’s business. The TRS Properties reportable segment consists of Hollywood Casino Perryville and Hollywood Casino Baton Rouge. See Note 16 for further information with respect to the Company’s segments.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 has presented the consolidated statements of cash flows using the indirect method, which involves the reconciliation of net income to net cash flow from operating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70" w:lineRule="exact"/>
        <w:rPr>
          <w:sz w:val="20"/>
          <w:szCs w:val="20"/>
          <w:color w:val="auto"/>
        </w:rPr>
      </w:pPr>
    </w:p>
    <w:p>
      <w:pPr>
        <w:ind w:right="800" w:firstLine="648"/>
        <w:spacing w:after="0" w:line="308" w:lineRule="auto"/>
        <w:rPr>
          <w:sz w:val="20"/>
          <w:szCs w:val="20"/>
          <w:color w:val="auto"/>
        </w:rPr>
      </w:pPr>
      <w:r>
        <w:rPr>
          <w:rFonts w:ascii="Arial" w:cs="Arial" w:eastAsia="Arial" w:hAnsi="Arial"/>
          <w:sz w:val="17"/>
          <w:szCs w:val="17"/>
          <w:color w:val="auto"/>
        </w:rPr>
        <w:t xml:space="preserve">The Company accounts for its acquisitions of real estate assets as asset acquisitions under ASC 805 - </w:t>
      </w:r>
      <w:r>
        <w:rPr>
          <w:rFonts w:ascii="Arial" w:cs="Arial" w:eastAsia="Arial" w:hAnsi="Arial"/>
          <w:sz w:val="17"/>
          <w:szCs w:val="17"/>
          <w:i w:val="1"/>
          <w:iCs w:val="1"/>
          <w:color w:val="auto"/>
        </w:rPr>
        <w:t>Business Combinations</w:t>
      </w:r>
      <w:r>
        <w:rPr>
          <w:rFonts w:ascii="Arial" w:cs="Arial" w:eastAsia="Arial" w:hAnsi="Arial"/>
          <w:sz w:val="17"/>
          <w:szCs w:val="17"/>
          <w:color w:val="auto"/>
        </w:rPr>
        <w:t>. Under asset acquisition accounting, transaction costs incurred to acquire the purchased assets are also included as part of the asset cost.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Current Year Acquisitions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October 15, 2018, in conjunction with the Penn-Pinnacle Merger the Company acquired the real property assets of Plainridge Park Casino from Penn for approximately $250.9 million. This property was added to the Amended Pinnacle Master Lease via the fourth amendment to the Pinnacle Master Lease and is leased to Penn who will continue to operate the property. The initial annual cash rent of $25.0 million for Plainridge Park will not be subject to rent escalators or adjustments.</w:t>
      </w:r>
    </w:p>
    <w:p>
      <w:pPr>
        <w:spacing w:after="0" w:line="18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Also in conjunction with the Penn-Pinnacle Merger, the Pinnacle Master Lease was amended via the fourth amendment to such lease to allow for the sale of the operating assets of Ameristar Casino Hotel Kansas City, Ameristar Casino Resort Spa St. Charles and Belterra Casino Resort from Pinnacle to Boyd and to increase fixed rent under the lease by an additional $13.9 million annually. The Company entered into a new unitary triple-net master lease agreement with Boyd for these properties on terms similar to the Company’s existing master leases. As a result of the fourth amendment to the Pinnacle Master Lease, the Company reassessed the lease's classification and determined the new lease agreement qualified for operating lease treatment under ASC</w:t>
      </w:r>
    </w:p>
    <w:p>
      <w:pPr>
        <w:spacing w:after="0" w:line="2" w:lineRule="exact"/>
        <w:rPr>
          <w:sz w:val="20"/>
          <w:szCs w:val="20"/>
          <w:color w:val="auto"/>
        </w:rPr>
      </w:pPr>
    </w:p>
    <w:p>
      <w:pPr>
        <w:ind w:left="360" w:hanging="352"/>
        <w:spacing w:after="0"/>
        <w:tabs>
          <w:tab w:leader="none" w:pos="3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Therefore, subsequent to the Penn-Pinnacle Merger, the Amended Pinnacle Master Lease is treated as an operating lease in its entirety, the building</w:t>
      </w:r>
    </w:p>
    <w:p>
      <w:pPr>
        <w:spacing w:after="0" w:line="32" w:lineRule="exact"/>
        <w:rPr>
          <w:rFonts w:ascii="Arial" w:cs="Arial" w:eastAsia="Arial" w:hAnsi="Arial"/>
          <w:sz w:val="16"/>
          <w:szCs w:val="16"/>
          <w:color w:val="auto"/>
        </w:rPr>
      </w:pPr>
    </w:p>
    <w:p>
      <w:pPr>
        <w:spacing w:after="0" w:line="302" w:lineRule="auto"/>
        <w:rPr>
          <w:rFonts w:ascii="Arial" w:cs="Arial" w:eastAsia="Arial" w:hAnsi="Arial"/>
          <w:sz w:val="16"/>
          <w:szCs w:val="16"/>
          <w:color w:val="auto"/>
        </w:rPr>
      </w:pPr>
      <w:r>
        <w:rPr>
          <w:rFonts w:ascii="Arial" w:cs="Arial" w:eastAsia="Arial" w:hAnsi="Arial"/>
          <w:sz w:val="16"/>
          <w:szCs w:val="16"/>
          <w:color w:val="auto"/>
        </w:rPr>
        <w:t>assets of $2.6 billion previously recorded as an investment in direct financing lease on the Company's consolidated balance sheet were recorded as real estate assets on the Company's consolidated balance sheet and all rent received under the Amended Pinnacle Master Lease is recorded as rental income on the Company's consolidated statement of income. The Amended Pinnacle Master Lease was assumed by Penn at the consummation of the Penn-Pinnacle Merger.</w:t>
      </w:r>
    </w:p>
    <w:p>
      <w:pPr>
        <w:spacing w:after="0" w:line="15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On October 1, 2018, the Company acquired the real property assets of five casino properties from Tropicana and certain of its affiliates for approximately $992.5 million, pursuant to the Real Estate Purchase Agreement dated April 15, 2018 between Tropicana and GLP Capital, which was subsequently amended on October 1, 2018. Pursuant to the terms of the Amended Real Estate Purchase Agreement, the Company acquired the real estate assets of Tropicana Atlantic City, Tropicana Evansville, Tropicana Laughlin, Trop Casino Greenville and the Belle of Baton Rouge and the rights to six long-term ground leases for land on which the operations of the acquired Tropicana properties reside. Concurrent with the Tropicana Acquisition, Eldorado acquired the operating assets of these properties from Tropicana pursuant to the Tropicana Merger Agreement and leased the GLP Assets from the Company pursuant to the terms of a new unitary triple-net master lease with a 15-year initial term, with no purchase option followed by four successive 5-year renewal periods (exercisable by Eldorado) on the same terms and conditions. Initial annual rent under the Eldorado Master Lease is $87.6 million.</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130" w:right="27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Purchase price allocations are primarily based on the fair values of assets acquired and liabilities assumed at the time of acquisition. The following table summarizes the purchase price allocation of the assets acquired in the Tropicana Acquisition (in thousands):</w:t>
      </w:r>
    </w:p>
    <w:p>
      <w:pPr>
        <w:spacing w:after="0" w:line="374" w:lineRule="exact"/>
        <w:rPr>
          <w:sz w:val="20"/>
          <w:szCs w:val="20"/>
          <w:color w:val="auto"/>
        </w:rPr>
      </w:pPr>
    </w:p>
    <w:tbl>
      <w:tblPr>
        <w:tblLayout w:type="fixed"/>
        <w:tblInd w:w="420" w:type="dxa"/>
        <w:tblCellMar>
          <w:top w:w="0" w:type="dxa"/>
          <w:left w:w="0" w:type="dxa"/>
          <w:bottom w:w="0" w:type="dxa"/>
          <w:right w:w="0" w:type="dxa"/>
        </w:tblCellMar>
      </w:tblPr>
      <w:tr>
        <w:trPr>
          <w:trHeight w:val="27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investments, net</w:t>
            </w: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948,217</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Land rights, net</w:t>
            </w:r>
          </w:p>
        </w:tc>
        <w:tc>
          <w:tcPr>
            <w:tcW w:w="7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44,331</w:t>
            </w:r>
          </w:p>
        </w:tc>
      </w:tr>
      <w:tr>
        <w:trPr>
          <w:trHeight w:val="27"/>
        </w:trPr>
        <w:tc>
          <w:tcPr>
            <w:tcW w:w="84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992,548</w:t>
            </w:r>
          </w:p>
        </w:tc>
      </w:tr>
      <w:tr>
        <w:trPr>
          <w:trHeight w:val="20"/>
        </w:trPr>
        <w:tc>
          <w:tcPr>
            <w:tcW w:w="8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Prior Year Acquisitions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2017</w:t>
      </w:r>
    </w:p>
    <w:p>
      <w:pPr>
        <w:spacing w:after="0" w:line="225"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On May 1, 2017, the Company acquired the real property assets of Bally's Casino Tunica (subsequently re-branded as the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Jackpot Casino) and Resorts Casino Tunica (the "Tunica Properties") for $82.9 million. The Company acquired both Bally's Casino Tunica and Resorts Casino Tunica, as well as the Resorts Hotel and land at Bally's Casino Tunica. Land rights to three long-term ground leases related to the Tunica Properties were also acquired in the transaction. Penn purchased the operating assets of the Tunica Properties directly from the seller, operates both properties and leases the real property assets from the Company under the Penn Master Lease.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2016</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September 9, 2016, the Company acquired the real property assets of the Meadows Racetrack and Casino (the "Meadows") from Cannery Casino Resorts ("CCR") for approximately $323.3 million. Concurrent with the Company's purchase of the Meadows' real estate assets, Pinnacle purchased the entities holding the Meadows' gaming and racing licenses and operating assets from CCR. GLPI leases the Meadows' real property assets to Penn (following the Penn-Pinnacle Merger) under a triple-net lease with an initial term of 10 years with no purchase option and the option to renew for three successive 5-year terms and one 4-year term, at Penn's option (the "Meadows Lease").</w:t>
      </w:r>
    </w:p>
    <w:p>
      <w:pPr>
        <w:spacing w:after="0" w:line="18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On April 28, 2016, the Company acquired substantially all of the real estate assets of Pinnacle, adding 14 properties to its real estate portfolio. The acquisition of Pinnacle's real estate assets was the final step in a series of transactions contemplated by the July 20, 2015 merger agreement between GLPI, Gold Merger Sub, LLC, a wholly owned subsidiary of GLPI ("Merger Sub"), and Pinnacle providing for the merger of Pinnacle with and into Merger Sub, with Merger Sub surviving the merger as a wholly owned subsidiary of GLPI (the "Pinnacle Merger"). Following the Pinnacle Merger, GLPI contributed all of the equity interests of Gold Merger Sub to GLP Capital, L.P., a Pennsylvania limited partnership and a wholly owned subsidiary of GLPI ("GLP Capital"). Approval of the Pinnacle Merger by GLPI shareholders and Pinnacle stockholders was obtained at separate special meetings held on March 15, 2016.</w:t>
      </w:r>
    </w:p>
    <w:p>
      <w:pPr>
        <w:spacing w:after="0" w:line="16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order to effect the acquisition of the majority of Pinnacle’s real property assets, prior to the Pinnacle Merger, Pinnacle caused certain assets relating to its operating business to be transferred to, and liabilities relating thereto to be assumed by a newly formed wholly owned subsidiary of Pinnacle ("OpCo"). Immediately following the separation of its real property assets and gaming and other operating assets, Pinnacle distributed to its stockholders all of the issued and outstanding shares of common stock of OpCo. As described above, on April 28, 2016, Pinnacle merged with and into Merger Sub, as described in more detail in the joint proxy statement/prospectus filed with a Registration Statement on Form S-4 (No. 333-206649) initially filed by GLPI with the SEC on December 23, 2015 and declared effective on February 16, 2016 (the "Joint Proxy Statement/Prospectus"), completing the Pinnacle Merger. Merger Sub, as the surviving company in the Pinnacle Merger, owns substantially all of Pinnacle’s real estate assets that were retained or transferred to Pinnacle in the separation and originally leased those assets back to Pinnacle pursuant to the Pinnacle Master Lease. Subsequent to the Penn-Pinnacle Merger, a wholly-owned subsidiary of Penn operates the leased gaming facilities as a tenant under the Amended Pinnacle Master Lease Agreement.</w:t>
      </w:r>
    </w:p>
    <w:p>
      <w:pPr>
        <w:spacing w:after="0" w:line="8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At the effective time of the Pinnacle Merger, each share of Pinnacle common stock issued and outstanding immediately prior to the effective time of the Pinnacle Merger was converted into 0.85 of a share of GLPI common stock, with cash paid in lieu of the issuance of fractional shares of GLPI common stock. Shares of GLPI common stock were also issued to satisfy GLPI's portion of the outstanding Pinnacle employee equity and cash-based incentive awards outstanding at the closing date. Approximately 56.0 million shares of GLPI common stock were issued as consideration in the Pinnacle Merger. Additionally, GLPI repaid $2.7 billion of Pinnacle's debt and paid $226.8 million of Pinnacle's transaction expenses related to</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30" w:right="25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Pinnacle Merger. Inclusive of $28.3 million of the Company's own transaction expenses, the purchase price of the Pinnacle real estate assets was $4.8 billion.</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summarize the consideration transferred in the Pinnacle Merger and the purchase price allocation to the assets acquired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Pinnacle Merger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262890</wp:posOffset>
            </wp:positionV>
            <wp:extent cx="673227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270" cy="17145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Consideration</w:t>
      </w:r>
    </w:p>
    <w:p>
      <w:pPr>
        <w:spacing w:after="0" w:line="63"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8480" w:type="dxa"/>
            <w:vAlign w:val="bottom"/>
          </w:tcPr>
          <w:p>
            <w:pPr>
              <w:ind w:left="100"/>
              <w:spacing w:after="0"/>
              <w:rPr>
                <w:sz w:val="20"/>
                <w:szCs w:val="20"/>
                <w:color w:val="auto"/>
              </w:rPr>
            </w:pPr>
            <w:r>
              <w:rPr>
                <w:rFonts w:ascii="Arial" w:cs="Arial" w:eastAsia="Arial" w:hAnsi="Arial"/>
                <w:sz w:val="18"/>
                <w:szCs w:val="18"/>
                <w:color w:val="auto"/>
              </w:rPr>
              <w:t>Cash</w:t>
            </w: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2,955,090</w:t>
            </w:r>
          </w:p>
        </w:tc>
      </w:tr>
      <w:tr>
        <w:trPr>
          <w:trHeight w:val="27"/>
        </w:trPr>
        <w:tc>
          <w:tcPr>
            <w:tcW w:w="8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GLPI common stock</w:t>
            </w:r>
          </w:p>
        </w:tc>
        <w:tc>
          <w:tcPr>
            <w:tcW w:w="7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1,823,991</w:t>
            </w:r>
          </w:p>
        </w:tc>
      </w:tr>
      <w:tr>
        <w:trPr>
          <w:trHeight w:val="257"/>
        </w:trPr>
        <w:tc>
          <w:tcPr>
            <w:tcW w:w="8480" w:type="dxa"/>
            <w:vAlign w:val="bottom"/>
          </w:tcPr>
          <w:p>
            <w:pPr>
              <w:ind w:left="20"/>
              <w:spacing w:after="0"/>
              <w:rPr>
                <w:sz w:val="20"/>
                <w:szCs w:val="20"/>
                <w:color w:val="auto"/>
              </w:rPr>
            </w:pPr>
            <w:r>
              <w:rPr>
                <w:rFonts w:ascii="Arial" w:cs="Arial" w:eastAsia="Arial" w:hAnsi="Arial"/>
                <w:sz w:val="18"/>
                <w:szCs w:val="18"/>
                <w:color w:val="auto"/>
              </w:rPr>
              <w:t>Fair value of total consideration transferred</w:t>
            </w: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4,779,081</w:t>
            </w:r>
          </w:p>
        </w:tc>
      </w:tr>
      <w:tr>
        <w:trPr>
          <w:trHeight w:val="20"/>
        </w:trPr>
        <w:tc>
          <w:tcPr>
            <w:tcW w:w="8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392"/>
        </w:trPr>
        <w:tc>
          <w:tcPr>
            <w:tcW w:w="8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investments, net</w:t>
            </w: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1,422,547</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Land rights, net</w:t>
            </w:r>
          </w:p>
        </w:tc>
        <w:tc>
          <w:tcPr>
            <w:tcW w:w="7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596,920</w:t>
            </w:r>
          </w:p>
        </w:tc>
      </w:tr>
      <w:tr>
        <w:trPr>
          <w:trHeight w:val="27"/>
        </w:trPr>
        <w:tc>
          <w:tcPr>
            <w:tcW w:w="8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 direct financing lease, net</w:t>
            </w:r>
          </w:p>
        </w:tc>
        <w:tc>
          <w:tcPr>
            <w:tcW w:w="7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2,759,244</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7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8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7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r>
      <w:tr>
        <w:trPr>
          <w:trHeight w:val="257"/>
        </w:trPr>
        <w:tc>
          <w:tcPr>
            <w:tcW w:w="8480" w:type="dxa"/>
            <w:vAlign w:val="bottom"/>
          </w:tcPr>
          <w:p>
            <w:pPr>
              <w:ind w:left="20"/>
              <w:spacing w:after="0"/>
              <w:rPr>
                <w:sz w:val="20"/>
                <w:szCs w:val="20"/>
                <w:color w:val="auto"/>
              </w:rPr>
            </w:pPr>
            <w:r>
              <w:rPr>
                <w:rFonts w:ascii="Arial" w:cs="Arial" w:eastAsia="Arial" w:hAnsi="Arial"/>
                <w:sz w:val="18"/>
                <w:szCs w:val="18"/>
                <w:color w:val="auto"/>
              </w:rPr>
              <w:t>Total purchase price</w:t>
            </w: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4,779,081</w:t>
            </w:r>
          </w:p>
        </w:tc>
      </w:tr>
      <w:tr>
        <w:trPr>
          <w:trHeight w:val="20"/>
        </w:trPr>
        <w:tc>
          <w:tcPr>
            <w:tcW w:w="8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detailed above, the Company paid $3.0 billion in cash for the acquired Pinnacle real estate assets. In addition, as part of the consideration paid for the Pinnacle real estate assets acquired in the Pinnacle Merger, the Company issued shares of its common stock to Pinnacle stockholders and to Pinnacle to satisfy the Company's portion of Pinnacle's employee equity and cash-based incentive awards. The dollar value of the issued shares was $1.8 billion and is considered purchase price.</w:t>
      </w:r>
    </w:p>
    <w:p>
      <w:pPr>
        <w:spacing w:after="0" w:line="18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real estate investments, net represent the land purchased from Pinnacle, while the land rights, net represent the Company's rights to land subject to long-term ground leases. The Company acquired ground leases at several of the Pinnacle properties and immediately subleased the land back to Pinnacle. The investment in direct financing lease, net represented the Company's investment in the buildings and building improvements purchased from Pinnacle at the time of the original Pinnacle transaction. As detailed in Note 8, the Pinnacle Master Lease was originally bifurcated between an operating lease and direct financing lease. The accounting treatment for the buildings purchased under a direct financing lease required the Company to record its initial investment in the buildings as a receivable on its consolidated balance sheet, which was subsequently reduced over the lease term to its estimated residual value. In conjunction with the Penn-Pinnacle Merger, the direct financing lease was unwound and the Pinnacle Master Lease qualified for operating lease treatment in its entirety. For further details refer to Note 8. The purchase price allocated to prepaid expenses and other assets represents the current and long-term portions of a director and officer liability insurance policy purchased from Pinnacle.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Real Estate Investments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Real estate investments, net, represent investments in 42 rental properties and the corporate headquarters building and is summarized as follows:</w:t>
      </w:r>
    </w:p>
    <w:p>
      <w:pPr>
        <w:spacing w:after="0" w:line="389"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60" w:type="dxa"/>
            <w:vAlign w:val="bottom"/>
          </w:tcPr>
          <w:p>
            <w:pPr>
              <w:jc w:val="right"/>
              <w:ind w:right="115"/>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2017</w:t>
            </w:r>
          </w:p>
        </w:tc>
      </w:tr>
      <w:tr>
        <w:trPr>
          <w:trHeight w:val="196"/>
        </w:trPr>
        <w:tc>
          <w:tcPr>
            <w:tcW w:w="6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2,552,475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2,057,928</w:t>
            </w: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1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5,762,071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2,461,573</w:t>
            </w:r>
          </w:p>
        </w:tc>
      </w:tr>
      <w:tr>
        <w:trPr>
          <w:trHeight w:val="27"/>
        </w:trPr>
        <w:tc>
          <w:tcPr>
            <w:tcW w:w="6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real estate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8,314,546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4,519,501</w:t>
            </w: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(983,086)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(857,456)</w:t>
            </w:r>
          </w:p>
        </w:tc>
      </w:tr>
      <w:tr>
        <w:trPr>
          <w:trHeight w:val="27"/>
        </w:trPr>
        <w:tc>
          <w:tcPr>
            <w:tcW w:w="6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investments,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7,331,460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3,662,045</w:t>
            </w:r>
          </w:p>
        </w:tc>
      </w:tr>
      <w:tr>
        <w:trPr>
          <w:trHeight w:val="20"/>
        </w:trPr>
        <w:tc>
          <w:tcPr>
            <w:tcW w:w="6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increase in real estate investments was driven by the Penn-Pinnacle Merger, which resulted in the reclassification of the building assets under the Pinnacle Master Lease that were previously classified as an investment in direct financing lease on the Company's balance sheet to real estate investments and to a lesser extent the Tropicana Acquisition and the purchase of Plainridge Park. For further information on the Company's acquisitions see Note 4.</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30" w:right="23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Land Rights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19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land rights are amortized over the individual lease term of each ground lease, including all renewal options, which ranged from 10 years to 92 years at their respective acquisition dates. Land rights net, consists of the following:</w:t>
      </w:r>
    </w:p>
    <w:p>
      <w:pPr>
        <w:spacing w:after="0" w:line="31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80" w:type="dxa"/>
            <w:vAlign w:val="bottom"/>
          </w:tcPr>
          <w:p>
            <w:pPr>
              <w:jc w:val="right"/>
              <w:ind w:right="25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r>
      <w:tr>
        <w:trPr>
          <w:trHeight w:val="250"/>
        </w:trPr>
        <w:tc>
          <w:tcPr>
            <w:tcW w:w="7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80" w:type="dxa"/>
            <w:vAlign w:val="bottom"/>
            <w:gridSpan w:val="4"/>
          </w:tcPr>
          <w:p>
            <w:pPr>
              <w:jc w:val="right"/>
              <w:ind w:right="1017"/>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rights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700,997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656,666</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(27,790)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(16,518)</w:t>
            </w:r>
          </w:p>
        </w:tc>
      </w:tr>
      <w:tr>
        <w:trPr>
          <w:trHeight w:val="27"/>
        </w:trPr>
        <w:tc>
          <w:tcPr>
            <w:tcW w:w="7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rights,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673,207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640,148</w:t>
            </w:r>
          </w:p>
        </w:tc>
      </w:tr>
      <w:tr>
        <w:trPr>
          <w:trHeight w:val="20"/>
        </w:trPr>
        <w:tc>
          <w:tcPr>
            <w:tcW w:w="7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Amortization expense related to the ground leases is recorded within land rights and ground lease expense in the consolidated statements of income and totaled $11.3 million, $10.4 million and $6.2 million for the years ended December 31, 2018, 2017 and 2016, respectively.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2018, estimated future amortization expense related to the Company’s ground leases by fiscal year is as follows (in thousands):</w:t>
      </w:r>
    </w:p>
    <w:p>
      <w:pPr>
        <w:spacing w:after="0" w:line="200" w:lineRule="exact"/>
        <w:rPr>
          <w:sz w:val="20"/>
          <w:szCs w:val="20"/>
          <w:color w:val="auto"/>
        </w:rPr>
      </w:pPr>
    </w:p>
    <w:p>
      <w:pPr>
        <w:spacing w:after="0" w:line="26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870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7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12,359</w:t>
            </w:r>
          </w:p>
        </w:tc>
      </w:tr>
      <w:tr>
        <w:trPr>
          <w:trHeight w:val="243"/>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2020</w:t>
            </w:r>
          </w:p>
        </w:tc>
        <w:tc>
          <w:tcPr>
            <w:tcW w:w="7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12,359</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7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12,359</w:t>
            </w:r>
          </w:p>
        </w:tc>
      </w:tr>
      <w:tr>
        <w:trPr>
          <w:trHeight w:val="243"/>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7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12,359</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12,359</w:t>
            </w:r>
          </w:p>
        </w:tc>
      </w:tr>
      <w:tr>
        <w:trPr>
          <w:trHeight w:val="243"/>
        </w:trPr>
        <w:tc>
          <w:tcPr>
            <w:tcW w:w="8700" w:type="dxa"/>
            <w:vAlign w:val="bottom"/>
            <w:gridSpan w:val="3"/>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611,412</w:t>
            </w:r>
          </w:p>
        </w:tc>
      </w:tr>
      <w:tr>
        <w:trPr>
          <w:trHeight w:val="27"/>
        </w:trPr>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673,207</w:t>
            </w: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ind w:right="20" w:firstLine="648"/>
        <w:spacing w:after="0" w:line="295" w:lineRule="auto"/>
        <w:rPr>
          <w:sz w:val="20"/>
          <w:szCs w:val="20"/>
          <w:color w:val="auto"/>
        </w:rPr>
      </w:pPr>
      <w:r>
        <w:rPr>
          <w:rFonts w:ascii="Arial" w:cs="Arial" w:eastAsia="Arial" w:hAnsi="Arial"/>
          <w:sz w:val="16"/>
          <w:szCs w:val="16"/>
          <w:color w:val="auto"/>
        </w:rPr>
        <w:t>Details of the Company's significant ground leases are as follows: The Company leases land at the Belterra Casino Resort under two ground leases, each with an initial term of 5 years and nine automatic renewals of 5 years each. The renewal options extend the leases through 2049 and are not terminable by the Company. The first ground lease includes a base portion which is adjusted at each renewal based upon the CPI and a variable portion which is adjusted annually based upon 1.5% of gross gaming wins in excess of $100 million. The second ground lease has a fixed rent provision only.</w:t>
      </w:r>
    </w:p>
    <w:p>
      <w:pPr>
        <w:spacing w:after="0" w:line="16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leases land at the Ameristar East Chicago property under a ground lease with an initial term of 30 years and two optional renewals of 30 years each. The lease extends through 2086 with all renewals. Rent under the lease is adjusted every 3 years based upon the CPI and does not include a variable rent provision tied to the property's performance.</w:t>
      </w:r>
    </w:p>
    <w:p>
      <w:pPr>
        <w:spacing w:after="0" w:line="181"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The Company leases land at the River City Hotel and Casino under a ground lease with a term of 99 years that extends through 2108. The lease includes a base portion which is fixed and a variable portion which is adjusted annually based upon 2.5% of the annual gross receipts of the property less fixed rent payments made in the same year.</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leases land at the L'Auberge Lakes Charles property under a ground lease with an initial term of 10 years and six optional renewals of 10 years each. The lease extends through 2075 with all renewals. Rent under the lease is adjusted annually based upon the CPI and does not include a variable rent provision tied to the property's performance.</w:t>
      </w:r>
    </w:p>
    <w:p>
      <w:pPr>
        <w:spacing w:after="0" w:line="18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Company leases land at the Resorts Casino Tunica property under a ground lease with an initial term of 3 years and nine optional renewals of 5 years each. The lease extends through 2042 with all renewals. The lease has an annual fixed rent provision and does not include a variable rent provision tied to the property's performance.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30" w:right="25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60" w:firstLine="648"/>
        <w:spacing w:after="0" w:line="250" w:lineRule="auto"/>
        <w:rPr>
          <w:sz w:val="20"/>
          <w:szCs w:val="20"/>
          <w:color w:val="auto"/>
        </w:rPr>
      </w:pPr>
      <w:r>
        <w:rPr>
          <w:rFonts w:ascii="Arial" w:cs="Arial" w:eastAsia="Arial" w:hAnsi="Arial"/>
          <w:sz w:val="17"/>
          <w:szCs w:val="17"/>
          <w:color w:val="auto"/>
        </w:rPr>
        <w:t>The Company leases land at the 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Jackpot Casino under two ground leases. The first ground lease has an initial term of 6 years and nine optional renewals of 6 years each. The lease extends through 2054 with all renewals. Rent under this lease is adjusted annually based upon the CPI and does not include a variable rent provision tied to the property's performance. The second ground lease has an initial term of 10 years with ten optional renewals of 5 years each. The lease extends through 2055 with all renewals. The lease has an annual fixed rent provision and a variable portion which is adjusted annually based upon net gaming revenues of up to 4%, dependent on the property's operating results.</w:t>
      </w:r>
    </w:p>
    <w:p>
      <w:pPr>
        <w:spacing w:after="0" w:line="19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Company leases land at the Belle of Baton Rouge property under two ground leases. The first ground lease has an initial term of 5 years and two automatic renewals of 5 years each. The lease extends through 2028 with the automatic renewals. Rent under this lease increases by 3% every 2 years and does not include a variable portion tied to the property's performance. The second ground lease has an initial term of 17 years, followed by one automatic 3-year renewal and eight optional renewals of 10 years each. The lease extends through 2083 with all renewals. Rent under this lease is adjusted every 5 years based upon the CPI and does not include a variable rent provision tied to the property's performance.</w:t>
      </w:r>
    </w:p>
    <w:p>
      <w:pPr>
        <w:spacing w:after="0" w:line="17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leases land at the Tropicana Evansville Casino under a ground lease with an initial term of 10 years and two optional 5-year renewals, one optional 12-year renewal, one optional 3-year renewal, and five optional 5-year renewals. The lease extends through 2055 with all renewals. The lease agreement has an annual fixed rent provision, a portion of which was prepaid at the casino's opening and the tenant receives rental credits from the landlord extending through the end of the current term. Additionally, the lease contains a variable portion which is adjusted annually based upon the annual gross receipts of the property. Rent paid to the landlord under this provision is graduated and ranges from 2% to 12% of annual gross receipts dependent on the actual revenues of the property.</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leases land at the Trop Casino Greenville under three ground leases. The first ground lease has an initial term of 7 years and four optional renewals of varying lengths, which extend the lease through 2038. The lease has an annual fixed rent provision, which is adjusted at each renewal based upon the CPI and does not include a variable rent provision tied to the property's performance. The second ground lease has an initial term of 20 years and six optional renewals of 5 years each. The lease extends through 2044 with all renewals. The lease has an annual fixed rent provision and does not include a variable rent provision tied to the property's performance. The third ground lease has an initial term of 6 years with nine optional renewals of 6 years each. The lease extends through 2057 with all renewals. Rent under the lease is adjusted annually based upon the CPI, with minimum annual increases of 3.3% and does not include a variable rent provision tied to the property's performance.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Used in Operations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Property and equipment used in operations, net, consists of the following and primarily represents the assets utilized at the TRS Properties</w:t>
      </w:r>
    </w:p>
    <w:p>
      <w:pPr>
        <w:spacing w:after="0" w:line="162"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r>
      <w:tr>
        <w:trPr>
          <w:trHeight w:val="196"/>
        </w:trPr>
        <w:tc>
          <w:tcPr>
            <w:tcW w:w="6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30,431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30,276</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1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116,776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116,286</w:t>
            </w:r>
          </w:p>
        </w:tc>
      </w:tr>
      <w:tr>
        <w:trPr>
          <w:trHeight w:val="27"/>
        </w:trPr>
        <w:tc>
          <w:tcPr>
            <w:tcW w:w="6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117,247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114,972</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8</w:t>
            </w:r>
          </w:p>
        </w:tc>
      </w:tr>
      <w:tr>
        <w:trPr>
          <w:trHeight w:val="27"/>
        </w:trPr>
        <w:tc>
          <w:tcPr>
            <w:tcW w:w="6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264,738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261,542</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(163,854)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(153,249)</w:t>
            </w:r>
          </w:p>
        </w:tc>
      </w:tr>
      <w:tr>
        <w:trPr>
          <w:trHeight w:val="27"/>
        </w:trPr>
        <w:tc>
          <w:tcPr>
            <w:tcW w:w="6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100,884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108,293</w:t>
            </w:r>
          </w:p>
        </w:tc>
      </w:tr>
      <w:tr>
        <w:trPr>
          <w:trHeight w:val="20"/>
        </w:trPr>
        <w:tc>
          <w:tcPr>
            <w:tcW w:w="6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Receivables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Loans Receivable</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At December 31, 2018, the Company has financial interests in two casino properties through secured mortgage loans to the respective casino owner-operators. On October 1, 2018, Eldorado purchased the real estate assets of Lumière Place Casino and Hotel from Tropicana for a cash purchase price of $246.0 million, exclusive of transaction fees. Financing for the transaction was provided by the Company in the form of $246.0 million secured mortgage loan on Lumière Place (the "Lumière Loan"). The Lumière Loan bears interest at a rate equal to approximately 9.00%. Until the one-year anniversary of the closing, the Lumière Loan will be secured by a first mortgage lien on Lumière Place. On the one-year anniversary of the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30" w:right="23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Lumière Loan, the mortgage and the related deed of trust on the Lumière Place property will terminate and the loan will continue unsecured until its final maturity on the two-year anniversary of the closing. The parties anticipate that the Lumière Loan will be fully repaid on or prior to maturity by way of substitution of one or more additional Eldorado properties acceptable to Eldorado and the Company, which will be transferred to the Company and added to the Eldorado Master Lease.</w:t>
      </w:r>
    </w:p>
    <w:p>
      <w:pPr>
        <w:spacing w:after="0" w:line="18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On October 15, 2018, Boyd purchased the real estate assets of Belterra Park from Pinnacle for a cash purchase price of $57.7 million, exclusive of transaction fees. Financing for the transaction was provided by the Company in the form of $57.7 million secured mortgage loan on Belterra Park (the "Belterra Park Loan"). The Belterra Park Loan bears interest at a rate equal to 11.11% and matures in connection with the expiration of the Boyd Master Lease (as may be extended at the tenant's option to April 30, 2051).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Direct Financing Lease, Net</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At the time of the original Pinnacle transaction, the fair value assigned to the land (inclusive of the land rights) at the time of acquisition qualified for operating lease treatment, while the fair value assigned to the buildings was classified as a direct financing lease. Under ASC 840, the accounting treatment for direct financing leases required the Company to record an investment in direct financing leases on its books at lease inception and subsequently recognize interest income and a reduction in the investment for the building portion of rent. This initial net investment was determined by aggregating the total future minimum lease payments attributable to the direct financing lease and the estimated residual value of the property, less unearned income. The interest income recorded under the direct financing lease was included in income from direct financing lease on the Company's consolidated statements of income and was recognized over the original 35-year lease term using the effective interest rate method which produced a constant periodic rate of return on the net investment in the leased property. Furthermore, as the net investment in direct financing lease included only future minimum lease payments, rent that was not fixed and determinable at the lease inception was excluded from the determination of the rent attributable to the leased assets and was therefore recorded as income from direct financing lease in the period earned. The unguaranteed residual value was the Company's estimate of what it could realize upon the sale of the property at the end of the lease term.</w:t>
      </w:r>
    </w:p>
    <w:p>
      <w:pPr>
        <w:spacing w:after="0" w:line="18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October 15, 2018, in conjunction with the Penn-Pinnacle Merger, the Pinnacle Master Lease was amended via the fourth amendment to such lease to allow for the sale of the operating assets of Ameristar Casino Hotel Kansas City, Ameristar Casino Resort Spa St. Charles and Belterra Casino Resort from Pinnacle to Boyd. As a result of this amendment, the Company reassessed the lease's classification and determined the new lease agreement qualified for operating lease treatment under ASC 840. Therefore, subsequent to the Penn-Pinnacle Merger, the Amended Pinnacle Master Lease is treated as an operating lease in its entirety, the building assets previously recorded as an investment in direct financing lease on the Company's consolidated balance sheet were recorded as real estate assets on the Company's consolidated balance sheet and all rent received under the Amended Pinnacle Master Lease is recorded as rental income on the Company's consolidated statement of income.</w:t>
      </w:r>
    </w:p>
    <w:p>
      <w:pPr>
        <w:spacing w:after="0" w:line="17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At December 31, 2017, the Company's investment in direct financing lease, net, consisted of the following and represented the building assets initially acquired from Pinnacle:</w:t>
      </w:r>
    </w:p>
    <w:p>
      <w:pPr>
        <w:spacing w:after="0" w:line="312"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97"/>
              <w:spacing w:after="0"/>
              <w:rPr>
                <w:sz w:val="20"/>
                <w:szCs w:val="20"/>
                <w:color w:val="auto"/>
              </w:rPr>
            </w:pPr>
            <w:r>
              <w:rPr>
                <w:rFonts w:ascii="Arial" w:cs="Arial" w:eastAsia="Arial" w:hAnsi="Arial"/>
                <w:sz w:val="14"/>
                <w:szCs w:val="14"/>
                <w:b w:val="1"/>
                <w:bCs w:val="1"/>
                <w:color w:val="auto"/>
                <w:w w:val="90"/>
              </w:rPr>
              <w:t>December 31,</w:t>
            </w:r>
          </w:p>
        </w:tc>
      </w:tr>
      <w:tr>
        <w:trPr>
          <w:trHeight w:val="192"/>
        </w:trPr>
        <w:tc>
          <w:tcPr>
            <w:tcW w:w="6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2017</w:t>
            </w:r>
          </w:p>
        </w:tc>
      </w:tr>
      <w:tr>
        <w:trPr>
          <w:trHeight w:val="196"/>
        </w:trPr>
        <w:tc>
          <w:tcPr>
            <w:tcW w:w="6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(in thousands)</w:t>
            </w:r>
          </w:p>
        </w:tc>
      </w:tr>
      <w:tr>
        <w:trPr>
          <w:trHeight w:val="256"/>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Minimum lease payments receivable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3,263,387</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Unguaranteed residual value</w:t>
            </w:r>
          </w:p>
        </w:tc>
        <w:tc>
          <w:tcPr>
            <w:tcW w:w="1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689,811</w:t>
            </w:r>
          </w:p>
        </w:tc>
      </w:tr>
      <w:tr>
        <w:trPr>
          <w:trHeight w:val="27"/>
        </w:trPr>
        <w:tc>
          <w:tcPr>
            <w:tcW w:w="6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investment in direct financing lease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3,953,198</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Less: unearned income</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(1,315,559)</w:t>
            </w:r>
          </w:p>
        </w:tc>
      </w:tr>
      <w:tr>
        <w:trPr>
          <w:trHeight w:val="27"/>
        </w:trPr>
        <w:tc>
          <w:tcPr>
            <w:tcW w:w="6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 direct financing lease,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2,637,639</w:t>
            </w:r>
          </w:p>
        </w:tc>
      </w:tr>
      <w:tr>
        <w:trPr>
          <w:trHeight w:val="20"/>
        </w:trPr>
        <w:tc>
          <w:tcPr>
            <w:tcW w:w="6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Receivable</w:t>
      </w:r>
    </w:p>
    <w:p>
      <w:pPr>
        <w:spacing w:after="0" w:line="229"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In January 2014, the Company completed the asset acquisition of the real property associated with the Casino Queen in East St. Louis, Illinois for $140.7 million. GLPI leases the property back to Casino Queen on a triple-net basis on terms similar to those in the Master Leases. The lease has an initial term of 15 years and the tenant has an option to renew it at the same terms and conditions for four successive five-year periods (the "Casino Queen Lease").</w:t>
      </w:r>
    </w:p>
    <w:p>
      <w:pPr>
        <w:spacing w:after="0" w:line="14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Simultaneously with the Casino Queen acquisition, GLPI also provided Casino Queen with a $43.0 million, five-year term loan at 7% interest, pre-payable at any time, which, together with the sale proceeds, completely refinanced and retired all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30" w:right="23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 Casino Queen’s outstanding long-term debt obligations. On March 13, 2017, the outstanding principal and interest on this loan was repaid in full and GLPI simultaneously provided a new unsecured $13.0 million, 5.5-year term loan to CQ Holding Company, Inc., an affiliate of Casino Queen, to partially finance their acquisition of Lady Luck Casino in Marquette, Iowa. The cash proceeds were net settled. The new loan bears an interest rate of 15% and is pre-payable at any time.</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Company evaluates loans for impairment when it is probable that it will not be able to collect all amounts due according to contractual terms. All amounts due under the contractual terms means that both contractual interest payments and contractual principal payments of a loan will be collected as scheduled in the loan agreement. Indicators of impairment may include delinquent payments, a decline in the credit worthiness of a debtor, or a decline in the underlying property/tenant’s performance. The Company measures loan impairment based upon the present value of expected future cash flows discounted at the loan’s original effective interest rate. The determination of whether loans are impaired involves judgments and assumptions based on objective and subjective factors. If an impairment occurs, the Company will reduce the carrying value of the loan and record a corresponding charge to net income.</w:t>
      </w:r>
    </w:p>
    <w:p>
      <w:pPr>
        <w:spacing w:after="0" w:line="8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June 12, 2018, the Company received a Notice of Event of Default under the Senior Credit Agreement of CQ Holding Company from Citizens Bank, N.A. ("Citizens"), which reported a covenant default under their senior secured agreement. Under the terms of that agreement, when an event of default occurs, CQ Holding Company is prohibited from making cash payments to unsecured lenders such as GLPI. Therefore, the interest due from CQ Holding Company in June, September and December 2018 under the Company's unsecured loan was paid in kind in the amount of $1.5 million. In addition to the covenant violation noted above under the senior credit agreement with Citizens, CQ Holding Company also had a payment default under their senior credit agreement with Citizens. Furthermore, the Company has notified Casino Queen of Events of Default under the Company's unsecured loan with CQ Holding Company, related to financial covenant violations during the year ended December 31, 2018.</w:t>
      </w:r>
    </w:p>
    <w:p>
      <w:pPr>
        <w:spacing w:after="0" w:line="9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During the fourth quarter of 2018, the Company became aware of Casino Queen's intent to sell its operations to a third-party gaming operator. At December 31, 2018, active negotiations for the sale of Casino Queen's operations were taking place. Despite the payment and covenant defaults noted above, at this time, full payment of the principal is still expected, due to the anticipation that the operations will be sold in the near term for an amount allowing for repayment of the full $13.0 million of loan principal due to GLPI. However, the paid-in-kind interest due to the Company at December 31, 2018 is not expected to be collected, resulting in an impairment charge of $1.5 million during the fourth quarter of 2018. The Company did not recognize the paid-in-kind interest income due to the Company for the quarter ended December 31, 2018 and took a charge for the previously recognized paid-in-kind interest income through the Company’s consolidated statement of earnings as a reversal of the paid-in-kind interest income recognized earlier in the year. The Company cannot be 100% certain that the sale of Casino Queen's operations will come to fruition. The culmination of the actual transaction could result in further impairment charges for the Company. At December 31, 2018, the balance of the loan is $13.0 million. The loan balance is recorded at carrying value which approximates fair value.</w:t>
      </w:r>
    </w:p>
    <w:p>
      <w:pPr>
        <w:spacing w:after="0" w:line="11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At December 31, 2018, all lease payments due from Casino Queen remain current and the Casino Queen Lease remains in compliance with all covenants.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Intangible Assets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Goodwill is an asset representing the future economic benefits arising from other assets acquired in a business combination that are not individually identified and separately recognized. The only goodwill of the Company is the goodwill recorded on the books of Hollywood Casino Baton Rouge, in connection with Penn's purchase of this entity prior to the Spin-Off. The original assets and liabilities of GLPI, including goodwill and intangible assets were recorded at their respective historical carrying values at the time of the Spin-Off in accordance with the provisions of ASC 505. There is no goodwill recorded on the Company's GLP Capital segment, which holds the Company's REIT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130" w:right="25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the carrying amount of goodwill for the years ended December 31, 2018 and 2017 are as follows:</w:t>
      </w:r>
    </w:p>
    <w:p>
      <w:pPr>
        <w:spacing w:after="0" w:line="36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TRS Properties Business</w:t>
            </w:r>
          </w:p>
        </w:tc>
      </w:tr>
      <w:tr>
        <w:trPr>
          <w:trHeight w:val="192"/>
        </w:trPr>
        <w:tc>
          <w:tcPr>
            <w:tcW w:w="7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1"/>
              </w:rPr>
              <w:t>Segment</w:t>
            </w:r>
          </w:p>
        </w:tc>
      </w:tr>
      <w:tr>
        <w:trPr>
          <w:trHeight w:val="250"/>
        </w:trPr>
        <w:tc>
          <w:tcPr>
            <w:tcW w:w="7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center"/>
              <w:ind w:right="174"/>
              <w:spacing w:after="0"/>
              <w:rPr>
                <w:sz w:val="20"/>
                <w:szCs w:val="20"/>
                <w:color w:val="auto"/>
              </w:rPr>
            </w:pPr>
            <w:r>
              <w:rPr>
                <w:rFonts w:ascii="Arial" w:cs="Arial" w:eastAsia="Arial" w:hAnsi="Arial"/>
                <w:sz w:val="14"/>
                <w:szCs w:val="14"/>
                <w:b w:val="1"/>
                <w:bCs w:val="1"/>
                <w:color w:val="auto"/>
                <w:w w:val="89"/>
              </w:rPr>
              <w:t>(in thousands)</w:t>
            </w:r>
          </w:p>
        </w:tc>
      </w:tr>
      <w:tr>
        <w:trPr>
          <w:trHeight w:val="256"/>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75,521</w:t>
            </w:r>
          </w:p>
        </w:tc>
      </w:tr>
      <w:tr>
        <w:trPr>
          <w:trHeight w:val="243"/>
        </w:trPr>
        <w:tc>
          <w:tcPr>
            <w:tcW w:w="764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Impairment losses</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764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75,521</w:t>
            </w:r>
          </w:p>
        </w:tc>
      </w:tr>
      <w:tr>
        <w:trPr>
          <w:trHeight w:val="27"/>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7640" w:type="dxa"/>
            <w:vAlign w:val="bottom"/>
          </w:tcPr>
          <w:p>
            <w:pPr>
              <w:ind w:left="220"/>
              <w:spacing w:after="0"/>
              <w:rPr>
                <w:sz w:val="20"/>
                <w:szCs w:val="20"/>
                <w:color w:val="auto"/>
              </w:rPr>
            </w:pPr>
            <w:r>
              <w:rPr>
                <w:rFonts w:ascii="Arial" w:cs="Arial" w:eastAsia="Arial" w:hAnsi="Arial"/>
                <w:sz w:val="18"/>
                <w:szCs w:val="18"/>
                <w:color w:val="auto"/>
              </w:rPr>
              <w:t>Impairment losses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(59,454)</w:t>
            </w:r>
          </w:p>
        </w:tc>
      </w:tr>
      <w:tr>
        <w:trPr>
          <w:trHeight w:val="27"/>
        </w:trPr>
        <w:tc>
          <w:tcPr>
            <w:tcW w:w="7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16,067</w:t>
            </w: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During the year ended December 31, 2018, the Company recorded a goodwill impairment charge of $59.5 million in connection with its operations at Hollywood Casino Baton Rouge. This charge was driven by general market deterioration in the Baton Rouge region and the smoking ban at all Baton Rouge, Louisiana casinos that went into effect during the second quarter of 2018, both of which significantly impacted the Company's forecasted cash flows for this reporting unit. Subsequent to conducting its impairment tests on other long-lived assets, including the gaming license described below, the Company performed Step 1 of the goodwill impairment test, which indicated a potential impairment. Step 1 of the goodwill impairment test involved the determination of the fair value of the Baton Rouge reporting unit and its comparison to the reporting unit's carrying amount. Using a discounted cash flow model, which relied on projected EBITDA to determine the reporting unit's future cash flows, the Company calculated a fair value that was less than the reporting unit's carrying value and proceeded to Step 2. In Step 2 of the goodwill impairment test, the Company performed a fair value allocation as if the reporting unit had been acquired in a business combination and assigned the fair value of the reporting unit calculated in Step 1 to all assets and liabilities of the reporting unit, including any unrecognized intangible assets. Any residual fair value was allocated to goodwill to arrive at the implied fair value of goodwill. After completing the Step 2 allocation, the Company determined the goodwill on its Baton Rouge reporting unit had an implied fair value of $16.1 million and recorded the impairment charge of $59.5 million during the fourth quarter of 2018.</w:t>
      </w:r>
    </w:p>
    <w:p>
      <w:pPr>
        <w:spacing w:after="0" w:line="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accordance with ASC 350, the Company considers its gaming license at the Hollywood Casino Perryville property an indefinite-lived intangible asset that does not require amortization based on the Company's future expectations to operate this casino indefinitely, as well as the gaming industry's historical experience in renewing these intangible assets at minimal cost with various state gaming commissions. Rather, the Company's gaming license is tested annually, or more frequently if indicators of impairment exist, for impairment by comparing the fair value of the recorded asset to its carrying amount. If the carrying amount of the indefinite-life intangible asset exceeds its fair value, an impairment loss is recognized. Hollywood Casino Perryville's gaming license will expire in September 2025, fifteen years from the casino's opening date. The Company expects to expense any costs related to the gaming license renewal as incurred. The Company conducted its annual impairment assessment of the gaming license on October 1, 2018 using the Greenfield Method which estimates the fair value of the gaming license assuming the Company built a casino with similar utility to that of the existing facility. This method also assumes a theoretical start-up company going into business without any assets other than the intangible asset being valued. Based upon these assumptions and the Company's current forecasted cash flows for this reporting unit, the gaming license was not impaired. At both December 31, 2018 and 2017, the gaming license had a carrying value of $9.6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130" w:right="25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Debt</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net of current maturities and unamortized debt issuance costs is as follows:</w:t>
      </w:r>
    </w:p>
    <w:p>
      <w:pPr>
        <w:spacing w:after="0" w:line="15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Unsecured $1,175 million revolver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402,000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Unsecured term loan A</w:t>
            </w:r>
          </w:p>
        </w:tc>
        <w:tc>
          <w:tcPr>
            <w:tcW w:w="14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230,000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Unsecured term loan A-1</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525,000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825,000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$550 million 4.375% senior unsecured notes due November 2018</w:t>
            </w:r>
          </w:p>
        </w:tc>
        <w:tc>
          <w:tcPr>
            <w:tcW w:w="14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$1,000 million 4.875% senior unsecured notes due November 2020</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$400 million 4.375% senior unsecured notes due April 2021</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$500 million 5.375% senior unsecured notes due November 2023</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$850 million 5.250% senior unsecured notes due June 2025</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850,000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$975 million 5.375% senior unsecured notes due April 2026</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975,000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975,000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$500 million 5.750% senior unsecured notes due June 2028</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$750 million 5.30% senior unsecured notes due January 2029</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Capital lease</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5,903,112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4,481,230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w w:val="95"/>
              </w:rPr>
              <w:t>Less: unamortized debt issuance costs, bond premiums and original issuance discounts</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(49,615)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(38,350)</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Total long-term debt, net of unamortized debt issuance costs, bond premiums and original</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5,853,497</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4,442,880</w:t>
            </w:r>
          </w:p>
        </w:tc>
        <w:tc>
          <w:tcPr>
            <w:tcW w:w="0" w:type="dxa"/>
            <w:vAlign w:val="bottom"/>
          </w:tcPr>
          <w:p>
            <w:pPr>
              <w:spacing w:after="0"/>
              <w:rPr>
                <w:sz w:val="1"/>
                <w:szCs w:val="1"/>
                <w:color w:val="auto"/>
              </w:rPr>
            </w:pPr>
          </w:p>
        </w:tc>
      </w:tr>
      <w:tr>
        <w:trPr>
          <w:trHeight w:val="237"/>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discounts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schedule of future minimum repayments of long-term debt as of December 31, 2018 (in thousands):</w:t>
      </w:r>
    </w:p>
    <w:p>
      <w:pPr>
        <w:spacing w:after="0" w:line="375" w:lineRule="exact"/>
        <w:rPr>
          <w:sz w:val="20"/>
          <w:szCs w:val="20"/>
          <w:color w:val="auto"/>
        </w:rPr>
      </w:pPr>
    </w:p>
    <w:tbl>
      <w:tblPr>
        <w:tblLayout w:type="fixed"/>
        <w:tblInd w:w="3120" w:type="dxa"/>
        <w:tblCellMar>
          <w:top w:w="0" w:type="dxa"/>
          <w:left w:w="0" w:type="dxa"/>
          <w:bottom w:w="0" w:type="dxa"/>
          <w:right w:w="0" w:type="dxa"/>
        </w:tblCellMar>
      </w:tblPr>
      <w:tr>
        <w:trPr>
          <w:trHeight w:val="27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1,000,129</w:t>
            </w:r>
          </w:p>
        </w:tc>
      </w:tr>
      <w:tr>
        <w:trPr>
          <w:trHeight w:val="27"/>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925,135</w:t>
            </w: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902,149</w:t>
            </w: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Over 5 years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3,075,434</w:t>
            </w:r>
          </w:p>
        </w:tc>
      </w:tr>
      <w:tr>
        <w:trPr>
          <w:trHeight w:val="27"/>
        </w:trPr>
        <w:tc>
          <w:tcPr>
            <w:tcW w:w="3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payments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5,903,112</w:t>
            </w:r>
          </w:p>
        </w:tc>
      </w:tr>
      <w:tr>
        <w:trPr>
          <w:trHeight w:val="20"/>
        </w:trPr>
        <w:tc>
          <w:tcPr>
            <w:tcW w:w="3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Credit Facility</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Company's senior unsecured credit facility (the "Credit Facility"), consists of a $1,175 million revolving credit facility and a $525 million Term Loan A-1 facility. On May 21, 2018, the Company entered into the second amendment to the Credit Facility, which increased the Company's revolving commitments to an aggregate principal amount of $1,100 million, eliminated the Term Loan A facility, required the Company to repay a portion of the Term Loan A-1 facility and extended the maturity date of the revolving credit facility. On October 10, 2018, the Company entered into the third amendment to the Credit Facility, which further increased the Company's revolving commitments to an aggregate principal amount of $1,175 million. The revolving credit facility matures on May 21, 2023 and the Term Loan A-1 facility matures on April 28, 2021.</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recorded a loss on the early extinguishment of debt, related to the second amendment to the Credit Facility, of approximately $1.0 million for the proportional amount of unamortized debt issuance costs associated with the extinguished Term Loan A facility and related to the banks that are no longer participating in the Credit Facility.</w:t>
      </w:r>
    </w:p>
    <w:p>
      <w:pPr>
        <w:spacing w:after="0" w:line="18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At December 31, 2018, the Credit Facility had a gross outstanding balance of $927 million. Additionally, at December 31, 2018, the Company was contingently obligated under letters of credit issued pursuant to the Credit Facility with face amounts aggregating approximately $0.4 million, resulting in $772.6 million of available borrowing capacity under the revolving credit facility as of December 31, 2018.</w:t>
      </w:r>
    </w:p>
    <w:p>
      <w:pPr>
        <w:spacing w:after="0" w:line="16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interest rates payable on the loans are, at the Company's option, equal to either a LIBOR rate or a base rate plus an applicable margin, which ranges from 1.0% to 2.0% per annum for LIBOR loans and 0.0% to 1.0% per annum for base rate</w:t>
      </w:r>
    </w:p>
    <w:p>
      <w:pPr>
        <w:sectPr>
          <w:pgSz w:w="11900" w:h="16838" w:orient="portrait"/>
          <w:cols w:equalWidth="0" w:num="1">
            <w:col w:w="11400"/>
          </w:cols>
          <w:pgMar w:left="240" w:top="130" w:right="25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00"/>
          </w:cols>
          <w:pgMar w:left="240" w:top="130" w:right="259" w:bottom="1440" w:gutter="0" w:footer="0" w:header="0"/>
          <w:type w:val="continuous"/>
        </w:sectPr>
      </w:pPr>
    </w:p>
    <w:bookmarkStart w:id="88" w:name="page89"/>
    <w:bookmarkEnd w:id="8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loans, in each case, depending on the credit ratings assigned to the Credit Facility. At December 31, 2018, the applicable margin was 1.50% for LIBOR loans and 0.50% for base rate loans. In addition, the Company is required to pay a commitment fee on the unused portion of the commitments under the revolving facility at a rate that ranges from 0.15% to 0.35% per annum, depending on the credit ratings assigned to the Credit Facility. At December 31, 2018, the commitment fee rate was 0.25%. The Company is not required to repay any loans under the Credit Facility prior to maturity on May 21, 2023 and may prepay all or any portion of the loans under the Credit Facility prior to maturity without premium or penalty, subject to reimbursement of any LIBOR breakage costs of the lenders. The Company's wholly owned subsidiary, GLP Capital is the primary obligor under the Credit Facility, which is guaranteed by GLPI.</w:t>
      </w:r>
    </w:p>
    <w:p>
      <w:pPr>
        <w:spacing w:after="0" w:line="16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on and after the effective date of its election to be treated as a REIT, which the Company elected on its 2014 U.S. federal income tax return.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Credit Facility will enable the lenders under the Credit Facility to accelerate the loans and terminate the commitments thereunder. At December 31, 2018, the Company was in compliance with all required financial covenants under the Credit Facility.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December 31, 2018, the Company had an outstanding balance of $4,975 million of senior unsecured notes consisting of the following:</w:t>
      </w:r>
    </w:p>
    <w:p>
      <w:pPr>
        <w:spacing w:after="0" w:line="237"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On September 26, 2018, the Company issued $750 million of 5.30% senior unsecured notes maturing on January 15, 2029 at an issue price equal to 99.985% of the principal amount and $350 million of 5.25% senior unsecured notes maturing on June 1, 2025 at an issue price equal to 102.148% of the principal amount (the "New 2025 Notes"). The New 2025 Notes will become part of the same series as, and are expected to be fungible with, the Company's previously issued 5.25% senior notes due 2025, $500 million aggregate principal amount of which were originally issued on May 21, 2018 (the "Initial 2025 Notes"). Interest on the notes maturing in 2025 is payable semi-annually on June 1 and December 1 of each year, commencing on December 1, 2018 and is deemed to accrue from May 21, 2018, the issuance date of the Initial 2025 Notes. Interest on the notes maturing in 2029 is payable semi-annually on January 15 and July 15 of each year, commencing on January 15, 2019. The net proceeds from the sale of the New 2025 Notes and the notes maturing in 2029, together with funds available under the revolving credit facility were used in October 2018 to (i) finance GLPI’s acquisition of the real property assets of Plainridge Park Casino from Penn and its issuance of a secured mortgage loan to Boyd in connection with Boyd’s acquisition of the real property assets of Belterra Park Gaming &amp; Entertainment Center, (ii) finance GLPI’s acquisition of substantially all the real property assets of five gaming facilities owned by Tropicana and its issuance of a mortgage loan to Eldorado in connection with Eldorado’s acquisition of substantially all the real property assets of Lumière Place, and (iii) pay the estimated transaction fees and expenses associated with the transactions.</w:t>
      </w:r>
    </w:p>
    <w:p>
      <w:pPr>
        <w:spacing w:after="0" w:line="16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On May 21, 2018, the Company completed a cash tender offer (the "Tender Offer") to purchase any and all of the outstanding $550 million aggregate principal of its 4.375% senior unsecured notes due 2018. The Company received tenders from the holders of approximately $393.5 million in aggregate principal of these notes, or approximately 72%, in connection with the Tender Offer at a price of 100.396% of the unpaid principal amount plus accrued and unpaid interest through the settlement date. The Company recorded a loss on the early extinguishment of debt, related to the Tender Offer of approximately $2.5 million for the proportional amount of unamortized debt issuance costs associated with the tendered notes and the difference between the reaquisition price of the tendered notes and their net carrying value. On August 16, 2018, the Company redeemed the remaining notes for 100% of the principal amount and accrued and unpaid interest to, but not including the redemption date.</w:t>
      </w:r>
    </w:p>
    <w:p>
      <w:pPr>
        <w:spacing w:after="0" w:line="178"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Also on May 21, 2018, the Company issued $500 million of 5.25% senior unsecured notes maturing on June 1, 2025 and $500 million of 5.75% senior unsecured notes maturing on June 1, 2028. Interest is payable semi-annually on June 1 and December 1 of each year, commencing on December 1, 2018. The net proceeds from the sale of these notes were used (i) to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29" w:right="25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prepay and extinguish the outstanding borrowings under the Term Loan A facility under the Credit Facility and to repay a portion of the outstanding borrowings under the Term Loan A-1 facility, (ii) to finance the tender offer of the 2018 Notes, (iii) to redeem the remaining 2018 Notes and (iv) to pay fees and expenses to amend the Company's Credit Facility, as described above.</w:t>
      </w:r>
    </w:p>
    <w:p>
      <w:pPr>
        <w:spacing w:after="0" w:line="18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On April 28, 2016, in connection with the acquisition of Pinnacle, the Company issued $400 million of 4.375% senior unsecured notes maturing on April 15, 2021 and $975 million of 5.375% senior unsecured notes maturing on April 15, 2026. Interest on these notes is payable semi-annually on April 15 and October 15 of each year. The net proceeds from the sale of these notes were used (i) to finance the repayment, redemption and/or discharge of certain Pinnacle debt obligations that the Company assumed in the Pinnacle Merger, (ii) to pay transaction-related fees and expenses related to the Pinnacle Merger and (iii) for general corporate purposes.</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October 30 and 31, 2013, the Company issued $2,050 million aggregate principal amount of senior unsecured notes: $550 million of 4.375% senior unsecured notes that matured in 2018; $1,000 million of 4.875% senior unsecured notes maturing on November 1, 2020; and $500 million of 5.375% senior unsecured notes maturing on November 1, 2023. Interest on these notes is payable semi-annually on May 1 and November 1 of each year. The net proceeds from the sale of these notes, together with borrowings under the Credit Facility were used (i) to make distributions directly and indirectly to Penn in partial exchange for the contributions of real property assets by Penn and CRC Holdings, Inc., a Penn subsidiary, to the Company in connection with the Spin-Off, (ii) to pay related fees and expenses, (iii) to partially repay amounts funded under the revolving credit facility and (iv) to fund future earnings and profits distributions and for working capital purposes.</w:t>
      </w:r>
    </w:p>
    <w:p>
      <w:pPr>
        <w:spacing w:after="0" w:line="23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Company may redeem the senior unsecured notes, collectively, the "Notes" of any series at any time, and from time to time, at a redemption price of 100% of the principal amount of the Notes redeemed, plus a "make-whole" redemption premium described in the indenture governing the Notes, together with accrued and unpaid interest to, but not including, the redemption date, except that if Notes of a series are redeemed 90 or fewer days prior to their maturity, the redemption price will be 100% of the principal amount of the Notes redeemed, together with accrued and unpaid interest to, but not including, the redemption date. If GLPI experiences a change of control accompanied by a decline in the credit rating of the Notes of a particular series, the Company will be required to give holders of the Notes of such series the opportunity to sell their Notes of such series at a price equal to 101% of the principal amount of the Notes of such series, together with accrued and unpaid interest to, but not including, the repurchase date. The Notes also are subject to mandatory redemption requirements imposed by gaming laws and regulations.</w:t>
      </w:r>
    </w:p>
    <w:p>
      <w:pPr>
        <w:spacing w:after="0" w:line="23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The Notes were issued by GLP Capital, L.P. and GLP Financing II, Inc. (the "Issuers"), two wholly-owned subsidiaries of GLPI, and are guaranteed on a senior unsecured basis by GLPI. The guarantees of GLPI are full and unconditional. The Notes are the Issuers' senior unsecured obligations and rank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with all of the Issuers' senior indebtedness, including the Credit Facility, and senior in right of payment to all of the Issuers'</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subordinated indebtedness, without giving effect to collateral arrangements. See Note 19 for additional financial information on the parent guarantor and subsidiary issuers of the Notes.</w:t>
      </w:r>
    </w:p>
    <w:p>
      <w:pPr>
        <w:spacing w:after="0" w:line="107"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The Notes contain covenants limiting the Company’s ability to: incur additional debt and use its assets to secure debt; merge or consolidate with another company; and make certain amendments to the Penn Master Lease. The Notes also require the Company to maintain a specified ratio of unencumbered assets to unsecured debt. These covenants are subject to a number of important and significant limitations, qualifications and exceptions.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2018, the Company was in compliance with all required financial covenants under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w:t>
      </w:r>
    </w:p>
    <w:p>
      <w:pPr>
        <w:spacing w:after="0" w:line="229"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The Company assumed the capital lease obligation related to certain assets at its Aurora, Illinois property. GLPI recorded the asset and liability associated with the capital lease on its balance sheet. The original term of the capital lease was 30 years and it will terminate in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30" w:right="23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and Distribution Agreements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Pursuant to a Separation and Distribution Agreement between Penn and GLPI, any liability arising from or relating to legal proceedings involving the businesses and operations of Penn’s real property holdings prior to the Spin-Off (other than any liability arising from or relating to legal proceedings where the dispute arises from the operation or ownership of the TRS Properties) will be retained by Penn, and Penn will indemnify GLPI (and its subsidiaries, directors, officers, employees and agents and certain other related parties) against any losses it may incur arising from or relating to such legal proceedings. Similarly, pursuant to a Separation and Distribution Agreement between Pinnacle's operating company and GLPI (as successor to Pinnacle Entertainment), any liability arising from or relating to legal proceedings involving the business and operations of Pinnacle's real property holdings prior to the Pinnacle Merger will be retained by Pinnacle, and Pinnacle will indemnify GLPI (and its subsidiaries, directors, officers, employees and agents and certain other related parties) against any losses it may incur arising from or relating to such legal proceedings. Effective October 15, 2018, Penn assumed all obligations of Pinnacle as pursuant to a merger of Pinnacle with and into a subsidiary of Penn. There can be no assurance that Penn will be able to fully satisfy these indemnification obligations. Moreover, even if the Company ultimately succeeds in recovering from Penn any amounts for which the Company is liable, it may be temporarily required to bear those losses.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or results of operations. Further, no assurance can be given that the amount or scope of existing insurance coverage will be sufficient to cover losses arising from such matters.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 Commitments</w:t>
      </w:r>
    </w:p>
    <w:p>
      <w:pPr>
        <w:spacing w:after="0" w:line="283"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As part of the Spin-Off, Penn assigned to GLPI various leases for the land and buildings acquired in connection with the Spin-Off. The lease agreements contain base lease payments and, in some instances, a percentage rent based on a percent of adjusted gaming wins, as described in the respective leases. The portion of the rent that is fixed and determinable is included in the schedule below as a future commitment, while the portion of the rent that is variable is excluded from future commitments as the amounts are not fixed and determinable at December 31, 2018 and therefore considered contingent rent. The following is a description of the more significant lease contracts assigned to GLPI at the Spin-Off:</w:t>
      </w:r>
    </w:p>
    <w:p>
      <w:pPr>
        <w:spacing w:after="0" w:line="227"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Company leases land at the Boomtown Casino Biloxi under two ground leases. The first ground lease has a term of 99 years. The annual rental payments under the first ground lease are increased every 5 years by 15%. The second ground lease has an initial term of 10 years and is automatically extended for additional 10-year terms unless notice is provided to the landlord within 180 days of the current term's end date. The annual rental payments under the second ground lease are increased every 5 years by 4%. Neither of the leases include a variable rent provision tied to the property's performance</w:t>
      </w:r>
    </w:p>
    <w:p>
      <w:pPr>
        <w:spacing w:after="0" w:line="20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Company has an operating lease for the land utilized in connection with the operations of Hollywood Casino Tunica in Tunica, Mississippi. The lease has a five-year initial term and nine five-year renewals at the tenant's option. The lease agreement has an annual fixed rent provision, as well as an annual revenue-sharing provision, which is equal to the result obtained by subtracting the fixed rent provision from 4% of gross revenues.</w:t>
      </w:r>
    </w:p>
    <w:p>
      <w:pPr>
        <w:spacing w:after="0" w:line="22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has an operating lease with the City of Bangor for the land utilized in connection with the operations of Hollywood Casino Bangor. Rent under the lease is adjusted every 5 years based upon the CPI and does not include a variable rent provision tied to the property's performance. The initial term of the lease is 15 years, with three ten-year renewal options.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leases land at the Argosy Casino Alton under a ground lease with a 30-year initial term and two optional renewals of 10 years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lease agreement contains a fixed rent provision and does not include a variable portion tied to the property's performance.</w:t>
      </w:r>
    </w:p>
    <w:p>
      <w:pPr>
        <w:spacing w:after="0" w:line="26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 leases land at Hollywood Casino Aurora under a ground lease with a 49-year initial term and five optional renewals of 10 years each. The lease agreement contains a fixed rent provision which is adjusted annually based upon the CPI and does not include a variable rent provision tied to the property's performance.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130" w:right="25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also obtained ground lease rights through the acquisition of several of its rental properties and immediately subleased the land to its tenants. The Company records revenue for the ground lease rent paid by its tenants with an offsetting expense in land rights and ground lease expense within the consolidated statements of income as the Company has concluded that as the lessee it is the primary obligor under these ground leases. However, the Company subleases these ground leases back to its tenants, who are responsible for payment directly to the landlord. The portion of the ground lease rent that is fixed and determinable is included in the schedule below as a future commitment, while the portion of the ground lease rent that is variable is excluded from future commitments as the amounts are not fixed and determinable at December 31, 2018 and therefore considered contingent rent. Details of the acquired ground leases are below:</w:t>
      </w:r>
    </w:p>
    <w:p>
      <w:pPr>
        <w:spacing w:after="0" w:line="24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During October 2018, the Company acquired the real estate assets of five properties from Tropicana, including the rights to land subject to long-term ground leases. The Company assumed six ground leases related to the acquired Tropicana Properties and immediately subleased the land to Eldorado, who is responsible for payment directly to the landlord. For those ground leases with optional renewal terms extending beyond the 15-year lease term of the Eldorado Master Lease, the Company has included only the renewals that align most closely to the 2033 termination date of the Eldorado Master Lease in the schedule below, as it cannot be reasonably assured it will renew ground leases for land subleased to Eldorado beyond the term of the Eldorado Master Lease. The following is a description of the lease contracts assumed from the acquisition of the Tropicana Properties:</w:t>
      </w:r>
    </w:p>
    <w:p>
      <w:pPr>
        <w:spacing w:after="0" w:line="9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Company leases land at the Belle of Baton Rouge property under two ground leases. The first ground lease has an initial term of 5 years and two automatic renewals of 5 years each. The lease extends through 2028 with the automatic renewals. Rent under this lease increases by 3% every 2 years and does not include a variable portion tied to the property's performance. The second ground lease has an initial term of 17 years, followed by one automatic 3-year renewal and eight optional renewals of 10 years each. The lease extends through 2083 with all renewals. Rent under this lease is adjusted every 5 years based upon the CPI and does not include a variable rent provision tied to the property's performance.</w:t>
      </w:r>
    </w:p>
    <w:p>
      <w:pPr>
        <w:spacing w:after="0" w:line="17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leases land at the Tropicana Evansville Casino under a ground lease with an initial term of 10 years and two optional 5-year renewals, one optional 12-year renewal, one optional 3-year renewal, and five optional 5-year renewals. The lease extends through 2055 with all renewals. The lease agreement has an annual fixed rent provision, a portion of which was prepaid at the casino's opening and the tenant receives rental credits from the landlord extending through the end of the current term. Additionally, the lease contains a variable portion which is adjusted annually based upon the annual gross receipts of the property. Rent paid to the landlord under this provision is graduated and ranges from 2% to 12% of annual gross receipts dependent on the actual revenues of the property.</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leases land at the Trop Casino Greenville under three ground leases. The first ground lease has an initial term of 7 years and four optional renewals of varying lengths, which extend the lease through 2038. The lease has an annual fixed rent provision, which is adjusted at each renewal based upon the CPI and does not include a variable rent provision tied to the property's performance. The second ground lease has an initial term of 20 years and six optional renewals of 5 years each. The lease extends through 2044 with all renewals. The lease has an annual fixed rent provision and does not include a variable rent provision tied to the property's performance. The third ground lease has an initial term of 6 years with nine optional renewals of 6 years each. The lease extends through 2057 with all renewals. Rent under the lease is adjusted annually based upon the CPI, with minimum annual increases of 3.3% and does not include a variable rent provision tied to the property's performance.</w:t>
      </w:r>
    </w:p>
    <w:p>
      <w:pPr>
        <w:spacing w:after="0" w:line="17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During May 2017, the Company acquired the real estate assets of the Tunica Properties, including the rights to land subject to long-term ground leases. The Company assumed three ground leases related to the acquired Tunica Properties and immediately subleased the land to Penn, who is responsible for payment directly to the landlord. For those ground leases with optional renewal terms extending beyond the 35-year lease term of the Penn Master Lease, the Company has included only the renewals that align most closely to the 2048 termination date of the Penn Master Lease in the schedule below, as it cannot be reasonably assured it will renew ground leases for land subleased to Penn beyond the term of the Penn Master Lease. The following is a description of the lease contracts assumed from the acquisition of the Tunica Properties:</w:t>
      </w:r>
    </w:p>
    <w:p>
      <w:pPr>
        <w:spacing w:after="0" w:line="178"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Company leases land at the Resorts Casino Tunica property under a ground lease with an initial term of 3 years and nine optional renewals of 5 years each. The lease extends through 2042 with all renewals. The lease has an annual fixed rent provision and does not include a variable portion.</w:t>
      </w:r>
    </w:p>
    <w:p>
      <w:pPr>
        <w:spacing w:after="0" w:line="124" w:lineRule="exact"/>
        <w:rPr>
          <w:sz w:val="20"/>
          <w:szCs w:val="20"/>
          <w:color w:val="auto"/>
        </w:rPr>
      </w:pPr>
    </w:p>
    <w:p>
      <w:pPr>
        <w:ind w:right="20" w:firstLine="648"/>
        <w:spacing w:after="0" w:line="232" w:lineRule="auto"/>
        <w:rPr>
          <w:sz w:val="20"/>
          <w:szCs w:val="20"/>
          <w:color w:val="auto"/>
        </w:rPr>
      </w:pPr>
      <w:r>
        <w:rPr>
          <w:rFonts w:ascii="Arial" w:cs="Arial" w:eastAsia="Arial" w:hAnsi="Arial"/>
          <w:sz w:val="18"/>
          <w:szCs w:val="18"/>
          <w:color w:val="auto"/>
        </w:rPr>
        <w:t>The Company leases land at the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Jackpot Casino under two ground leases. The first ground lease has an initial term of 6 years and nine optional renewals of 6 years each. The lease extends through 2054 with all renewals. Rent under this lease is adjusted annually based upon the CPI and does not include a variable portion. The second lease has an initial term of 10 years with ten optional renewals of 5 years each. The lease extends through 2055 with all renewals. The lease has an annual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30" w:right="23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fixed rent provision and a variable portion which is adjusted annually based upon net gaming revenues of up to 4%, dependent on the property's operating results.</w:t>
      </w:r>
    </w:p>
    <w:p>
      <w:pPr>
        <w:spacing w:after="0" w:line="170"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During April 2016, the Company acquired the majority of the real estate assets of Pinnacle, including the rights to land subject to long-term ground leases. The Company assumed ground leases at several of the acquired Pinnacle properties and immediately subleased the land back to Pinnacle. Subsequent to the Penn-Pinnacle Merger in October 2018, Penn assumed the ground leases at the Ameristar East Chicago, River City Hotel and Casino and L'Auberge Lakes Charles properties and Boyd assumed the ground leases at the Belterra Casino Resort property. Penn and Boyd are responsible for payment directly to the respective landlords at these properties. For those ground leases with optional renewal terms extending beyond the 10-year lease term of the Amended Pinnacle Master Lease and the Boyd Master Lease, the Company has included only the renewals that align most closely to the 2026 termination date of the Amended Pinnacle Master Lease and the Boyd Master Lease in the schedule below, as it cannot be reasonably assured it will renew ground leases for land subleased to Penn and Boyd beyond the terms of the Amended Pinnacle Master Lease and the Boyd Master Lease. The following is a description of the significant lease contracts originally assumed from Pinnacle:</w:t>
      </w:r>
    </w:p>
    <w:p>
      <w:pPr>
        <w:spacing w:after="0" w:line="18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leases land at the Belterra Casino Resort under two ground leases, each with an initial term of 5 years and nine automatic renewals of 5 years each. The renewal options extend the leases through 2049 and are not terminable by the Company. The first ground lease includes a base portion which is adjusted at each renewal based upon the CPI and a variable portion which is adjusted annually based upon 1.5% of gross gaming wins in excess of $100 million. The second ground lease has a fixed rent provision only.</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leases land at the Ameristar East Chicago property under a ground lease with an initial term of 30 years and two optional renewals of 30 years each. The lease extends through 2086 with all renewals. Rent under the lease is adjusted every 3 years based upon the CPI and does not include a variable rent provision tied to the property's performance.</w:t>
      </w:r>
    </w:p>
    <w:p>
      <w:pPr>
        <w:spacing w:after="0" w:line="181"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The Company leases land at the River City Hotel and Casino under a ground lease with a term of 99 years that extends through 2108. The lease includes a base portion which is fixed and a variable portion which is adjusted annually based upon 2.5% of the annual gross receipts of the property less fixed rent payments made in the same year.</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leases land at the L'Auberge Lakes Charles property under a ground lease with an initial term of 10 years and six optional renewals of 10 years each. The lease extends through 2075 with all renewals. Rent under the lease is adjusted annually based upon the CPI and does not include a variable rent provision tied to the property's performance.</w:t>
      </w:r>
    </w:p>
    <w:p>
      <w:pPr>
        <w:spacing w:after="0" w:line="10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In addition, the Company is liable under numerous operating leases for equipment and other miscellaneous assets, which expire at various dates through 2023.</w:t>
      </w:r>
    </w:p>
    <w:p>
      <w:pPr>
        <w:spacing w:after="0" w:line="224"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Total rental expense under these agreements was $18.9 million, $15.8 million and $11.0 million for the years ended December 31, 2018, 2017 and 2016. This includes rent expense under the leases assigned to the Company at Spin-Off, leases for equipment and miscellaneous assets and the fixed and variable rent under the ground leases discussed above.</w:t>
      </w:r>
    </w:p>
    <w:p>
      <w:pPr>
        <w:spacing w:after="0" w:line="23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future minimum lease commitments, as of inception of the lease, relating to noncancelable operating leases at December 31, 2018 are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6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Year ending December 31, </w:t>
            </w:r>
            <w:r>
              <w:rPr>
                <w:rFonts w:ascii="Arial" w:cs="Arial" w:eastAsia="Arial" w:hAnsi="Arial"/>
                <w:sz w:val="8"/>
                <w:szCs w:val="8"/>
                <w:b w:val="1"/>
                <w:bCs w:val="1"/>
                <w:color w:val="auto"/>
              </w:rPr>
              <w:t>(1)</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15,519</w:t>
            </w:r>
          </w:p>
        </w:tc>
      </w:tr>
      <w:tr>
        <w:trPr>
          <w:trHeight w:val="243"/>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8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15,159</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15,042</w:t>
            </w:r>
          </w:p>
        </w:tc>
      </w:tr>
      <w:tr>
        <w:trPr>
          <w:trHeight w:val="243"/>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8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15,026</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15,005</w:t>
            </w:r>
          </w:p>
        </w:tc>
      </w:tr>
      <w:tr>
        <w:trPr>
          <w:trHeight w:val="243"/>
        </w:trPr>
        <w:tc>
          <w:tcPr>
            <w:tcW w:w="986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541,135</w:t>
            </w:r>
          </w:p>
        </w:tc>
      </w:tr>
      <w:tr>
        <w:trPr>
          <w:trHeight w:val="27"/>
        </w:trPr>
        <w:tc>
          <w:tcPr>
            <w:tcW w:w="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9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616,886</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60"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21"/>
          <w:szCs w:val="21"/>
          <w:color w:val="auto"/>
          <w:vertAlign w:val="superscript"/>
        </w:rPr>
      </w:pPr>
      <w:r>
        <w:rPr>
          <w:rFonts w:ascii="Arial" w:cs="Arial" w:eastAsia="Arial" w:hAnsi="Arial"/>
          <w:sz w:val="15"/>
          <w:szCs w:val="15"/>
          <w:color w:val="auto"/>
        </w:rPr>
        <w:t>The above table excludes contingent rent in accordance with ASC 840.</w:t>
      </w:r>
    </w:p>
    <w:p>
      <w:pPr>
        <w:sectPr>
          <w:pgSz w:w="11900" w:h="16838" w:orient="portrait"/>
          <w:cols w:equalWidth="0" w:num="1">
            <w:col w:w="11400"/>
          </w:cols>
          <w:pgMar w:left="240" w:top="13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00"/>
          </w:cols>
          <w:pgMar w:left="240" w:top="130" w:right="259" w:bottom="1440" w:gutter="0" w:footer="0" w:header="0"/>
          <w:type w:val="continuous"/>
        </w:sectPr>
      </w:pPr>
    </w:p>
    <w:bookmarkStart w:id="93" w:name="page94"/>
    <w:bookmarkEnd w:id="9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28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maintains a defined contribution plan under the provisions of Section 401(k) of the Internal Revenue Code of 1986, as amended, which covers all eligible employees. The plan enables participating employees to defer a portion of their salary and/or their annual bonus in a retirement fund to be administered by the Company. The Company makes a discretionary match contribution of 50% of employees' elective salary deferrals, up to a maximum of 6% of eligible employee compensation. The matching contributions for the defined contribution plan were $0.3 million for each of the years ended December 31, 2018, 2017 and 2016.</w:t>
      </w:r>
    </w:p>
    <w:p>
      <w:pPr>
        <w:spacing w:after="0" w:line="24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maintains a non-qualified deferred compensation plan that covers most management and other highly-compensated employees. The plan allows the participants to defer, on a pre-tax basis, a portion of their base annual salary and/or their annual bonus, and earn tax-deferred earnings on these deferrals. The plan also provides for matching Company contributions that vest over a five-year period. The Company has established a Trust, and transfers to the Trust, on a periodic basis, an amount necessary to provide for its respective future liabilities with respect to participant deferral and Company contribution amounts. The Company's matching contributions for the non-qualified deferred compensation plan for the years ended December 31, 2018, 2017 and 2016 were $0.7 million, $0.6 million and $0.7 million, respectively. The Company's deferred compensation liability, which was included in other liabilities within the consolidated balance sheet, was $22.8 million and $22.7 million at December 31, 2018 and 2017, respectively. Assets held in the Trust were $22.7 million and $22.6 million at December 31, 2018 and 2017, respectively, and are included in other assets within the consolidated balance sheet.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 Agreements</w:t>
      </w:r>
    </w:p>
    <w:p>
      <w:pPr>
        <w:spacing w:after="0" w:line="28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Some of Hollywood Casino Perryville's employees are currently represented by labor unions. The Seafarers Entertainment and Allied Trade Union represents 145 of Hollywood Casino Perryville's employees under an agreement that expires in February 2020. Additionally, Local No. 27 United Food and Commercial Workers and United Industrial Service Transportation Professional and Government Workers of North America represent certain employees under collective bargaining agreements that expire in 2020, neither of which represents more than 50 of Hollywood Casino Perryville's employees. If the Company fails to renew or modify existing agreements on satisfactory terms, this failure could have a material adverse effect on Hollywood Casino Perryville's business, financial condition and results of operations. There can be no assurance that Hollywood Casino Perryville will be able to maintain these agreements.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Revenue Recognition</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As of December 31, 2018, 20 of the Company’s real estate investment properties were leased to a subsidiary of Penn under the Penn Master Lease, an additional 12 of the Company's real estate investment properties were leased to a subsidiary of Penn under the Amended Pinnacle Master Lease, 5 of the Company's real estate investment properties were leased to a subsidiary of Eldorado under the Eldorado Master Lease and 3 of the Company's real estate investment properties were leased to a subsidiary of Boyd under the Boyd Master Lease. Additionally, the Meadows real estate assets are leased to Penn under a single property triple-net lease and the Casino Queen real estate assets are leased back to the operator under an additional single property triple-net lease.</w:t>
      </w:r>
    </w:p>
    <w:p>
      <w:pPr>
        <w:spacing w:after="0" w:line="193"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obligations under the Penn and Amended Pinnacle Master Leases are guaranteed by Penn and by most of Penn's subsidiaries that occupy and operate the facilities leased under these master leases. A default by Penn or its subsidiaries with regard to any facility under the Penn Master Lease will cause a default with regard to the Penn Master Lease and a default by Penn or its subsidiaries with regard to any facility under the Amended Pinnacle Master Lease will cause a default with regard to the Amended Pinnacle Master Lease. The obligations under the Eldorado Master Lease are guaranteed by Eldorado and by most of Eldorado's subsidiaries that occupy and operate the facilities leased under the Eldorado Master Lease. A default by Eldorado or its subsidiaries with regard to any facility under the Eldorado Master Lease will cause a default with regard to the Eldorado Master Lease. The obligations under the Boyd Master Leases are guaranteed by most of Boyd's subsidiaries that occupy and operate the facilities leased under the Boyd Master Lease. A default by Boyd or its subsidiaries with regard to any facility under the Boyd Master Lease will cause a default with regard to the Boyd Master Lease.</w:t>
      </w:r>
    </w:p>
    <w:p>
      <w:pPr>
        <w:spacing w:after="0" w:line="16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rent structure under the Penn Master Lease includes a fixed component, a portion of which is subject to an annual 2% escalator if certain rent coverage ratio thresholds are met, and a component that is based on the performance of the facilities, which is adjusted, subject to certain floors (i) every five years to an amount equal to 4% of the average net revenues of all facilities under the Penn Master Lease (other than Hollywood Casino Columbus and Hollywood Casino Toledo) during the preceding five years, and (ii) monthly by an amount equal to 20% of the net revenues of Hollywood Casino Columbus and Hollywood Casino Toledo during the preceding month.</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130" w:right="25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Similar to the Penn Master Lease, the Amended Pinnacle Master Lease also includes a fixed component, a portion of which is subject to an annual 2% escalator if certain rent coverage ratio thresholds are met and a component that is based on the performance of the facilities, which is adjusted, subject to certain floors every two years to an amount equal to 4% of the average annual net revenues of all facilities under the Amended Pinnacle Master Lease during the preceding two years.</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Eldorado Master Lease includes a fixed component, a portion of which is subject to an annual 2% escalator if certain rent coverage ratio thresholds are met and a component that is based on the performance of the facilities, which is adjusted, subject to certain floors every two years to an amount equal to 4% of the average annual net revenues of all facilities under the Eldorado Master Lease during the preceding two years.</w:t>
      </w:r>
    </w:p>
    <w:p>
      <w:pPr>
        <w:spacing w:after="0" w:line="166" w:lineRule="exact"/>
        <w:rPr>
          <w:sz w:val="20"/>
          <w:szCs w:val="20"/>
          <w:color w:val="auto"/>
        </w:rPr>
      </w:pPr>
    </w:p>
    <w:p>
      <w:pPr>
        <w:jc w:val="both"/>
        <w:ind w:right="60" w:firstLine="690"/>
        <w:spacing w:after="0" w:line="286" w:lineRule="auto"/>
        <w:rPr>
          <w:sz w:val="20"/>
          <w:szCs w:val="20"/>
          <w:color w:val="auto"/>
        </w:rPr>
      </w:pPr>
      <w:r>
        <w:rPr>
          <w:rFonts w:ascii="Arial" w:cs="Arial" w:eastAsia="Arial" w:hAnsi="Arial"/>
          <w:sz w:val="17"/>
          <w:szCs w:val="17"/>
          <w:color w:val="auto"/>
        </w:rPr>
        <w:t>The Boyd Master Lease includes a fixed component, a portion of which is subject to an annual 2% escalator if certain rent coverage ratio thresholds are met, and a component that is based on the performance of the facilities, which is adjusted, subject to certain floors every two years to an amount equal to 4% of the average annual net revenues of all facilities under the Boyd Master Lease during the preceding two years.</w:t>
      </w:r>
    </w:p>
    <w:p>
      <w:pPr>
        <w:spacing w:after="0" w:line="16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Meadows Lease contains a fixed component, subject to annual escalators, and a component that is based on the performance of the facility, which is reset every two years to a fixed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$31.0 million, at which point the escalator will be reduced to 2% annually thereafter.</w:t>
      </w:r>
    </w:p>
    <w:p>
      <w:pPr>
        <w:spacing w:after="0" w:line="18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rent structure under the Casino Queen Lease also includes a fixed component, a portion of which is subject to an annual 2% escalator if certain rent coverage ratio thresholds are met, and a component that is based on the performance of the facility, which is reset every five years to a fixed amount equal to the greater of (i) the annual amount of non-fixed rent applicable for the lease year immediately preceding such rent reset year and (ii) an amount equal to 4% of the average annual net revenues of the facility for the trailing five year period.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rent, as triple-net lessees, all of the Company's tenants are required to pay the following executory costs: (1) all facility maintenance,</w:t>
      </w:r>
    </w:p>
    <w:p>
      <w:pPr>
        <w:spacing w:after="0" w:line="46" w:lineRule="exact"/>
        <w:rPr>
          <w:sz w:val="20"/>
          <w:szCs w:val="20"/>
          <w:color w:val="auto"/>
        </w:rPr>
      </w:pPr>
    </w:p>
    <w:p>
      <w:pPr>
        <w:ind w:right="240" w:firstLine="8"/>
        <w:spacing w:after="0" w:line="255" w:lineRule="auto"/>
        <w:tabs>
          <w:tab w:leader="none" w:pos="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90"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The Company determined, based on facts and circumstances prevailing at the time of each lease's inception, that neither Penn nor Casino Queen could continue as a going concern without the property(ies) that are leased to it under the respective master lease agreement (in the instance of Penn) and single property lease (in the instance of Casino Queen) with the Company. At lease inception, all of Casino Queen's revenues and substantially all of Penn's revenues were generated from operations in connection with the leased properties. There are also various legal restrictions in the jurisdictions in which Penn, and Casino Queen operate that limit the availability and location of gaming facilities, which makes relocation or replacement of the leased gaming facilities restrictive and potentially impracticable or unavailable. Moreover, under the terms of the master lease, Penn must make renewal elections with respect to all of the leased property together; the tenant is not entitled to selectively renew certain of the leased property while not renewing other property. Accordingly, the Company concluded that failure by Penn or Casino Queen to renew the lease would impose a significant penalty on such tenant such that renewal of all lease renewal options appears at lease inception to be reasonably assured. Therefore, the Company concluded that the term of Penn Master Lease and the Casino Queen Lease is 35 years, equal to the initial 15-year term plus all four of the 5-year renewal options.</w:t>
      </w:r>
    </w:p>
    <w:p>
      <w:pPr>
        <w:spacing w:after="0" w:line="16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discussed in Note 4, on October 15, 2018, in conjunction with the Penn-Pinnacle Merger, the Pinnacle Master Lease was amended via the fourth amendment to such lease to allow for the sale of the operating assets of Ameristar Casino Hotel Kansas City, Ameristar Casino Resort Spa St. Charles and Belterra Casino Resort from Pinnacle to Boyd. As a result of this amendment, the Company reassessed the lease's classification and determined the new lease agreement qualified for operating lease treatment under ASC 840. Therefore, subsequent to the Penn-Pinnacle Merger, the Amended Pinnacle Master Lease is treated as an operating lease in its entirety. Because the properties under the Amended Pinnacle Master Lease, do not represent a meaningful portion of Penn's business at the time Penn assumed the lease, the Company has concluded that lease term of the Amended Pinnacle Master Lease is 10 years, equal to the initial 10-year term only.</w:t>
      </w:r>
    </w:p>
    <w:p>
      <w:pPr>
        <w:spacing w:after="0" w:line="18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Also as described in Note 4, subsequent to purchasing the majority of Pinnacle's real estate assets and leasing them back to Pinnacle, the Company entered into a separate triple-net lease with Pinnacle to lease the Meadows real estate assets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130" w:right="25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Pinnacle. Because this lease involved only a single property within Pinnacle's portfolio, GLPI concluded it was not reasonably assured at lease inception that Pinnacle would elect to exercise all lease renewal options. Therefore, the Company concluded that the lease term of the Meadows Lease is 10 years, equal to the initial 10-year term only. In conjunction with the Penn-Pinnacle Merger, Penn assumed the Meadows Lease. The accounting for the Meadows Lease, including the lease term was not impacted by the change in tenant. Based upon similar fact patterns, the Company concluded it was not reasonably assured at lease inception that Eldorado or Boyd would elect to exercise all lease renewal options under their respective master leases. The properties under both master leases do not represent a significant portion of either tenant's business at lease inception; therefore the Company has concluded that the lease term of the Eldorado Master Lease is 15 years and the lease term of the Boyd Master Lease is 10 years, equal to the initial terms of such master leases only.</w:t>
      </w:r>
    </w:p>
    <w:p>
      <w:pPr>
        <w:spacing w:after="0" w:line="16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As of December 31, 2018, the future minimum rental income from the Company's properties under non-cancelable operating leases, including any reasonably assured rental periods, was as follows (in thousands):</w:t>
      </w:r>
    </w:p>
    <w:p>
      <w:pPr>
        <w:spacing w:after="0" w:line="96"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Future Rental</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Straight-Line Rent</w:t>
            </w:r>
          </w:p>
        </w:tc>
        <w:tc>
          <w:tcPr>
            <w:tcW w:w="180" w:type="dxa"/>
            <w:vAlign w:val="bottom"/>
          </w:tcPr>
          <w:p>
            <w:pPr>
              <w:spacing w:after="0"/>
              <w:rPr>
                <w:sz w:val="14"/>
                <w:szCs w:val="14"/>
                <w:color w:val="auto"/>
              </w:rPr>
            </w:pPr>
          </w:p>
        </w:tc>
        <w:tc>
          <w:tcPr>
            <w:tcW w:w="1140" w:type="dxa"/>
            <w:vAlign w:val="bottom"/>
          </w:tcPr>
          <w:p>
            <w:pPr>
              <w:jc w:val="center"/>
              <w:ind w:right="115"/>
              <w:spacing w:after="0"/>
              <w:rPr>
                <w:sz w:val="20"/>
                <w:szCs w:val="20"/>
                <w:color w:val="auto"/>
              </w:rPr>
            </w:pPr>
            <w:r>
              <w:rPr>
                <w:rFonts w:ascii="Arial" w:cs="Arial" w:eastAsia="Arial" w:hAnsi="Arial"/>
                <w:sz w:val="14"/>
                <w:szCs w:val="14"/>
                <w:b w:val="1"/>
                <w:bCs w:val="1"/>
                <w:color w:val="auto"/>
                <w:w w:val="91"/>
              </w:rPr>
              <w:t>Future Base</w:t>
            </w:r>
          </w:p>
        </w:tc>
        <w:tc>
          <w:tcPr>
            <w:tcW w:w="200" w:type="dxa"/>
            <w:vAlign w:val="bottom"/>
          </w:tcPr>
          <w:p>
            <w:pPr>
              <w:spacing w:after="0"/>
              <w:rPr>
                <w:sz w:val="14"/>
                <w:szCs w:val="14"/>
                <w:color w:val="auto"/>
              </w:rPr>
            </w:pPr>
          </w:p>
        </w:tc>
        <w:tc>
          <w:tcPr>
            <w:tcW w:w="138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Future Income to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Payments</w:t>
            </w:r>
          </w:p>
        </w:tc>
        <w:tc>
          <w:tcPr>
            <w:tcW w:w="14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4"/>
              </w:rPr>
              <w:t>Ground Rents</w:t>
            </w:r>
          </w:p>
        </w:tc>
        <w:tc>
          <w:tcPr>
            <w:tcW w:w="1580" w:type="dxa"/>
            <w:vAlign w:val="bottom"/>
            <w:gridSpan w:val="2"/>
          </w:tcPr>
          <w:p>
            <w:pPr>
              <w:jc w:val="center"/>
              <w:ind w:left="16"/>
              <w:spacing w:after="0" w:line="149" w:lineRule="exact"/>
              <w:rPr>
                <w:sz w:val="20"/>
                <w:szCs w:val="20"/>
                <w:color w:val="auto"/>
              </w:rPr>
            </w:pPr>
            <w:r>
              <w:rPr>
                <w:rFonts w:ascii="Arial" w:cs="Arial" w:eastAsia="Arial" w:hAnsi="Arial"/>
                <w:sz w:val="14"/>
                <w:szCs w:val="14"/>
                <w:b w:val="1"/>
                <w:bCs w:val="1"/>
                <w:color w:val="auto"/>
                <w:w w:val="90"/>
              </w:rPr>
              <w:t>Recognized Related to</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Receivable</w:t>
            </w:r>
          </w:p>
        </w:tc>
        <w:tc>
          <w:tcPr>
            <w:tcW w:w="180" w:type="dxa"/>
            <w:vAlign w:val="bottom"/>
          </w:tcPr>
          <w:p>
            <w:pPr>
              <w:spacing w:after="0"/>
              <w:rPr>
                <w:sz w:val="13"/>
                <w:szCs w:val="13"/>
                <w:color w:val="auto"/>
              </w:rPr>
            </w:pPr>
          </w:p>
        </w:tc>
        <w:tc>
          <w:tcPr>
            <w:tcW w:w="12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140" w:type="dxa"/>
            <w:vAlign w:val="bottom"/>
          </w:tcPr>
          <w:p>
            <w:pPr>
              <w:jc w:val="center"/>
              <w:ind w:right="115"/>
              <w:spacing w:after="0" w:line="158" w:lineRule="exact"/>
              <w:rPr>
                <w:sz w:val="20"/>
                <w:szCs w:val="20"/>
                <w:color w:val="auto"/>
              </w:rPr>
            </w:pPr>
            <w:r>
              <w:rPr>
                <w:rFonts w:ascii="Arial" w:cs="Arial" w:eastAsia="Arial" w:hAnsi="Arial"/>
                <w:sz w:val="14"/>
                <w:szCs w:val="14"/>
                <w:b w:val="1"/>
                <w:bCs w:val="1"/>
                <w:color w:val="auto"/>
                <w:w w:val="90"/>
              </w:rPr>
              <w:t>Receivable</w:t>
            </w:r>
          </w:p>
        </w:tc>
        <w:tc>
          <w:tcPr>
            <w:tcW w:w="200" w:type="dxa"/>
            <w:vAlign w:val="bottom"/>
          </w:tcPr>
          <w:p>
            <w:pPr>
              <w:spacing w:after="0"/>
              <w:rPr>
                <w:sz w:val="13"/>
                <w:szCs w:val="13"/>
                <w:color w:val="auto"/>
              </w:rPr>
            </w:pPr>
          </w:p>
        </w:tc>
        <w:tc>
          <w:tcPr>
            <w:tcW w:w="1380" w:type="dxa"/>
            <w:vAlign w:val="bottom"/>
          </w:tcPr>
          <w:p>
            <w:pPr>
              <w:jc w:val="center"/>
              <w:ind w:right="14"/>
              <w:spacing w:after="0" w:line="158" w:lineRule="exact"/>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959,797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13,403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938,626</w:t>
            </w:r>
          </w:p>
        </w:tc>
        <w:tc>
          <w:tcPr>
            <w:tcW w:w="0" w:type="dxa"/>
            <w:vAlign w:val="bottom"/>
          </w:tcPr>
          <w:p>
            <w:pPr>
              <w:spacing w:after="0"/>
              <w:rPr>
                <w:sz w:val="1"/>
                <w:szCs w:val="1"/>
                <w:color w:val="auto"/>
              </w:rPr>
            </w:pPr>
          </w:p>
        </w:tc>
      </w:tr>
      <w:tr>
        <w:trPr>
          <w:trHeight w:val="243"/>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2020</w:t>
            </w:r>
          </w:p>
        </w:tc>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920,129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13,408</w:t>
            </w:r>
          </w:p>
        </w:tc>
        <w:tc>
          <w:tcPr>
            <w:tcW w:w="20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930,970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854,210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13,414</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889,410</w:t>
            </w:r>
          </w:p>
        </w:tc>
        <w:tc>
          <w:tcPr>
            <w:tcW w:w="0" w:type="dxa"/>
            <w:vAlign w:val="bottom"/>
          </w:tcPr>
          <w:p>
            <w:pPr>
              <w:spacing w:after="0"/>
              <w:rPr>
                <w:sz w:val="1"/>
                <w:szCs w:val="1"/>
                <w:color w:val="auto"/>
              </w:rPr>
            </w:pPr>
          </w:p>
        </w:tc>
      </w:tr>
      <w:tr>
        <w:trPr>
          <w:trHeight w:val="243"/>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854,210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21,786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13,420</w:t>
            </w:r>
          </w:p>
        </w:tc>
        <w:tc>
          <w:tcPr>
            <w:tcW w:w="20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889,416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854,210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13,425</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889,421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11,146,434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265,694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471,598</w:t>
            </w:r>
          </w:p>
        </w:tc>
        <w:tc>
          <w:tcPr>
            <w:tcW w:w="20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11,883,726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15,588,990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293,911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538,668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16,421,569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table above presents the cash rent the Company expects to receive from its tenants, offset by adjustments to recognize this rent on a straight-line basis over the lease term. The Company also includes the future non-cash revenue it expects to recognize from the fixed portion of tenant paid ground leases in the table above. For further details on these tenant paid ground leases, refer to Note 11.</w:t>
      </w:r>
    </w:p>
    <w:p>
      <w:pPr>
        <w:spacing w:after="0" w:line="23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For the years ended December 31, 2018, 2017 and 2016, GLPI recognized $48.9 million, $46.8 million and $43.8 million, respectively, in contingent rental income from Hollywood Casino Columbus and Hollywood Casino Toledo related to clause (ii) in the paragraph above. The expected future minimum rental income from these properties, as well as any anticipated future rent based on the performance of the Company's leased facilities that resets after a certain passage of time are excluded from the table above as they are considered contingent rental income under ASC 840. Any anticipated future rent escalations are also excluded from the table above.</w:t>
      </w:r>
    </w:p>
    <w:p>
      <w:pPr>
        <w:spacing w:after="0" w:line="24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Company has financial interests in two casino properties through secured mortgage loans to the respective casino owner-operators. Interest income related to mortgage loans receivable is recorded as revenue from mortgaged real estate within the Company's consolidated statements of income in the period earned. During the year ended December 31, 2018, the Company recognized interest income from these loans of $6.9 million.</w:t>
      </w:r>
    </w:p>
    <w:p>
      <w:pPr>
        <w:spacing w:after="0" w:line="8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Gaming revenue generated by the TRS Properties mainly consists of revenue from slot machines, and to a lesser extent, table game and poker revenue. Gaming revenue from slot machines is the aggregate net difference between gaming wins and losses with liabilities recognized for funds deposited by customers before gaming play occurs, for "ticket-in, ticket-out" coupons in the customers’ possession, and for accruals related to the anticipated payout of progressive jackpots. Progressive slot machines, which contain base jackpots that increase at a progressive rate based on the number of coins played, are charged to revenue as the amount of the jackpots increases. Table game gaming revenue is the aggregate of table drop adjusted for the change in aggregate table chip inventory. Table drop is the total dollar amount of the currency, coins, chips, tokens, outstanding counter checks (markers), and front money that are removed from the live gaming tables. Additionally, food and beverage revenue is recognized as services are performed.</w:t>
      </w:r>
    </w:p>
    <w:p>
      <w:pPr>
        <w:spacing w:after="0" w:line="16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January 1, 2018, the Company adopted ASU 2014-09, which altered the recognition of revenue at the TRS Properties related to the customer loyalty programs. Specifically, the recognition of revenue associated with these points-based programs was impacted by eliminating the current accrual for the cost of the points awarded at the time of play and instead deferring the portion of the revenue received from the customer at the time of play and attributed to the awarded points until a later period when such points are redeemed or forfeited. The revenue deferral is calculated by allocating a portion of the transaction price to the points based upon their retail value. Under the former guidance, the cost of the points was recorded as an operating expense through the gaming, food, beverage and other expense line item of the Company's consolidated statement of income. Under ASU 2014-09, promotional allowances representing the retail value of food, beverages and other services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30" w:right="239" w:bottom="1440" w:gutter="0" w:footer="0" w:header="0"/>
        </w:sectPr>
      </w:pPr>
    </w:p>
    <w:bookmarkStart w:id="96" w:name="page97"/>
    <w:bookmarkEnd w:id="9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furnished to guests without charge are no longer presented as a separate line item on the consolidated statements of income, rather they are presented on a net basis within gaming, food, beverage and other revenue. This change has no impact to total revenues and is for presentation purposes only. The impact of adopting ASU 2014-09 was immaterial to the Company's total revenue for the year ended December 31, 2018.</w:t>
      </w:r>
    </w:p>
    <w:p>
      <w:pPr>
        <w:spacing w:after="0" w:line="16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discloses the components of gaming, food, beverage and other revenue within the consolidated statements of income for the years ended December 31, 2018, 2017 and 2016:</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196"/>
        </w:trPr>
        <w:tc>
          <w:tcPr>
            <w:tcW w:w="6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Slot machines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111,315</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118,998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119,390</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Table games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15,528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17,218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18,069</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Poker</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1,135</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Food, beverage and other</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8,762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9,468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11,067</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Promotional allowances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(5,610)</w:t>
            </w:r>
          </w:p>
        </w:tc>
      </w:tr>
      <w:tr>
        <w:trPr>
          <w:trHeight w:val="257"/>
        </w:trPr>
        <w:tc>
          <w:tcPr>
            <w:tcW w:w="6540" w:type="dxa"/>
            <w:vAlign w:val="bottom"/>
          </w:tcPr>
          <w:p>
            <w:pPr>
              <w:ind w:left="40"/>
              <w:spacing w:after="0"/>
              <w:rPr>
                <w:sz w:val="20"/>
                <w:szCs w:val="20"/>
                <w:color w:val="auto"/>
              </w:rPr>
            </w:pPr>
            <w:r>
              <w:rPr>
                <w:rFonts w:ascii="Arial" w:cs="Arial" w:eastAsia="Arial" w:hAnsi="Arial"/>
                <w:sz w:val="18"/>
                <w:szCs w:val="18"/>
                <w:color w:val="auto"/>
              </w:rPr>
              <w:t>Total gaming, food, beverage and other revenue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132,545</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142,086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144,051</w:t>
            </w:r>
          </w:p>
        </w:tc>
      </w:tr>
      <w:tr>
        <w:trPr>
          <w:trHeight w:val="20"/>
        </w:trPr>
        <w:tc>
          <w:tcPr>
            <w:tcW w:w="6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Income Taxes</w:t>
      </w:r>
    </w:p>
    <w:p>
      <w:pPr>
        <w:spacing w:after="0" w:line="14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Company elected on its U.S. federal income tax return for its taxable year that began on January 1, 2014 to be treated as a REIT. The benefits of the intended REIT conversion on the Company's tax provision and effective income tax rate are reflected in the tables below. Deferred tax assets and liabilities are provided for the effects of temporary differences between the tax basis of an asset or liability and its reported amount in the consolidated balance sheets. These temporary differences result in taxable or deductible amounts in future years. As a result of the Tax Cuts and Jobs Act, the corporate tax rate was permanently lowered from the previous maximum rate of 35% to 21%, effective for tax years including or commencing January 1, 2018. As a result of the reduction of the corporate tax rate, U.S. generally accepted accounting principles required companies to re-value their deferred tax assets and liabilities as of the date of the enactment, with resulting tax effects accounted for in the reported period of enactment. As such, the Company revalued its net deferred tax asset at December 31, 2017. This revaluation resulted in a reduction in the value of its net deferred tax asset of approximately $1.8 million, which was recorded as additional income tax expense in the Company’s consolidated statement of income for the year ended December 31, 2017.</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Company's deferred tax assets and liabilities, related to its TRS, are as follows: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4"/>
                <w:szCs w:val="14"/>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6"/>
                <w:szCs w:val="16"/>
                <w:color w:val="auto"/>
              </w:rPr>
            </w:pPr>
          </w:p>
        </w:tc>
      </w:tr>
      <w:tr>
        <w:trPr>
          <w:trHeight w:val="256"/>
        </w:trPr>
        <w:tc>
          <w:tcPr>
            <w:tcW w:w="8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8240" w:type="dxa"/>
            <w:vAlign w:val="bottom"/>
            <w:gridSpan w:val="2"/>
          </w:tcPr>
          <w:p>
            <w:pPr>
              <w:ind w:left="140"/>
              <w:spacing w:after="0"/>
              <w:rPr>
                <w:sz w:val="20"/>
                <w:szCs w:val="20"/>
                <w:color w:val="auto"/>
              </w:rPr>
            </w:pPr>
            <w:r>
              <w:rPr>
                <w:rFonts w:ascii="Arial" w:cs="Arial" w:eastAsia="Arial" w:hAnsi="Arial"/>
                <w:sz w:val="18"/>
                <w:szCs w:val="18"/>
                <w:color w:val="auto"/>
              </w:rPr>
              <w:t>Accrued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1,416</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1,597</w:t>
            </w: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5,405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4,823</w:t>
            </w:r>
          </w:p>
        </w:tc>
      </w:tr>
      <w:tr>
        <w:trPr>
          <w:trHeight w:val="243"/>
        </w:trPr>
        <w:tc>
          <w:tcPr>
            <w:tcW w:w="40" w:type="dxa"/>
            <w:vAlign w:val="bottom"/>
          </w:tcPr>
          <w:p>
            <w:pPr>
              <w:spacing w:after="0"/>
              <w:rPr>
                <w:sz w:val="21"/>
                <w:szCs w:val="21"/>
                <w:color w:val="auto"/>
              </w:rPr>
            </w:pPr>
          </w:p>
        </w:tc>
        <w:tc>
          <w:tcPr>
            <w:tcW w:w="824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deferred tax assets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7,134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6,420</w:t>
            </w:r>
          </w:p>
        </w:tc>
      </w:tr>
      <w:tr>
        <w:trPr>
          <w:trHeight w:val="237"/>
        </w:trPr>
        <w:tc>
          <w:tcPr>
            <w:tcW w:w="8280" w:type="dxa"/>
            <w:vAlign w:val="bottom"/>
            <w:gridSpan w:val="3"/>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r>
      <w:tr>
        <w:trPr>
          <w:trHeight w:val="243"/>
        </w:trPr>
        <w:tc>
          <w:tcPr>
            <w:tcW w:w="40" w:type="dxa"/>
            <w:vAlign w:val="bottom"/>
          </w:tcPr>
          <w:p>
            <w:pPr>
              <w:spacing w:after="0"/>
              <w:rPr>
                <w:sz w:val="21"/>
                <w:szCs w:val="21"/>
                <w:color w:val="auto"/>
              </w:rPr>
            </w:pPr>
          </w:p>
        </w:tc>
        <w:tc>
          <w:tcPr>
            <w:tcW w:w="8240" w:type="dxa"/>
            <w:vAlign w:val="bottom"/>
            <w:gridSpan w:val="2"/>
          </w:tcPr>
          <w:p>
            <w:pPr>
              <w:ind w:left="140"/>
              <w:spacing w:after="0"/>
              <w:rPr>
                <w:sz w:val="20"/>
                <w:szCs w:val="20"/>
                <w:color w:val="auto"/>
              </w:rPr>
            </w:pPr>
            <w:r>
              <w:rPr>
                <w:rFonts w:ascii="Arial" w:cs="Arial" w:eastAsia="Arial" w:hAnsi="Arial"/>
                <w:sz w:val="18"/>
                <w:szCs w:val="18"/>
                <w:color w:val="auto"/>
              </w:rPr>
              <w:t>Intangibles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(1,284)</w:t>
            </w:r>
          </w:p>
        </w:tc>
      </w:tr>
      <w:tr>
        <w:trPr>
          <w:trHeight w:val="27"/>
        </w:trPr>
        <w:tc>
          <w:tcPr>
            <w:tcW w:w="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deferred tax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(2,186)</w:t>
            </w:r>
          </w:p>
        </w:tc>
      </w:tr>
      <w:tr>
        <w:trPr>
          <w:trHeight w:val="257"/>
        </w:trPr>
        <w:tc>
          <w:tcPr>
            <w:tcW w:w="8280" w:type="dxa"/>
            <w:vAlign w:val="bottom"/>
            <w:gridSpan w:val="3"/>
          </w:tcPr>
          <w:p>
            <w:pPr>
              <w:ind w:left="40"/>
              <w:spacing w:after="0"/>
              <w:rPr>
                <w:sz w:val="20"/>
                <w:szCs w:val="20"/>
                <w:color w:val="auto"/>
              </w:rPr>
            </w:pPr>
            <w:r>
              <w:rPr>
                <w:rFonts w:ascii="Arial" w:cs="Arial" w:eastAsia="Arial" w:hAnsi="Arial"/>
                <w:sz w:val="18"/>
                <w:szCs w:val="18"/>
                <w:color w:val="auto"/>
              </w:rPr>
              <w:t>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4,917</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4,234</w:t>
            </w:r>
          </w:p>
        </w:tc>
      </w:tr>
      <w:tr>
        <w:trPr>
          <w:trHeight w:val="20"/>
        </w:trPr>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130" w:right="259" w:bottom="1440" w:gutter="0" w:footer="0" w:header="0"/>
        </w:sectPr>
      </w:pPr>
    </w:p>
    <w:bookmarkStart w:id="97" w:name="page98"/>
    <w:bookmarkEnd w:id="9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income taxes charged to operations for years ended December 31, 2018, 2017 and 2016 was as follows: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r>
      <w:tr>
        <w:trPr>
          <w:trHeight w:val="196"/>
        </w:trPr>
        <w:tc>
          <w:tcPr>
            <w:tcW w:w="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6"/>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Current tax expense</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6660" w:type="dxa"/>
            <w:vAlign w:val="bottom"/>
            <w:gridSpan w:val="3"/>
          </w:tcPr>
          <w:p>
            <w:pPr>
              <w:ind w:left="140"/>
              <w:spacing w:after="0"/>
              <w:rPr>
                <w:sz w:val="20"/>
                <w:szCs w:val="20"/>
                <w:color w:val="auto"/>
              </w:rPr>
            </w:pPr>
            <w:r>
              <w:rPr>
                <w:rFonts w:ascii="Arial" w:cs="Arial" w:eastAsia="Arial" w:hAnsi="Arial"/>
                <w:sz w:val="18"/>
                <w:szCs w:val="18"/>
                <w:color w:val="auto"/>
              </w:rPr>
              <w:t>Federal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2,856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7,039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6,004</w:t>
            </w: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2,630</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3,076</w:t>
            </w:r>
          </w:p>
        </w:tc>
      </w:tr>
      <w:tr>
        <w:trPr>
          <w:trHeight w:val="237"/>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Total current</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5,486</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10,348</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9,080</w:t>
            </w:r>
          </w:p>
        </w:tc>
      </w:tr>
      <w:tr>
        <w:trPr>
          <w:trHeight w:val="27"/>
        </w:trPr>
        <w:tc>
          <w:tcPr>
            <w:tcW w:w="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Deferred tax (benefit) expense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660" w:type="dxa"/>
            <w:vAlign w:val="bottom"/>
            <w:gridSpan w:val="3"/>
          </w:tcPr>
          <w:p>
            <w:pPr>
              <w:ind w:left="140"/>
              <w:spacing w:after="0"/>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21"/>
                <w:szCs w:val="21"/>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(1,324)</w:t>
            </w: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37"/>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Total deferred</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(561)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(1,535)</w:t>
            </w:r>
          </w:p>
        </w:tc>
      </w:tr>
      <w:tr>
        <w:trPr>
          <w:trHeight w:val="27"/>
        </w:trPr>
        <w:tc>
          <w:tcPr>
            <w:tcW w:w="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provision</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4,964</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9,787</w:t>
            </w:r>
          </w:p>
        </w:tc>
        <w:tc>
          <w:tcPr>
            <w:tcW w:w="8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7,545</w:t>
            </w:r>
          </w:p>
        </w:tc>
      </w:tr>
      <w:tr>
        <w:trPr>
          <w:trHeight w:val="20"/>
        </w:trPr>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459"/>
        </w:trPr>
        <w:tc>
          <w:tcPr>
            <w:tcW w:w="40" w:type="dxa"/>
            <w:vAlign w:val="bottom"/>
          </w:tcPr>
          <w:p>
            <w:pPr>
              <w:spacing w:after="0"/>
              <w:rPr>
                <w:sz w:val="24"/>
                <w:szCs w:val="24"/>
                <w:color w:val="auto"/>
              </w:rPr>
            </w:pPr>
          </w:p>
        </w:tc>
        <w:tc>
          <w:tcPr>
            <w:tcW w:w="11280" w:type="dxa"/>
            <w:vAlign w:val="bottom"/>
            <w:gridSpan w:val="15"/>
          </w:tcPr>
          <w:p>
            <w:pPr>
              <w:jc w:val="right"/>
              <w:ind w:right="72"/>
              <w:spacing w:after="0"/>
              <w:rPr>
                <w:sz w:val="20"/>
                <w:szCs w:val="20"/>
                <w:color w:val="auto"/>
              </w:rPr>
            </w:pPr>
            <w:r>
              <w:rPr>
                <w:rFonts w:ascii="Arial" w:cs="Arial" w:eastAsia="Arial" w:hAnsi="Arial"/>
                <w:sz w:val="18"/>
                <w:szCs w:val="18"/>
                <w:color w:val="auto"/>
                <w:w w:val="95"/>
              </w:rPr>
              <w:t>The following tables reconcile the statutory federal income tax rate to the actual effective income tax rate for the years ended December 31, 2018,</w:t>
            </w:r>
          </w:p>
        </w:tc>
      </w:tr>
      <w:tr>
        <w:trPr>
          <w:trHeight w:val="230"/>
        </w:trPr>
        <w:tc>
          <w:tcPr>
            <w:tcW w:w="6700" w:type="dxa"/>
            <w:vAlign w:val="bottom"/>
            <w:gridSpan w:val="4"/>
          </w:tcPr>
          <w:p>
            <w:pPr>
              <w:spacing w:after="0"/>
              <w:rPr>
                <w:sz w:val="20"/>
                <w:szCs w:val="20"/>
                <w:color w:val="auto"/>
              </w:rPr>
            </w:pPr>
            <w:r>
              <w:rPr>
                <w:rFonts w:ascii="Arial" w:cs="Arial" w:eastAsia="Arial" w:hAnsi="Arial"/>
                <w:sz w:val="18"/>
                <w:szCs w:val="18"/>
                <w:color w:val="auto"/>
              </w:rPr>
              <w:t>2017 and 2016:</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6700" w:type="dxa"/>
            <w:vAlign w:val="bottom"/>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24"/>
                <w:szCs w:val="24"/>
                <w:color w:val="auto"/>
              </w:rPr>
            </w:pPr>
          </w:p>
        </w:tc>
        <w:tc>
          <w:tcPr>
            <w:tcW w:w="1040" w:type="dxa"/>
            <w:vAlign w:val="bottom"/>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552"/>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Percent of pretax income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660" w:type="dxa"/>
            <w:vAlign w:val="bottom"/>
            <w:gridSpan w:val="3"/>
          </w:tcPr>
          <w:p>
            <w:pPr>
              <w:ind w:left="140"/>
              <w:spacing w:after="0"/>
              <w:rPr>
                <w:sz w:val="20"/>
                <w:szCs w:val="20"/>
                <w:color w:val="auto"/>
              </w:rPr>
            </w:pPr>
            <w:r>
              <w:rPr>
                <w:rFonts w:ascii="Arial" w:cs="Arial" w:eastAsia="Arial" w:hAnsi="Arial"/>
                <w:sz w:val="18"/>
                <w:szCs w:val="18"/>
                <w:color w:val="auto"/>
              </w:rPr>
              <w:t>U.S. federal statutory income tax rate</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State and local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43"/>
        </w:trPr>
        <w:tc>
          <w:tcPr>
            <w:tcW w:w="40" w:type="dxa"/>
            <w:vAlign w:val="bottom"/>
          </w:tcPr>
          <w:p>
            <w:pPr>
              <w:spacing w:after="0"/>
              <w:rPr>
                <w:sz w:val="21"/>
                <w:szCs w:val="21"/>
                <w:color w:val="auto"/>
              </w:rPr>
            </w:pPr>
          </w:p>
        </w:tc>
        <w:tc>
          <w:tcPr>
            <w:tcW w:w="6660" w:type="dxa"/>
            <w:vAlign w:val="bottom"/>
            <w:gridSpan w:val="3"/>
          </w:tcPr>
          <w:p>
            <w:pPr>
              <w:ind w:left="140"/>
              <w:spacing w:after="0"/>
              <w:rPr>
                <w:sz w:val="20"/>
                <w:szCs w:val="20"/>
                <w:color w:val="auto"/>
              </w:rPr>
            </w:pPr>
            <w:r>
              <w:rPr>
                <w:rFonts w:ascii="Arial" w:cs="Arial" w:eastAsia="Arial" w:hAnsi="Arial"/>
                <w:sz w:val="18"/>
                <w:szCs w:val="18"/>
                <w:color w:val="auto"/>
              </w:rPr>
              <w:t>Federal tax rate change</w:t>
            </w:r>
          </w:p>
        </w:tc>
        <w:tc>
          <w:tcPr>
            <w:tcW w:w="240" w:type="dxa"/>
            <w:vAlign w:val="bottom"/>
          </w:tcPr>
          <w:p>
            <w:pPr>
              <w:spacing w:after="0"/>
              <w:rPr>
                <w:sz w:val="21"/>
                <w:szCs w:val="21"/>
                <w:color w:val="auto"/>
              </w:rPr>
            </w:pPr>
          </w:p>
        </w:tc>
        <w:tc>
          <w:tcPr>
            <w:tcW w:w="1340" w:type="dxa"/>
            <w:vAlign w:val="bottom"/>
            <w:gridSpan w:val="4"/>
          </w:tcPr>
          <w:p>
            <w:pPr>
              <w:jc w:val="right"/>
              <w:ind w:right="34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REIT conversion benefit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43"/>
        </w:trPr>
        <w:tc>
          <w:tcPr>
            <w:tcW w:w="40" w:type="dxa"/>
            <w:vAlign w:val="bottom"/>
          </w:tcPr>
          <w:p>
            <w:pPr>
              <w:spacing w:after="0"/>
              <w:rPr>
                <w:sz w:val="21"/>
                <w:szCs w:val="21"/>
                <w:color w:val="auto"/>
              </w:rPr>
            </w:pPr>
          </w:p>
        </w:tc>
        <w:tc>
          <w:tcPr>
            <w:tcW w:w="6660" w:type="dxa"/>
            <w:vAlign w:val="bottom"/>
            <w:gridSpan w:val="3"/>
          </w:tcPr>
          <w:p>
            <w:pPr>
              <w:ind w:left="140"/>
              <w:spacing w:after="0"/>
              <w:rPr>
                <w:sz w:val="20"/>
                <w:szCs w:val="20"/>
                <w:color w:val="auto"/>
              </w:rPr>
            </w:pPr>
            <w:r>
              <w:rPr>
                <w:rFonts w:ascii="Arial" w:cs="Arial" w:eastAsia="Arial" w:hAnsi="Arial"/>
                <w:sz w:val="18"/>
                <w:szCs w:val="18"/>
                <w:color w:val="auto"/>
              </w:rPr>
              <w:t>Goodwill impairment charges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4"/>
          </w:tcPr>
          <w:p>
            <w:pPr>
              <w:jc w:val="right"/>
              <w:ind w:right="26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48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777"/>
        </w:trPr>
        <w:tc>
          <w:tcPr>
            <w:tcW w:w="6700" w:type="dxa"/>
            <w:vAlign w:val="bottom"/>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24"/>
                <w:szCs w:val="24"/>
                <w:color w:val="auto"/>
              </w:rPr>
            </w:pPr>
          </w:p>
        </w:tc>
        <w:tc>
          <w:tcPr>
            <w:tcW w:w="10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center"/>
              <w:ind w:right="33"/>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6"/>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Amount based upon pretax income</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6660" w:type="dxa"/>
            <w:vAlign w:val="bottom"/>
            <w:gridSpan w:val="3"/>
          </w:tcPr>
          <w:p>
            <w:pPr>
              <w:ind w:left="140"/>
              <w:spacing w:after="0"/>
              <w:rPr>
                <w:sz w:val="20"/>
                <w:szCs w:val="20"/>
                <w:color w:val="auto"/>
              </w:rPr>
            </w:pPr>
            <w:r>
              <w:rPr>
                <w:rFonts w:ascii="Arial" w:cs="Arial" w:eastAsia="Arial" w:hAnsi="Arial"/>
                <w:sz w:val="18"/>
                <w:szCs w:val="18"/>
                <w:color w:val="auto"/>
              </w:rPr>
              <w:t>U.S. federal statutory income tax</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72,341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136,636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103,897</w:t>
            </w: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State and local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2,039</w:t>
            </w:r>
          </w:p>
        </w:tc>
      </w:tr>
      <w:tr>
        <w:trPr>
          <w:trHeight w:val="243"/>
        </w:trPr>
        <w:tc>
          <w:tcPr>
            <w:tcW w:w="40" w:type="dxa"/>
            <w:vAlign w:val="bottom"/>
          </w:tcPr>
          <w:p>
            <w:pPr>
              <w:spacing w:after="0"/>
              <w:rPr>
                <w:sz w:val="21"/>
                <w:szCs w:val="21"/>
                <w:color w:val="auto"/>
              </w:rPr>
            </w:pPr>
          </w:p>
        </w:tc>
        <w:tc>
          <w:tcPr>
            <w:tcW w:w="6660" w:type="dxa"/>
            <w:vAlign w:val="bottom"/>
            <w:gridSpan w:val="3"/>
          </w:tcPr>
          <w:p>
            <w:pPr>
              <w:ind w:left="140"/>
              <w:spacing w:after="0"/>
              <w:rPr>
                <w:sz w:val="20"/>
                <w:szCs w:val="20"/>
                <w:color w:val="auto"/>
              </w:rPr>
            </w:pPr>
            <w:r>
              <w:rPr>
                <w:rFonts w:ascii="Arial" w:cs="Arial" w:eastAsia="Arial" w:hAnsi="Arial"/>
                <w:sz w:val="18"/>
                <w:szCs w:val="18"/>
                <w:color w:val="auto"/>
              </w:rPr>
              <w:t>Federal tax rate change</w:t>
            </w:r>
          </w:p>
        </w:tc>
        <w:tc>
          <w:tcPr>
            <w:tcW w:w="240" w:type="dxa"/>
            <w:vAlign w:val="bottom"/>
          </w:tcPr>
          <w:p>
            <w:pPr>
              <w:spacing w:after="0"/>
              <w:rPr>
                <w:sz w:val="21"/>
                <w:szCs w:val="21"/>
                <w:color w:val="auto"/>
              </w:rPr>
            </w:pPr>
          </w:p>
        </w:tc>
        <w:tc>
          <w:tcPr>
            <w:tcW w:w="13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REIT conversion benefit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(82,151)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(130,876)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(98,459)</w:t>
            </w:r>
          </w:p>
        </w:tc>
      </w:tr>
      <w:tr>
        <w:trPr>
          <w:trHeight w:val="243"/>
        </w:trPr>
        <w:tc>
          <w:tcPr>
            <w:tcW w:w="40" w:type="dxa"/>
            <w:vAlign w:val="bottom"/>
          </w:tcPr>
          <w:p>
            <w:pPr>
              <w:spacing w:after="0"/>
              <w:rPr>
                <w:sz w:val="21"/>
                <w:szCs w:val="21"/>
                <w:color w:val="auto"/>
              </w:rPr>
            </w:pPr>
          </w:p>
        </w:tc>
        <w:tc>
          <w:tcPr>
            <w:tcW w:w="6660" w:type="dxa"/>
            <w:vAlign w:val="bottom"/>
            <w:gridSpan w:val="3"/>
          </w:tcPr>
          <w:p>
            <w:pPr>
              <w:ind w:left="140"/>
              <w:spacing w:after="0"/>
              <w:rPr>
                <w:sz w:val="20"/>
                <w:szCs w:val="20"/>
                <w:color w:val="auto"/>
              </w:rPr>
            </w:pPr>
            <w:r>
              <w:rPr>
                <w:rFonts w:ascii="Arial" w:cs="Arial" w:eastAsia="Arial" w:hAnsi="Arial"/>
                <w:sz w:val="18"/>
                <w:szCs w:val="18"/>
                <w:color w:val="auto"/>
              </w:rPr>
              <w:t>Goodwill impairment charges</w:t>
            </w:r>
          </w:p>
        </w:tc>
        <w:tc>
          <w:tcPr>
            <w:tcW w:w="24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12,485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Permanent differences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r>
      <w:tr>
        <w:trPr>
          <w:trHeight w:val="243"/>
        </w:trPr>
        <w:tc>
          <w:tcPr>
            <w:tcW w:w="40" w:type="dxa"/>
            <w:vAlign w:val="bottom"/>
          </w:tcPr>
          <w:p>
            <w:pPr>
              <w:spacing w:after="0"/>
              <w:rPr>
                <w:sz w:val="21"/>
                <w:szCs w:val="21"/>
                <w:color w:val="auto"/>
              </w:rPr>
            </w:pPr>
          </w:p>
        </w:tc>
        <w:tc>
          <w:tcPr>
            <w:tcW w:w="6660" w:type="dxa"/>
            <w:vAlign w:val="bottom"/>
            <w:gridSpan w:val="3"/>
          </w:tcPr>
          <w:p>
            <w:pPr>
              <w:ind w:left="140"/>
              <w:spacing w:after="0"/>
              <w:rPr>
                <w:sz w:val="20"/>
                <w:szCs w:val="20"/>
                <w:color w:val="auto"/>
              </w:rPr>
            </w:pPr>
            <w:r>
              <w:rPr>
                <w:rFonts w:ascii="Arial" w:cs="Arial" w:eastAsia="Arial" w:hAnsi="Arial"/>
                <w:sz w:val="18"/>
                <w:szCs w:val="18"/>
                <w:color w:val="auto"/>
              </w:rPr>
              <w:t>Other miscellaneous items</w:t>
            </w:r>
          </w:p>
        </w:tc>
        <w:tc>
          <w:tcPr>
            <w:tcW w:w="24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24</w:t>
            </w:r>
          </w:p>
        </w:tc>
      </w:tr>
      <w:tr>
        <w:trPr>
          <w:trHeight w:val="27"/>
        </w:trPr>
        <w:tc>
          <w:tcPr>
            <w:tcW w:w="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48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4,964</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9,787</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7,545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still subject to federal income tax examinations for its years ended December 31, 2015 and forward.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Shareholders' Equity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ATM Program</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August 2016, the Company commenced a continuous equity offering under which the Company may sell up to an aggregate of $400 million of its common stock from time to time through a sales agent in "at the market" offerings (the "ATM Program"). Actual sales will depend on a variety of factors, including market conditions, the trading price of the</w:t>
      </w:r>
    </w:p>
    <w:p>
      <w:pPr>
        <w:sectPr>
          <w:pgSz w:w="11900" w:h="16838" w:orient="portrait"/>
          <w:cols w:equalWidth="0" w:num="1">
            <w:col w:w="11320"/>
          </w:cols>
          <w:pgMar w:left="240" w:top="130" w:right="339" w:bottom="1440" w:gutter="0" w:footer="0" w:header="0"/>
        </w:sect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320"/>
          </w:cols>
          <w:pgMar w:left="240" w:top="130" w:right="339" w:bottom="1440" w:gutter="0" w:footer="0" w:header="0"/>
          <w:type w:val="continuous"/>
        </w:sectPr>
      </w:pPr>
    </w:p>
    <w:bookmarkStart w:id="98" w:name="page99"/>
    <w:bookmarkEnd w:id="9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Company's common stock and determinations of the appropriate sources of funding for proposed transactions. The Company may sell the shares in amounts and at times to be determined by the Company, but has no obligation to sell any of the shares in the ATM Program. The ATM Program also allows the Company to enter into forward sale agreements. In no event will the aggregate number of shares sold under the ATM Program (whether under any forward sale agreement or through a sales agent), have an aggregate sales price in excess of $400 million.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proceeds may or may not be received or cash may be owed to the forward purchaser.</w:t>
      </w:r>
    </w:p>
    <w:p>
      <w:pPr>
        <w:spacing w:after="0" w:line="166"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connection with the ATM Program, the Company engaged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w:t>
      </w:r>
    </w:p>
    <w:p>
      <w:pPr>
        <w:spacing w:after="0" w:line="1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No shares were sold under the ATM Program during the year ended December 31, 2018. During the year ended December 31, 2017, GLPI sold 3,864,872 shares of its common stock at an average price of $36.22 per share under the ATM Program, which generated gross proceeds of approximately $140.0 million (net proceeds of approximately $139.4 million). Program to date, the Company has sold 5,186,871 shares of its common stock at an average price of $35.91 per share under the ATM Program and generated gross proceeds of approximately $186.3 million (net proceeds of approximately $185.0 million). The Company used the net proceeds from the ATM Program to partially fund its acquisition of the Meadows' and Tunica Properties' real estate assets. As of December 31, 2018, the Company had $213.7 million remaining for issuance under the ATM Program and had not entered into any forward sale agreements.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 Issued in Connection with Pinnacle Transaction</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On April 6, 2016, the Company closed a public offering of 28,750,000 shares of its common stock, at a public offering price of $30.00 per share, before underwriting discount, which included 3,750,000 shares of common stock issued in connection with the exercise in full of the underwriters’ option to purchase additional shares.</w:t>
      </w:r>
    </w:p>
    <w:p>
      <w:pPr>
        <w:spacing w:after="0" w:line="18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Company received approximately $825.2 million in net proceeds from the offering and used the net proceeds from the offering to partially fund its acquisition of substantially all of the real estate assets of Pinnacle, including the repayment, redemption and/or discharge of a portion of certain debt of Pinnacle assumed by the Company in connection with the Pinnacle Merger and the payment of transaction-related fees and expenses.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Additionally, on April 28, 2016, in connection with the Pinnacle Merger, the Company issued approximately 56.0 million shares of its common stock to Pinnacle stockholders and to Pinnacle to satisfy the Company's portion of Pinnacle's employee equity and cash-based incentive awards as consideration for the Pinnacle real estate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30" w:right="239" w:bottom="1440" w:gutter="0" w:footer="0" w:header="0"/>
        </w:sectPr>
      </w:pPr>
    </w:p>
    <w:bookmarkStart w:id="99" w:name="page100"/>
    <w:bookmarkEnd w:id="9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lists the regular dividends declared and paid by the Company during the years ended December 31, 2018, 2017 and 2016:</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Securities</w:t>
            </w:r>
          </w:p>
        </w:tc>
        <w:tc>
          <w:tcPr>
            <w:tcW w:w="11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Dividend Per</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1920" w:type="dxa"/>
            <w:vAlign w:val="bottom"/>
            <w:gridSpan w:val="3"/>
          </w:tcPr>
          <w:p>
            <w:pPr>
              <w:ind w:left="300"/>
              <w:spacing w:after="0"/>
              <w:rPr>
                <w:sz w:val="20"/>
                <w:szCs w:val="20"/>
                <w:color w:val="auto"/>
              </w:rPr>
            </w:pPr>
            <w:r>
              <w:rPr>
                <w:rFonts w:ascii="Arial" w:cs="Arial" w:eastAsia="Arial" w:hAnsi="Arial"/>
                <w:sz w:val="16"/>
                <w:szCs w:val="16"/>
                <w:b w:val="1"/>
                <w:bCs w:val="1"/>
                <w:color w:val="auto"/>
              </w:rPr>
              <w:t>Declaration Date</w:t>
            </w:r>
          </w:p>
        </w:tc>
        <w:tc>
          <w:tcPr>
            <w:tcW w:w="1960" w:type="dxa"/>
            <w:vAlign w:val="bottom"/>
            <w:gridSpan w:val="2"/>
          </w:tcPr>
          <w:p>
            <w:pPr>
              <w:ind w:left="40"/>
              <w:spacing w:after="0"/>
              <w:rPr>
                <w:sz w:val="20"/>
                <w:szCs w:val="20"/>
                <w:color w:val="auto"/>
              </w:rPr>
            </w:pPr>
            <w:r>
              <w:rPr>
                <w:rFonts w:ascii="Arial" w:cs="Arial" w:eastAsia="Arial" w:hAnsi="Arial"/>
                <w:sz w:val="16"/>
                <w:szCs w:val="16"/>
                <w:b w:val="1"/>
                <w:bCs w:val="1"/>
                <w:color w:val="auto"/>
                <w:w w:val="98"/>
              </w:rPr>
              <w:t>Shareholder Record Date</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Class</w:t>
            </w:r>
          </w:p>
        </w:tc>
        <w:tc>
          <w:tcPr>
            <w:tcW w:w="22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Share</w:t>
            </w:r>
          </w:p>
        </w:tc>
        <w:tc>
          <w:tcPr>
            <w:tcW w:w="1940" w:type="dxa"/>
            <w:vAlign w:val="bottom"/>
            <w:gridSpan w:val="2"/>
          </w:tcPr>
          <w:p>
            <w:pPr>
              <w:ind w:left="380"/>
              <w:spacing w:after="0"/>
              <w:rPr>
                <w:sz w:val="20"/>
                <w:szCs w:val="20"/>
                <w:color w:val="auto"/>
              </w:rPr>
            </w:pPr>
            <w:r>
              <w:rPr>
                <w:rFonts w:ascii="Arial" w:cs="Arial" w:eastAsia="Arial" w:hAnsi="Arial"/>
                <w:sz w:val="16"/>
                <w:szCs w:val="16"/>
                <w:b w:val="1"/>
                <w:bCs w:val="1"/>
                <w:color w:val="auto"/>
              </w:rPr>
              <w:t>Period Covered</w:t>
            </w:r>
          </w:p>
        </w:tc>
        <w:tc>
          <w:tcPr>
            <w:tcW w:w="1920" w:type="dxa"/>
            <w:vAlign w:val="bottom"/>
            <w:gridSpan w:val="2"/>
          </w:tcPr>
          <w:p>
            <w:pPr>
              <w:ind w:left="300"/>
              <w:spacing w:after="0"/>
              <w:rPr>
                <w:sz w:val="20"/>
                <w:szCs w:val="20"/>
                <w:color w:val="auto"/>
              </w:rPr>
            </w:pPr>
            <w:r>
              <w:rPr>
                <w:rFonts w:ascii="Arial" w:cs="Arial" w:eastAsia="Arial" w:hAnsi="Arial"/>
                <w:sz w:val="16"/>
                <w:szCs w:val="16"/>
                <w:b w:val="1"/>
                <w:bCs w:val="1"/>
                <w:color w:val="auto"/>
              </w:rPr>
              <w:t>Distribution Date</w:t>
            </w: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Dividend Amount</w:t>
            </w:r>
          </w:p>
        </w:tc>
      </w:tr>
      <w:tr>
        <w:trPr>
          <w:trHeight w:val="33"/>
        </w:trPr>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w w:val="90"/>
              </w:rPr>
              <w:t>(in thousands)</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840" w:type="dxa"/>
            <w:vAlign w:val="bottom"/>
            <w:gridSpan w:val="3"/>
            <w:shd w:val="clear" w:color="auto" w:fill="CCEEFF"/>
          </w:tcPr>
          <w:p>
            <w:pPr>
              <w:jc w:val="right"/>
              <w:ind w:right="1399"/>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0"/>
        </w:trPr>
        <w:tc>
          <w:tcPr>
            <w:tcW w:w="4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February 1, 2018</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9, 2018</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First Quarter 2018</w:t>
            </w:r>
          </w:p>
        </w:tc>
        <w:tc>
          <w:tcPr>
            <w:tcW w:w="1920" w:type="dxa"/>
            <w:vAlign w:val="bottom"/>
            <w:gridSpan w:val="2"/>
          </w:tcPr>
          <w:p>
            <w:pPr>
              <w:jc w:val="right"/>
              <w:ind w:right="120"/>
              <w:spacing w:after="0"/>
              <w:rPr>
                <w:sz w:val="20"/>
                <w:szCs w:val="20"/>
                <w:color w:val="auto"/>
              </w:rPr>
            </w:pPr>
            <w:r>
              <w:rPr>
                <w:rFonts w:ascii="Arial" w:cs="Arial" w:eastAsia="Arial" w:hAnsi="Arial"/>
                <w:sz w:val="16"/>
                <w:szCs w:val="16"/>
                <w:color w:val="auto"/>
              </w:rPr>
              <w:t>March 23, 2018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134,490</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April 24, 2018</w:t>
            </w:r>
          </w:p>
        </w:tc>
        <w:tc>
          <w:tcPr>
            <w:tcW w:w="1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June 15, 2018</w:t>
            </w:r>
          </w:p>
        </w:tc>
        <w:tc>
          <w:tcPr>
            <w:tcW w:w="1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0.63</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Second Quarter 2018</w:t>
            </w:r>
          </w:p>
        </w:tc>
        <w:tc>
          <w:tcPr>
            <w:tcW w:w="1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June 29,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134,631</w:t>
            </w:r>
          </w:p>
        </w:tc>
      </w:tr>
      <w:tr>
        <w:trPr>
          <w:trHeight w:val="22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July 31, 2018</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September 7, 2018</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Third Quarter 2018</w:t>
            </w:r>
          </w:p>
        </w:tc>
        <w:tc>
          <w:tcPr>
            <w:tcW w:w="1920" w:type="dxa"/>
            <w:vAlign w:val="bottom"/>
            <w:gridSpan w:val="2"/>
          </w:tcPr>
          <w:p>
            <w:pPr>
              <w:jc w:val="right"/>
              <w:ind w:right="120"/>
              <w:spacing w:after="0"/>
              <w:rPr>
                <w:sz w:val="20"/>
                <w:szCs w:val="20"/>
                <w:color w:val="auto"/>
              </w:rPr>
            </w:pPr>
            <w:r>
              <w:rPr>
                <w:rFonts w:ascii="Arial" w:cs="Arial" w:eastAsia="Arial" w:hAnsi="Arial"/>
                <w:sz w:val="16"/>
                <w:szCs w:val="16"/>
                <w:color w:val="auto"/>
              </w:rPr>
              <w:t>September 21, 2018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134,844</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October 12, 2018</w:t>
            </w:r>
          </w:p>
        </w:tc>
        <w:tc>
          <w:tcPr>
            <w:tcW w:w="1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December 14, 2018</w:t>
            </w:r>
          </w:p>
        </w:tc>
        <w:tc>
          <w:tcPr>
            <w:tcW w:w="1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0.68</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Fourth Quarter 2018</w:t>
            </w:r>
          </w:p>
        </w:tc>
        <w:tc>
          <w:tcPr>
            <w:tcW w:w="1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December 28,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145,627</w:t>
            </w:r>
          </w:p>
        </w:tc>
      </w:tr>
      <w:tr>
        <w:trPr>
          <w:trHeight w:val="203"/>
        </w:trPr>
        <w:tc>
          <w:tcPr>
            <w:tcW w:w="1840" w:type="dxa"/>
            <w:vAlign w:val="bottom"/>
            <w:gridSpan w:val="3"/>
          </w:tcPr>
          <w:p>
            <w:pPr>
              <w:jc w:val="right"/>
              <w:ind w:right="1399"/>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February 1, 2017</w:t>
            </w:r>
          </w:p>
        </w:tc>
        <w:tc>
          <w:tcPr>
            <w:tcW w:w="1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March 13, 2017</w:t>
            </w:r>
          </w:p>
        </w:tc>
        <w:tc>
          <w:tcPr>
            <w:tcW w:w="1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0.62</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First Quarter 2017</w:t>
            </w:r>
          </w:p>
        </w:tc>
        <w:tc>
          <w:tcPr>
            <w:tcW w:w="1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March 24,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129,007</w:t>
            </w:r>
          </w:p>
        </w:tc>
      </w:tr>
      <w:tr>
        <w:trPr>
          <w:trHeight w:val="22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April 25, 2017</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June 16, 2017</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Second Quarter 2017</w:t>
            </w:r>
          </w:p>
        </w:tc>
        <w:tc>
          <w:tcPr>
            <w:tcW w:w="1920" w:type="dxa"/>
            <w:vAlign w:val="bottom"/>
            <w:gridSpan w:val="2"/>
          </w:tcPr>
          <w:p>
            <w:pPr>
              <w:jc w:val="right"/>
              <w:ind w:right="120"/>
              <w:spacing w:after="0"/>
              <w:rPr>
                <w:sz w:val="20"/>
                <w:szCs w:val="20"/>
                <w:color w:val="auto"/>
              </w:rPr>
            </w:pPr>
            <w:r>
              <w:rPr>
                <w:rFonts w:ascii="Arial" w:cs="Arial" w:eastAsia="Arial" w:hAnsi="Arial"/>
                <w:sz w:val="16"/>
                <w:szCs w:val="16"/>
                <w:color w:val="auto"/>
              </w:rPr>
              <w:t>June 30, 2017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131,554</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July 25, 2017</w:t>
            </w:r>
          </w:p>
        </w:tc>
        <w:tc>
          <w:tcPr>
            <w:tcW w:w="1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September 8, 2017</w:t>
            </w:r>
          </w:p>
        </w:tc>
        <w:tc>
          <w:tcPr>
            <w:tcW w:w="1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0.63</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Third Quarter 2017</w:t>
            </w:r>
          </w:p>
        </w:tc>
        <w:tc>
          <w:tcPr>
            <w:tcW w:w="1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September 22,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133,936</w:t>
            </w:r>
          </w:p>
        </w:tc>
      </w:tr>
      <w:tr>
        <w:trPr>
          <w:trHeight w:val="22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October 19, 2017</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December 1, 2017</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Fourth Quarter 2017</w:t>
            </w:r>
          </w:p>
        </w:tc>
        <w:tc>
          <w:tcPr>
            <w:tcW w:w="192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15, 2017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133,942</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840" w:type="dxa"/>
            <w:vAlign w:val="bottom"/>
            <w:gridSpan w:val="3"/>
            <w:shd w:val="clear" w:color="auto" w:fill="CCEEFF"/>
          </w:tcPr>
          <w:p>
            <w:pPr>
              <w:jc w:val="right"/>
              <w:ind w:right="1399"/>
              <w:spacing w:after="0"/>
              <w:rPr>
                <w:sz w:val="20"/>
                <w:szCs w:val="20"/>
                <w:color w:val="auto"/>
              </w:rPr>
            </w:pPr>
            <w:r>
              <w:rPr>
                <w:rFonts w:ascii="Arial" w:cs="Arial" w:eastAsia="Arial" w:hAnsi="Arial"/>
                <w:sz w:val="16"/>
                <w:szCs w:val="16"/>
                <w:b w:val="1"/>
                <w:bCs w:val="1"/>
                <w:color w:val="auto"/>
                <w:w w:val="95"/>
              </w:rPr>
              <w:t>2016</w:t>
            </w:r>
          </w:p>
        </w:tc>
        <w:tc>
          <w:tcPr>
            <w:tcW w:w="12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0"/>
        </w:trPr>
        <w:tc>
          <w:tcPr>
            <w:tcW w:w="4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29, 2016</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February 22, 2016</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0.56</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First Quarter 2016</w:t>
            </w:r>
          </w:p>
        </w:tc>
        <w:tc>
          <w:tcPr>
            <w:tcW w:w="1920" w:type="dxa"/>
            <w:vAlign w:val="bottom"/>
            <w:gridSpan w:val="2"/>
          </w:tcPr>
          <w:p>
            <w:pPr>
              <w:jc w:val="right"/>
              <w:ind w:right="120"/>
              <w:spacing w:after="0"/>
              <w:rPr>
                <w:sz w:val="20"/>
                <w:szCs w:val="20"/>
                <w:color w:val="auto"/>
              </w:rPr>
            </w:pPr>
            <w:r>
              <w:rPr>
                <w:rFonts w:ascii="Arial" w:cs="Arial" w:eastAsia="Arial" w:hAnsi="Arial"/>
                <w:sz w:val="16"/>
                <w:szCs w:val="16"/>
                <w:color w:val="auto"/>
              </w:rPr>
              <w:t>March 25, 2016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65,345</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April 25, 2016</w:t>
            </w:r>
          </w:p>
        </w:tc>
        <w:tc>
          <w:tcPr>
            <w:tcW w:w="1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June 2, 2016</w:t>
            </w:r>
          </w:p>
        </w:tc>
        <w:tc>
          <w:tcPr>
            <w:tcW w:w="1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0.56</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Second Quarter 2016</w:t>
            </w:r>
          </w:p>
        </w:tc>
        <w:tc>
          <w:tcPr>
            <w:tcW w:w="1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June 17,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113,212</w:t>
            </w:r>
          </w:p>
        </w:tc>
      </w:tr>
      <w:tr>
        <w:trPr>
          <w:trHeight w:val="22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August 3, 2016</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September 12, 2016</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0.60</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Third Quarter 2016</w:t>
            </w:r>
          </w:p>
        </w:tc>
        <w:tc>
          <w:tcPr>
            <w:tcW w:w="1920" w:type="dxa"/>
            <w:vAlign w:val="bottom"/>
            <w:gridSpan w:val="2"/>
          </w:tcPr>
          <w:p>
            <w:pPr>
              <w:jc w:val="right"/>
              <w:ind w:right="120"/>
              <w:spacing w:after="0"/>
              <w:rPr>
                <w:sz w:val="20"/>
                <w:szCs w:val="20"/>
                <w:color w:val="auto"/>
              </w:rPr>
            </w:pPr>
            <w:r>
              <w:rPr>
                <w:rFonts w:ascii="Arial" w:cs="Arial" w:eastAsia="Arial" w:hAnsi="Arial"/>
                <w:sz w:val="16"/>
                <w:szCs w:val="16"/>
                <w:color w:val="auto"/>
              </w:rPr>
              <w:t>September 23, 2016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124,262</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06"/>
        </w:trPr>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November 4, 2016</w:t>
            </w: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December 5, 2016</w:t>
            </w: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0.60</w:t>
            </w: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Fourth Quarter 2016</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December 16, 2016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124,466</w:t>
            </w:r>
          </w:p>
        </w:tc>
      </w:tr>
      <w:tr>
        <w:trPr>
          <w:trHeight w:val="33"/>
        </w:trPr>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In addition for the years ended December 31, 2018, 2017 and 2016, dividend payments were made to or accrued for GLPI restricted stock award holders and for both GLPI and Penn unvested employee stock options in the amount of $0.8 million, $0.9 million and $1.1 million,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summary of the Company's common stock distributions for the years ended December 31, 2018, 2017 and 2016 is as follows (unaudited):</w:t>
      </w:r>
    </w:p>
    <w:p>
      <w:pPr>
        <w:spacing w:after="0" w:line="200" w:lineRule="exact"/>
        <w:rPr>
          <w:sz w:val="20"/>
          <w:szCs w:val="20"/>
          <w:color w:val="auto"/>
        </w:rPr>
      </w:pP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 December 31,</w:t>
            </w: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264"/>
        </w:trPr>
        <w:tc>
          <w:tcPr>
            <w:tcW w:w="47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2016</w:t>
            </w:r>
          </w:p>
        </w:tc>
      </w:tr>
      <w:tr>
        <w:trPr>
          <w:trHeight w:val="244"/>
        </w:trPr>
        <w:tc>
          <w:tcPr>
            <w:tcW w:w="4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dollars per share)</w:t>
            </w: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5"/>
        </w:trPr>
        <w:tc>
          <w:tcPr>
            <w:tcW w:w="4760" w:type="dxa"/>
            <w:vAlign w:val="bottom"/>
          </w:tcPr>
          <w:p>
            <w:pPr>
              <w:ind w:left="20"/>
              <w:spacing w:after="0"/>
              <w:rPr>
                <w:sz w:val="20"/>
                <w:szCs w:val="20"/>
                <w:color w:val="auto"/>
              </w:rPr>
            </w:pPr>
            <w:r>
              <w:rPr>
                <w:rFonts w:ascii="Arial" w:cs="Arial" w:eastAsia="Arial" w:hAnsi="Arial"/>
                <w:sz w:val="18"/>
                <w:szCs w:val="18"/>
                <w:color w:val="auto"/>
              </w:rPr>
              <w:t>Qualified dividends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0.0391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94"/>
              <w:spacing w:after="0"/>
              <w:rPr>
                <w:sz w:val="20"/>
                <w:szCs w:val="20"/>
                <w:color w:val="auto"/>
              </w:rPr>
            </w:pPr>
            <w:r>
              <w:rPr>
                <w:rFonts w:ascii="Arial" w:cs="Arial" w:eastAsia="Arial" w:hAnsi="Arial"/>
                <w:sz w:val="18"/>
                <w:szCs w:val="18"/>
                <w:color w:val="auto"/>
              </w:rPr>
              <w:t>0.0543</w:t>
            </w:r>
          </w:p>
        </w:tc>
        <w:tc>
          <w:tcPr>
            <w:tcW w:w="120" w:type="dxa"/>
            <w:vAlign w:val="bottom"/>
          </w:tcPr>
          <w:p>
            <w:pPr>
              <w:spacing w:after="0"/>
              <w:rPr>
                <w:sz w:val="22"/>
                <w:szCs w:val="22"/>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0.1050</w:t>
            </w:r>
          </w:p>
        </w:tc>
      </w:tr>
      <w:tr>
        <w:trPr>
          <w:trHeight w:val="27"/>
        </w:trPr>
        <w:tc>
          <w:tcPr>
            <w:tcW w:w="4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Non-qualified dividends</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2.2955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2.2436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2.0746</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Capital gains</w:t>
            </w:r>
          </w:p>
        </w:tc>
        <w:tc>
          <w:tcPr>
            <w:tcW w:w="440" w:type="dxa"/>
            <w:vAlign w:val="bottom"/>
          </w:tcPr>
          <w:p>
            <w:pPr>
              <w:spacing w:after="0"/>
              <w:rPr>
                <w:sz w:val="21"/>
                <w:szCs w:val="21"/>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0.0270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jc w:val="right"/>
              <w:ind w:right="94"/>
              <w:spacing w:after="0"/>
              <w:rPr>
                <w:sz w:val="20"/>
                <w:szCs w:val="20"/>
                <w:color w:val="auto"/>
              </w:rPr>
            </w:pPr>
            <w:r>
              <w:rPr>
                <w:rFonts w:ascii="Arial" w:cs="Arial" w:eastAsia="Arial" w:hAnsi="Arial"/>
                <w:sz w:val="18"/>
                <w:szCs w:val="18"/>
                <w:color w:val="auto"/>
              </w:rPr>
              <w:t>0.0371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0.0624</w:t>
            </w:r>
          </w:p>
        </w:tc>
      </w:tr>
      <w:tr>
        <w:trPr>
          <w:trHeight w:val="27"/>
        </w:trPr>
        <w:tc>
          <w:tcPr>
            <w:tcW w:w="4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Non-taxable return of capital</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0.2084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0.1650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0.0780</w:t>
            </w:r>
          </w:p>
        </w:tc>
      </w:tr>
      <w:tr>
        <w:trPr>
          <w:trHeight w:val="297"/>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distributions per common share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2.32</w:t>
            </w:r>
          </w:p>
        </w:tc>
      </w:tr>
      <w:tr>
        <w:trPr>
          <w:trHeight w:val="284"/>
        </w:trPr>
        <w:tc>
          <w:tcPr>
            <w:tcW w:w="47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Percentage classified as qualified dividends</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7"/>
        </w:trPr>
        <w:tc>
          <w:tcPr>
            <w:tcW w:w="4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Percentage classified as non-qualified dividends</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89.42%</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Percentage classified as capital gains</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
        </w:trPr>
        <w:tc>
          <w:tcPr>
            <w:tcW w:w="4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Percentage classified as non-taxable return of capital</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37"/>
        </w:trPr>
        <w:tc>
          <w:tcPr>
            <w:tcW w:w="47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r>
      <w:tr>
        <w:trPr>
          <w:trHeight w:val="27"/>
        </w:trPr>
        <w:tc>
          <w:tcPr>
            <w:tcW w:w="47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130" w:right="239" w:bottom="1440" w:gutter="0" w:footer="0" w:header="0"/>
          <w:type w:val="continuous"/>
        </w:sectPr>
      </w:pPr>
    </w:p>
    <w:bookmarkStart w:id="100" w:name="page101"/>
    <w:bookmarkEnd w:id="10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Stock-Based Compensation</w:t>
      </w:r>
    </w:p>
    <w:p>
      <w:pPr>
        <w:spacing w:after="0" w:line="28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of December 31, 2018, the Company had 2,556,815 shares available for future issuance under the Amended and Restated 2013 Long Term Incentive Compensation Plan (the "2013 Plan") that was approved by shareholders on October 23, 2013. The 2013 Plan provides for the Company to issue restricted stock awards, including performance-based restricted stock awards and other equity or cash based awards to employees. Any director, employee or consultant shall be eligible to receive such awards.</w:t>
      </w:r>
    </w:p>
    <w:p>
      <w:pPr>
        <w:spacing w:after="0" w:line="24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connection with the Spin-Off, each outstanding option with respect to Penn common stock outstanding on the distribution date was converted into two awards, an adjusted Penn option and a GLPI option. The adjustment preserved the aggregate intrinsic value of the options. Additionally, in connection with the Spin-Off, holders of outstanding restricted stock and phantom stock units ("PSUs") with respect to Penn common stock became entitled to an additional share of restricted stock or PSU with respect to GLPI common stock for each share of Penn restricted stock or PSU held.</w:t>
      </w:r>
    </w:p>
    <w:p>
      <w:pPr>
        <w:spacing w:after="0" w:line="73"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The adjusted options, as well as the restricted stock awards and PSUs, otherwise remain subject to their original terms, except that for purposes of the adjusted Penn awards (including in determining exercisability and the post-termination exercise period), continued service with GLPI following the distribution date shall be deemed continued service with Penn; and for purposes of the GLPI awards (including in determining exercisability and the post-termination exercise period), continued service with Penn following the distribution date shall be deemed continued service with GLPI.</w:t>
      </w:r>
    </w:p>
    <w:p>
      <w:pPr>
        <w:spacing w:after="0" w:line="15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unrecognized compensation cost relating to restricted stock awards and performance-based restricted stock awards will be amortized to expense over the awards’ remaining vesting periods.</w:t>
      </w:r>
    </w:p>
    <w:p>
      <w:pPr>
        <w:spacing w:after="0" w:line="8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As of December 31, 2018, all outstanding stock options were fully vested and there was no remaining unrecognized compensation cost related to stock options. For the years ended December 31, 2018 and 2017, the Company recognized no compensation expense associated with these awards and recognized $20 thousand of compensation expense associated with these awards for the year ended December 31, 2016. In addition, for the year ended December 31, 2016 the Company also recognized $4.5 million of compensation expense relating to the $2.32 per share dividends paid on vested employee stock options.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contain information on stock options issued and outstanding for the year ended December 31, 2018 :</w:t>
      </w:r>
    </w:p>
    <w:p>
      <w:pPr>
        <w:spacing w:after="0" w:line="15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Weighted-</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140" w:type="dxa"/>
            <w:vAlign w:val="bottom"/>
            <w:vMerge w:val="restart"/>
          </w:tcPr>
          <w:p>
            <w:pPr>
              <w:jc w:val="center"/>
              <w:ind w:right="8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28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14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Option Shares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1,040,745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280" w:type="dxa"/>
            <w:vAlign w:val="bottom"/>
          </w:tcPr>
          <w:p>
            <w:pPr>
              <w:jc w:val="right"/>
              <w:spacing w:after="0"/>
              <w:rPr>
                <w:sz w:val="20"/>
                <w:szCs w:val="20"/>
                <w:color w:val="auto"/>
              </w:rPr>
            </w:pPr>
            <w:r>
              <w:rPr>
                <w:rFonts w:ascii="Arial" w:cs="Arial" w:eastAsia="Arial" w:hAnsi="Arial"/>
                <w:sz w:val="18"/>
                <w:szCs w:val="18"/>
                <w:color w:val="auto"/>
              </w:rPr>
              <w:t>(1,012,508)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19.74</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700" w:type="dxa"/>
            <w:vAlign w:val="bottom"/>
          </w:tcPr>
          <w:p>
            <w:pPr>
              <w:ind w:left="40"/>
              <w:spacing w:after="0"/>
              <w:rPr>
                <w:sz w:val="20"/>
                <w:szCs w:val="20"/>
                <w:color w:val="auto"/>
              </w:rPr>
            </w:pPr>
            <w:r>
              <w:rPr>
                <w:rFonts w:ascii="Arial" w:cs="Arial" w:eastAsia="Arial" w:hAnsi="Arial"/>
                <w:sz w:val="18"/>
                <w:szCs w:val="18"/>
                <w:color w:val="auto"/>
              </w:rPr>
              <w:t>Outstanding at December 31, 2018</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26,799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22.09</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4"/>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had 26,799 stock options that were exercisable at December 31, 2018 with an exercise price of $22.09 which had an intrinsic value of $0.3 million and a weighted-average remaining contractual term of 0.01 years. The aggregate intrinsic value of stock options exercised for the years ended December 31, 2018, 2017 and 2016 was $15.1 million, $14.9 million and $75.0 million, respectively. The Company issues new authorized common shares to satisfy stock option exercises and restricted stock award releases.</w:t>
      </w:r>
    </w:p>
    <w:p>
      <w:pPr>
        <w:spacing w:after="0" w:line="106"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As of December 31, 2018, there was $5.4 million of total unrecognized compensation cost for restricted stock awards that will be recognized over the grants' remaining weighted average vesting period of 1.71 years. For the years ended December 31, 2018, 2017 and 2016, the Company recognized $4.7 million, $6.0 million and $7.3 million, respectively, of compensation expense associated with these awards. The total fair value of awards released for the years ended December 31, 2018, 2017 and 2016, was $10.0 million, $7.3 million and $5.3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130" w:right="279" w:bottom="1440" w:gutter="0" w:footer="0" w:header="0"/>
        </w:sectPr>
      </w:pPr>
    </w:p>
    <w:bookmarkStart w:id="101" w:name="page102"/>
    <w:bookmarkEnd w:id="10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information on restricted stock award activity for the years ended December 31, 2018 and 2017:</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280" w:type="dxa"/>
            <w:vAlign w:val="bottom"/>
          </w:tcPr>
          <w:p>
            <w:pPr>
              <w:jc w:val="right"/>
              <w:ind w:right="234"/>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49"/>
        </w:trPr>
        <w:tc>
          <w:tcPr>
            <w:tcW w:w="5180" w:type="dxa"/>
            <w:vAlign w:val="bottom"/>
          </w:tcPr>
          <w:p>
            <w:pPr>
              <w:spacing w:after="0"/>
              <w:rPr>
                <w:sz w:val="12"/>
                <w:szCs w:val="12"/>
                <w:color w:val="auto"/>
              </w:rPr>
            </w:pPr>
          </w:p>
        </w:tc>
        <w:tc>
          <w:tcPr>
            <w:tcW w:w="1280" w:type="dxa"/>
            <w:vAlign w:val="bottom"/>
          </w:tcPr>
          <w:p>
            <w:pPr>
              <w:jc w:val="right"/>
              <w:ind w:right="354"/>
              <w:spacing w:after="0" w:line="149" w:lineRule="exact"/>
              <w:rPr>
                <w:sz w:val="20"/>
                <w:szCs w:val="20"/>
                <w:color w:val="auto"/>
              </w:rPr>
            </w:pPr>
            <w:r>
              <w:rPr>
                <w:rFonts w:ascii="Arial" w:cs="Arial" w:eastAsia="Arial" w:hAnsi="Arial"/>
                <w:sz w:val="14"/>
                <w:szCs w:val="14"/>
                <w:b w:val="1"/>
                <w:bCs w:val="1"/>
                <w:color w:val="auto"/>
              </w:rPr>
              <w:t>Award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8"/>
              </w:rPr>
              <w:t>Grant-Date Fair</w:t>
            </w:r>
          </w:p>
        </w:tc>
      </w:tr>
      <w:tr>
        <w:trPr>
          <w:trHeight w:val="192"/>
        </w:trPr>
        <w:tc>
          <w:tcPr>
            <w:tcW w:w="51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Value</w:t>
            </w: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413,242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30.59</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184,791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30.89</w:t>
            </w:r>
          </w:p>
        </w:tc>
      </w:tr>
      <w:tr>
        <w:trPr>
          <w:trHeight w:val="27"/>
        </w:trPr>
        <w:tc>
          <w:tcPr>
            <w:tcW w:w="5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(251,313)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32.05</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Canceled</w:t>
            </w:r>
          </w:p>
        </w:tc>
        <w:tc>
          <w:tcPr>
            <w:tcW w:w="1280" w:type="dxa"/>
            <w:vAlign w:val="bottom"/>
          </w:tcPr>
          <w:p>
            <w:pPr>
              <w:jc w:val="right"/>
              <w:spacing w:after="0"/>
              <w:rPr>
                <w:sz w:val="20"/>
                <w:szCs w:val="20"/>
                <w:color w:val="auto"/>
              </w:rPr>
            </w:pPr>
            <w:r>
              <w:rPr>
                <w:rFonts w:ascii="Arial" w:cs="Arial" w:eastAsia="Arial" w:hAnsi="Arial"/>
                <w:sz w:val="18"/>
                <w:szCs w:val="18"/>
                <w:color w:val="auto"/>
              </w:rPr>
              <w:t>(1,976)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30.37</w:t>
            </w:r>
          </w:p>
        </w:tc>
      </w:tr>
      <w:tr>
        <w:trPr>
          <w:trHeight w:val="27"/>
        </w:trPr>
        <w:tc>
          <w:tcPr>
            <w:tcW w:w="51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344,744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29.69</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283,183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23.34</w:t>
            </w:r>
          </w:p>
        </w:tc>
      </w:tr>
      <w:tr>
        <w:trPr>
          <w:trHeight w:val="27"/>
        </w:trPr>
        <w:tc>
          <w:tcPr>
            <w:tcW w:w="5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(273,286)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r>
      <w:tr>
        <w:trPr>
          <w:trHeight w:val="270"/>
        </w:trPr>
        <w:tc>
          <w:tcPr>
            <w:tcW w:w="51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Canceled </w:t>
            </w:r>
            <w:r>
              <w:rPr>
                <w:rFonts w:ascii="Arial" w:cs="Arial" w:eastAsia="Arial" w:hAnsi="Arial"/>
                <w:sz w:val="25"/>
                <w:szCs w:val="25"/>
                <w:color w:val="auto"/>
                <w:vertAlign w:val="superscript"/>
              </w:rPr>
              <w:t>(1)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(54,999)</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33.34</w:t>
            </w:r>
          </w:p>
        </w:tc>
      </w:tr>
      <w:tr>
        <w:trPr>
          <w:trHeight w:val="257"/>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299,642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33.53</w:t>
            </w:r>
          </w:p>
        </w:tc>
      </w:tr>
      <w:tr>
        <w:trPr>
          <w:trHeight w:val="20"/>
        </w:trPr>
        <w:tc>
          <w:tcPr>
            <w:tcW w:w="5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return of the companies included in the MSCI US REIT index and the Company's stock performance ranking among a group of triple-net REIT peer companies. The triple-net measurement group includes publicly traded REITs deriving at least 75% of revenues from triple-net leases. As of December 31, 2018, there was $8.9 million of total unrecognized compensation cost, which will be recognized over the awards' remaining weighted average vesting period of 1.70 years. For the years ended December 31, 2018, 2017 and 2016, the Company recognized $6.4 million, $9.7 million and $11.0 million, respectively, of compensation expense associated with these awards.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contains information on performance-based restricted stock award activity for the years ended December 31, 2018 and 2017: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w w:val="97"/>
              </w:rPr>
              <w:t>Number of Performance-Based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ind w:right="112"/>
              <w:spacing w:after="0"/>
              <w:rPr>
                <w:sz w:val="20"/>
                <w:szCs w:val="20"/>
                <w:color w:val="auto"/>
              </w:rPr>
            </w:pPr>
            <w:r>
              <w:rPr>
                <w:rFonts w:ascii="Arial" w:cs="Arial" w:eastAsia="Arial" w:hAnsi="Arial"/>
                <w:sz w:val="14"/>
                <w:szCs w:val="14"/>
                <w:b w:val="1"/>
                <w:bCs w:val="1"/>
                <w:color w:val="auto"/>
                <w:w w:val="93"/>
              </w:rPr>
              <w:t>Weighted Average</w:t>
            </w:r>
          </w:p>
        </w:tc>
      </w:tr>
      <w:tr>
        <w:trPr>
          <w:trHeight w:val="192"/>
        </w:trPr>
        <w:tc>
          <w:tcPr>
            <w:tcW w:w="502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Award Shares</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Grant-Date Fair Value</w:t>
            </w: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2016</w:t>
            </w:r>
          </w:p>
        </w:tc>
        <w:tc>
          <w:tcPr>
            <w:tcW w:w="2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1,106,000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17.25</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Granted</w:t>
            </w:r>
          </w:p>
        </w:tc>
        <w:tc>
          <w:tcPr>
            <w:tcW w:w="2120" w:type="dxa"/>
            <w:vAlign w:val="bottom"/>
          </w:tcPr>
          <w:p>
            <w:pPr>
              <w:jc w:val="right"/>
              <w:ind w:right="13"/>
              <w:spacing w:after="0"/>
              <w:rPr>
                <w:sz w:val="20"/>
                <w:szCs w:val="20"/>
                <w:color w:val="auto"/>
              </w:rPr>
            </w:pPr>
            <w:r>
              <w:rPr>
                <w:rFonts w:ascii="Arial" w:cs="Arial" w:eastAsia="Arial" w:hAnsi="Arial"/>
                <w:sz w:val="18"/>
                <w:szCs w:val="18"/>
                <w:color w:val="auto"/>
              </w:rPr>
              <w:t>558,000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17.95</w:t>
            </w:r>
          </w:p>
        </w:tc>
      </w:tr>
      <w:tr>
        <w:trPr>
          <w:trHeight w:val="27"/>
        </w:trPr>
        <w:tc>
          <w:tcPr>
            <w:tcW w:w="50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2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Canceled</w:t>
            </w:r>
          </w:p>
        </w:tc>
        <w:tc>
          <w:tcPr>
            <w:tcW w:w="2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2017</w:t>
            </w:r>
          </w:p>
        </w:tc>
        <w:tc>
          <w:tcPr>
            <w:tcW w:w="2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1,664,000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17.49</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Granted</w:t>
            </w:r>
          </w:p>
        </w:tc>
        <w:tc>
          <w:tcPr>
            <w:tcW w:w="2120" w:type="dxa"/>
            <w:vAlign w:val="bottom"/>
          </w:tcPr>
          <w:p>
            <w:pPr>
              <w:jc w:val="right"/>
              <w:ind w:right="13"/>
              <w:spacing w:after="0"/>
              <w:rPr>
                <w:sz w:val="20"/>
                <w:szCs w:val="20"/>
                <w:color w:val="auto"/>
              </w:rPr>
            </w:pPr>
            <w:r>
              <w:rPr>
                <w:rFonts w:ascii="Arial" w:cs="Arial" w:eastAsia="Arial" w:hAnsi="Arial"/>
                <w:sz w:val="18"/>
                <w:szCs w:val="18"/>
                <w:color w:val="auto"/>
              </w:rPr>
              <w:t>556,000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20.64</w:t>
            </w:r>
          </w:p>
        </w:tc>
      </w:tr>
      <w:tr>
        <w:trPr>
          <w:trHeight w:val="27"/>
        </w:trPr>
        <w:tc>
          <w:tcPr>
            <w:tcW w:w="50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(548,000)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17.29</w:t>
            </w:r>
          </w:p>
        </w:tc>
      </w:tr>
      <w:tr>
        <w:trPr>
          <w:trHeight w:val="270"/>
        </w:trPr>
        <w:tc>
          <w:tcPr>
            <w:tcW w:w="502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Canceled </w:t>
            </w:r>
            <w:r>
              <w:rPr>
                <w:rFonts w:ascii="Arial" w:cs="Arial" w:eastAsia="Arial" w:hAnsi="Arial"/>
                <w:sz w:val="25"/>
                <w:szCs w:val="25"/>
                <w:color w:val="auto"/>
                <w:vertAlign w:val="superscript"/>
              </w:rPr>
              <w:t>(1)</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(330,000)</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18.60</w:t>
            </w:r>
          </w:p>
        </w:tc>
      </w:tr>
      <w:tr>
        <w:trPr>
          <w:trHeight w:val="25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2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1,342,000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18.60</w:t>
            </w:r>
          </w:p>
        </w:tc>
      </w:tr>
      <w:tr>
        <w:trPr>
          <w:trHeight w:val="20"/>
        </w:trPr>
        <w:tc>
          <w:tcPr>
            <w:tcW w:w="50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20" w:lineRule="exact"/>
        <w:rPr>
          <w:sz w:val="20"/>
          <w:szCs w:val="20"/>
          <w:color w:val="auto"/>
        </w:rPr>
      </w:pPr>
    </w:p>
    <w:p>
      <w:pPr>
        <w:ind w:left="660" w:right="260" w:firstLine="645"/>
        <w:spacing w:after="0" w:line="283" w:lineRule="auto"/>
        <w:tabs>
          <w:tab w:leader="none" w:pos="1461" w:val="left"/>
        </w:tabs>
        <w:numPr>
          <w:ilvl w:val="0"/>
          <w:numId w:val="47"/>
        </w:numPr>
        <w:rPr>
          <w:rFonts w:ascii="Arial" w:cs="Arial" w:eastAsia="Arial" w:hAnsi="Arial"/>
          <w:sz w:val="19"/>
          <w:szCs w:val="19"/>
          <w:color w:val="auto"/>
          <w:vertAlign w:val="superscript"/>
        </w:rPr>
      </w:pPr>
      <w:r>
        <w:rPr>
          <w:rFonts w:ascii="Arial" w:cs="Arial" w:eastAsia="Arial" w:hAnsi="Arial"/>
          <w:sz w:val="15"/>
          <w:szCs w:val="15"/>
          <w:color w:val="auto"/>
        </w:rPr>
        <w:t>The canceled shares and the resulting reversal of expense during the second quarter of 2018 are the result of the retirement of the Company's former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20"/>
          </w:cols>
          <w:pgMar w:left="240" w:top="130" w:right="339" w:bottom="1440" w:gutter="0" w:footer="0" w:header="0"/>
        </w:sectPr>
      </w:pPr>
    </w:p>
    <w:bookmarkStart w:id="102" w:name="page103"/>
    <w:bookmarkEnd w:id="10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2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tables present certain information with respect to the Company’s segments. Intersegment revenues between the Company’s segments were not material in any of the periods presented below.</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GLP Capital</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TRS Properties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(1)</w:t>
            </w: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20" w:type="dxa"/>
            <w:vAlign w:val="bottom"/>
            <w:gridSpan w:val="3"/>
          </w:tcPr>
          <w:p>
            <w:pPr>
              <w:jc w:val="center"/>
              <w:ind w:right="11"/>
              <w:spacing w:after="0"/>
              <w:rPr>
                <w:sz w:val="20"/>
                <w:szCs w:val="20"/>
                <w:color w:val="auto"/>
              </w:rPr>
            </w:pPr>
            <w:r>
              <w:rPr>
                <w:rFonts w:ascii="Arial" w:cs="Arial" w:eastAsia="Arial" w:hAnsi="Arial"/>
                <w:sz w:val="14"/>
                <w:szCs w:val="14"/>
                <w:b w:val="1"/>
                <w:bCs w:val="1"/>
                <w:color w:val="auto"/>
                <w:w w:val="91"/>
              </w:rPr>
              <w:t>(in thousands)</w:t>
            </w: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December 31, 2018</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923,182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132,545</w:t>
            </w:r>
          </w:p>
        </w:tc>
        <w:tc>
          <w:tcPr>
            <w:tcW w:w="2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1,055,727</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630,122</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(36,312)</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593,810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247,684</w:t>
            </w:r>
          </w:p>
        </w:tc>
        <w:tc>
          <w:tcPr>
            <w:tcW w:w="26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10,406</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(10,406)</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247,684</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391,196</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(46,716)</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344,480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855</w:t>
            </w:r>
          </w:p>
        </w:tc>
        <w:tc>
          <w:tcPr>
            <w:tcW w:w="26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4,109</w:t>
            </w:r>
          </w:p>
        </w:tc>
        <w:tc>
          <w:tcPr>
            <w:tcW w:w="26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4,964</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390,341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(50,825)</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339,516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127,696</w:t>
            </w:r>
          </w:p>
        </w:tc>
        <w:tc>
          <w:tcPr>
            <w:tcW w:w="26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9,397</w:t>
            </w:r>
          </w:p>
        </w:tc>
        <w:tc>
          <w:tcPr>
            <w:tcW w:w="26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137,093</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project 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Capital maintenance expenditures</w:t>
            </w:r>
          </w:p>
        </w:tc>
        <w:tc>
          <w:tcPr>
            <w:tcW w:w="24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4,229</w:t>
            </w:r>
          </w:p>
        </w:tc>
        <w:tc>
          <w:tcPr>
            <w:tcW w:w="26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4,284</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5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For the year ended December 31, 2017</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829,221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142,086</w:t>
            </w:r>
          </w:p>
        </w:tc>
        <w:tc>
          <w:tcPr>
            <w:tcW w:w="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971,307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578,661</w:t>
            </w:r>
          </w:p>
        </w:tc>
        <w:tc>
          <w:tcPr>
            <w:tcW w:w="26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26,857</w:t>
            </w:r>
          </w:p>
        </w:tc>
        <w:tc>
          <w:tcPr>
            <w:tcW w:w="26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605,518</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217,068</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10,406</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(10,406)</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217,068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373,931</w:t>
            </w:r>
          </w:p>
        </w:tc>
        <w:tc>
          <w:tcPr>
            <w:tcW w:w="26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16,454</w:t>
            </w:r>
          </w:p>
        </w:tc>
        <w:tc>
          <w:tcPr>
            <w:tcW w:w="26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390,385</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1,099</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8,688</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9,787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372,832</w:t>
            </w:r>
          </w:p>
        </w:tc>
        <w:tc>
          <w:tcPr>
            <w:tcW w:w="26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7,766</w:t>
            </w:r>
          </w:p>
        </w:tc>
        <w:tc>
          <w:tcPr>
            <w:tcW w:w="26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380,598</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102,652</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10,828</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113,480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Capital project expenditures</w:t>
            </w:r>
          </w:p>
        </w:tc>
        <w:tc>
          <w:tcPr>
            <w:tcW w:w="24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78</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maintenance 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3,178</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3,178</w:t>
            </w:r>
          </w:p>
        </w:tc>
      </w:tr>
      <w:tr>
        <w:trPr>
          <w:trHeight w:val="230"/>
        </w:trPr>
        <w:tc>
          <w:tcPr>
            <w:tcW w:w="5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December 31, 2016</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684,204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144,051</w:t>
            </w:r>
          </w:p>
        </w:tc>
        <w:tc>
          <w:tcPr>
            <w:tcW w:w="2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828,255</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454,682</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25,941</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480,623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185,896</w:t>
            </w:r>
          </w:p>
        </w:tc>
        <w:tc>
          <w:tcPr>
            <w:tcW w:w="26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10,406</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(10,406)</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185,896</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281,311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15,539</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296,850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1,016</w:t>
            </w:r>
          </w:p>
        </w:tc>
        <w:tc>
          <w:tcPr>
            <w:tcW w:w="26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6,529</w:t>
            </w:r>
          </w:p>
        </w:tc>
        <w:tc>
          <w:tcPr>
            <w:tcW w:w="26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7,545</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280,295</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9,010</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289,305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98,171</w:t>
            </w:r>
          </w:p>
        </w:tc>
        <w:tc>
          <w:tcPr>
            <w:tcW w:w="26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11,383</w:t>
            </w:r>
          </w:p>
        </w:tc>
        <w:tc>
          <w:tcPr>
            <w:tcW w:w="26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109,554</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project 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229</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Capital maintenance expenditures</w:t>
            </w:r>
          </w:p>
        </w:tc>
        <w:tc>
          <w:tcPr>
            <w:tcW w:w="24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3,111</w:t>
            </w:r>
          </w:p>
        </w:tc>
        <w:tc>
          <w:tcPr>
            <w:tcW w:w="26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3,111</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5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Balance sheet at December 31, 2018</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8,441,345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135,948</w:t>
            </w:r>
          </w:p>
        </w:tc>
        <w:tc>
          <w:tcPr>
            <w:tcW w:w="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8,577,293</w:t>
            </w:r>
          </w:p>
        </w:tc>
      </w:tr>
      <w:tr>
        <w:trPr>
          <w:trHeight w:val="230"/>
        </w:trPr>
        <w:tc>
          <w:tcPr>
            <w:tcW w:w="5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at December 31, 2017</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7,045,747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201,135</w:t>
            </w:r>
          </w:p>
        </w:tc>
        <w:tc>
          <w:tcPr>
            <w:tcW w:w="2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7,246,882</w:t>
            </w:r>
          </w:p>
        </w:tc>
      </w:tr>
    </w:tbl>
    <w:p>
      <w:pPr>
        <w:spacing w:after="0" w:line="200" w:lineRule="exact"/>
        <w:rPr>
          <w:sz w:val="20"/>
          <w:szCs w:val="20"/>
          <w:color w:val="auto"/>
        </w:rPr>
      </w:pPr>
    </w:p>
    <w:p>
      <w:pPr>
        <w:spacing w:after="0" w:line="245" w:lineRule="exact"/>
        <w:rPr>
          <w:sz w:val="20"/>
          <w:szCs w:val="20"/>
          <w:color w:val="auto"/>
        </w:rPr>
      </w:pPr>
    </w:p>
    <w:p>
      <w:pPr>
        <w:ind w:right="100" w:firstLine="332"/>
        <w:spacing w:after="0" w:line="236" w:lineRule="auto"/>
        <w:tabs>
          <w:tab w:leader="none" w:pos="81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auto"/>
        </w:rPr>
        <w:t>Amounts in the "Eliminations" column represent the elimination of intercompany interest payments from the Company’s TRS Properties business segment to its GLP Capital business segment.</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130" w:right="239" w:bottom="1440" w:gutter="0" w:footer="0" w:header="0"/>
          <w:type w:val="continuous"/>
        </w:sectPr>
      </w:pPr>
    </w:p>
    <w:bookmarkStart w:id="103" w:name="page104"/>
    <w:bookmarkEnd w:id="10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Summarized Quarterly Data (Unaudited)</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quarterly results of operations for the years ended December 31, 2018 and 2017:</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Fiscal Quarter</w:t>
            </w:r>
          </w:p>
        </w:tc>
        <w:tc>
          <w:tcPr>
            <w:tcW w:w="8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264"/>
        </w:trPr>
        <w:tc>
          <w:tcPr>
            <w:tcW w:w="4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First</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Second</w:t>
            </w: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Third</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Fourth</w:t>
            </w:r>
          </w:p>
        </w:tc>
        <w:tc>
          <w:tcPr>
            <w:tcW w:w="320" w:type="dxa"/>
            <w:vAlign w:val="bottom"/>
          </w:tcPr>
          <w:p>
            <w:pPr>
              <w:spacing w:after="0"/>
              <w:rPr>
                <w:sz w:val="22"/>
                <w:szCs w:val="22"/>
                <w:color w:val="auto"/>
              </w:rPr>
            </w:pPr>
          </w:p>
        </w:tc>
      </w:tr>
      <w:tr>
        <w:trPr>
          <w:trHeight w:val="250"/>
        </w:trPr>
        <w:tc>
          <w:tcPr>
            <w:tcW w:w="4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w w:val="91"/>
              </w:rPr>
              <w:t>(in thousands, except per share data)</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56"/>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244,050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254,221</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254,139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303,317</w:t>
            </w: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(1 )</w:t>
            </w: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151,851</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153,241</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164,834</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123,884</w:t>
            </w:r>
          </w:p>
        </w:tc>
        <w:tc>
          <w:tcPr>
            <w:tcW w:w="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(1 )</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96,772</w:t>
            </w:r>
          </w:p>
        </w:tc>
        <w:tc>
          <w:tcPr>
            <w:tcW w:w="2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91,998</w:t>
            </w:r>
          </w:p>
        </w:tc>
        <w:tc>
          <w:tcPr>
            <w:tcW w:w="5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104,815</w:t>
            </w:r>
          </w:p>
        </w:tc>
        <w:tc>
          <w:tcPr>
            <w:tcW w:w="3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45,931</w:t>
            </w: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(2 )</w:t>
            </w: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324"/>
        </w:trPr>
        <w:tc>
          <w:tcPr>
            <w:tcW w:w="4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0.43</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0.49</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0.21</w:t>
            </w:r>
          </w:p>
        </w:tc>
        <w:tc>
          <w:tcPr>
            <w:tcW w:w="32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0.45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0.43</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0.49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0.21</w:t>
            </w:r>
          </w:p>
        </w:tc>
        <w:tc>
          <w:tcPr>
            <w:tcW w:w="32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324"/>
        </w:trPr>
        <w:tc>
          <w:tcPr>
            <w:tcW w:w="4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242,713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243,391</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244,506</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240,697</w:t>
            </w:r>
          </w:p>
        </w:tc>
        <w:tc>
          <w:tcPr>
            <w:tcW w:w="32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150,006</w:t>
            </w:r>
          </w:p>
        </w:tc>
        <w:tc>
          <w:tcPr>
            <w:tcW w:w="2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152,696</w:t>
            </w:r>
          </w:p>
        </w:tc>
        <w:tc>
          <w:tcPr>
            <w:tcW w:w="5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152,699</w:t>
            </w:r>
          </w:p>
        </w:tc>
        <w:tc>
          <w:tcPr>
            <w:tcW w:w="3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150,117</w:t>
            </w:r>
          </w:p>
        </w:tc>
        <w:tc>
          <w:tcPr>
            <w:tcW w:w="32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93,991</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96,334</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97,014</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93,259</w:t>
            </w:r>
          </w:p>
        </w:tc>
        <w:tc>
          <w:tcPr>
            <w:tcW w:w="320" w:type="dxa"/>
            <w:vAlign w:val="bottom"/>
            <w:tcBorders>
              <w:bottom w:val="single" w:sz="8" w:color="CCEEFF"/>
            </w:tcBorders>
            <w:shd w:val="clear" w:color="auto" w:fill="CCEEFF"/>
          </w:tcPr>
          <w:p>
            <w:pPr>
              <w:spacing w:after="0"/>
              <w:rPr>
                <w:sz w:val="21"/>
                <w:szCs w:val="21"/>
                <w:color w:val="auto"/>
              </w:rPr>
            </w:pPr>
          </w:p>
        </w:tc>
      </w:tr>
      <w:tr>
        <w:trPr>
          <w:trHeight w:val="324"/>
        </w:trPr>
        <w:tc>
          <w:tcPr>
            <w:tcW w:w="4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0.45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0.46</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0.46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0.44</w:t>
            </w:r>
          </w:p>
        </w:tc>
        <w:tc>
          <w:tcPr>
            <w:tcW w:w="32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3"/>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0.45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0.45</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0.45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0.43</w:t>
            </w:r>
          </w:p>
        </w:tc>
        <w:tc>
          <w:tcPr>
            <w:tcW w:w="320" w:type="dxa"/>
            <w:vAlign w:val="bottom"/>
            <w:shd w:val="clear" w:color="auto" w:fill="CCEEFF"/>
          </w:tcPr>
          <w:p>
            <w:pPr>
              <w:spacing w:after="0"/>
              <w:rPr>
                <w:sz w:val="21"/>
                <w:szCs w:val="21"/>
                <w:color w:val="auto"/>
              </w:rPr>
            </w:pPr>
          </w:p>
        </w:tc>
      </w:tr>
      <w:tr>
        <w:trPr>
          <w:trHeight w:val="27"/>
        </w:trPr>
        <w:tc>
          <w:tcPr>
            <w:tcW w:w="4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r>
    </w:tbl>
    <w:p>
      <w:pPr>
        <w:spacing w:after="0" w:line="145" w:lineRule="exact"/>
        <w:rPr>
          <w:sz w:val="20"/>
          <w:szCs w:val="20"/>
          <w:color w:val="auto"/>
        </w:rPr>
      </w:pPr>
    </w:p>
    <w:p>
      <w:pPr>
        <w:ind w:left="280" w:hanging="272"/>
        <w:spacing w:after="0"/>
        <w:tabs>
          <w:tab w:leader="none" w:pos="28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auto"/>
        </w:rPr>
        <w:t>During October 2018, the Company acquired the real property assets of five casino properties from Tropicana and</w:t>
      </w:r>
    </w:p>
    <w:p>
      <w:pPr>
        <w:spacing w:after="0" w:line="2" w:lineRule="exact"/>
        <w:rPr>
          <w:sz w:val="20"/>
          <w:szCs w:val="20"/>
          <w:color w:val="auto"/>
        </w:rPr>
      </w:pPr>
    </w:p>
    <w:p>
      <w:pPr>
        <w:ind w:left="660" w:right="2220"/>
        <w:spacing w:after="0" w:line="280" w:lineRule="auto"/>
        <w:rPr>
          <w:sz w:val="20"/>
          <w:szCs w:val="20"/>
          <w:color w:val="auto"/>
        </w:rPr>
      </w:pPr>
      <w:r>
        <w:rPr>
          <w:rFonts w:ascii="Arial" w:cs="Arial" w:eastAsia="Arial" w:hAnsi="Arial"/>
          <w:sz w:val="16"/>
          <w:szCs w:val="16"/>
          <w:color w:val="auto"/>
        </w:rPr>
        <w:t>leased these assets to Eldorado under a new triple-net lease. Also during October 2018, in conjunction with the Penn-Pinnacle Merger, the Company acquired the real property assets of Plainridge Park and added this property to the</w:t>
      </w:r>
    </w:p>
    <w:p>
      <w:pPr>
        <w:spacing w:after="0" w:line="1" w:lineRule="exact"/>
        <w:rPr>
          <w:sz w:val="20"/>
          <w:szCs w:val="20"/>
          <w:color w:val="auto"/>
        </w:rPr>
      </w:pPr>
    </w:p>
    <w:p>
      <w:pPr>
        <w:ind w:left="660"/>
        <w:spacing w:after="0" w:line="290" w:lineRule="auto"/>
        <w:rPr>
          <w:sz w:val="20"/>
          <w:szCs w:val="20"/>
          <w:color w:val="auto"/>
        </w:rPr>
      </w:pPr>
      <w:r>
        <w:rPr>
          <w:rFonts w:ascii="Arial" w:cs="Arial" w:eastAsia="Arial" w:hAnsi="Arial"/>
          <w:sz w:val="17"/>
          <w:szCs w:val="17"/>
          <w:color w:val="auto"/>
        </w:rPr>
        <w:t>Amended Pinnacle Master Lease. These transactions, in addition to the treatment of the Amended Pinnacle Master Lease as an operating lease in its entirety, as detailed in Note 4 were the primary drivers for the Company's improved operating results in the fourth quarter of 2018.</w:t>
      </w:r>
    </w:p>
    <w:p>
      <w:pPr>
        <w:spacing w:after="0" w:line="104" w:lineRule="exact"/>
        <w:rPr>
          <w:sz w:val="20"/>
          <w:szCs w:val="20"/>
          <w:color w:val="auto"/>
        </w:rPr>
      </w:pPr>
    </w:p>
    <w:p>
      <w:pPr>
        <w:ind w:left="280" w:hanging="272"/>
        <w:spacing w:after="0"/>
        <w:tabs>
          <w:tab w:leader="none" w:pos="28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During the fourth quarter of 2018, the Company recorded an impairment charge of $59.5 million, related to the</w:t>
      </w:r>
    </w:p>
    <w:p>
      <w:pPr>
        <w:spacing w:after="0" w:line="2"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goodwill recorded on the books of its subsidiary, Hollywood Casino Baton Rouge. This was the largest driver of the decrease in the Company's net income during the fourth quarter of 2018. For further information on the impairment charge see Note 9.</w:t>
      </w:r>
    </w:p>
    <w:p>
      <w:pPr>
        <w:spacing w:after="0" w:line="182" w:lineRule="exact"/>
        <w:rPr>
          <w:sz w:val="20"/>
          <w:szCs w:val="20"/>
          <w:color w:val="auto"/>
        </w:rPr>
      </w:pPr>
    </w:p>
    <w:p>
      <w:pPr>
        <w:ind w:left="660" w:right="5220" w:hanging="652"/>
        <w:spacing w:after="0" w:line="682" w:lineRule="auto"/>
        <w:tabs>
          <w:tab w:leader="none" w:pos="291"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Disclosures of Cash Flow Information and Noncash Activities </w:t>
      </w:r>
      <w:r>
        <w:rPr>
          <w:rFonts w:ascii="Arial" w:cs="Arial" w:eastAsia="Arial" w:hAnsi="Arial"/>
          <w:sz w:val="16"/>
          <w:szCs w:val="16"/>
          <w:color w:val="auto"/>
        </w:rPr>
        <w:t>Supplemental disclosures of cash flow information are as follows:</w:t>
      </w:r>
    </w:p>
    <w:p>
      <w:pPr>
        <w:spacing w:after="0" w:line="8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0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4"/>
                <w:szCs w:val="14"/>
                <w:color w:val="auto"/>
              </w:rPr>
            </w:pPr>
          </w:p>
        </w:tc>
        <w:tc>
          <w:tcPr>
            <w:tcW w:w="1400" w:type="dxa"/>
            <w:vAlign w:val="bottom"/>
          </w:tcPr>
          <w:p>
            <w:pPr>
              <w:jc w:val="right"/>
              <w:ind w:right="696"/>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4"/>
                <w:szCs w:val="14"/>
                <w:color w:val="auto"/>
              </w:rPr>
            </w:pPr>
          </w:p>
        </w:tc>
        <w:tc>
          <w:tcPr>
            <w:tcW w:w="1540" w:type="dxa"/>
            <w:vAlign w:val="bottom"/>
          </w:tcPr>
          <w:p>
            <w:pPr>
              <w:jc w:val="right"/>
              <w:ind w:right="719"/>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4"/>
                <w:szCs w:val="14"/>
                <w:color w:val="auto"/>
              </w:rPr>
            </w:pPr>
          </w:p>
        </w:tc>
        <w:tc>
          <w:tcPr>
            <w:tcW w:w="1380" w:type="dxa"/>
            <w:vAlign w:val="bottom"/>
          </w:tcPr>
          <w:p>
            <w:pPr>
              <w:jc w:val="right"/>
              <w:ind w:right="676"/>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ind w:right="399"/>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5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paid for income taxes, net of refunds received</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5,389</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11,646</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7,362</w:t>
            </w:r>
          </w:p>
        </w:tc>
      </w:tr>
      <w:tr>
        <w:trPr>
          <w:trHeight w:val="243"/>
        </w:trPr>
        <w:tc>
          <w:tcPr>
            <w:tcW w:w="5060" w:type="dxa"/>
            <w:vAlign w:val="bottom"/>
            <w:gridSpan w:val="3"/>
          </w:tcPr>
          <w:p>
            <w:pPr>
              <w:ind w:left="40"/>
              <w:spacing w:after="0"/>
              <w:rPr>
                <w:sz w:val="20"/>
                <w:szCs w:val="20"/>
                <w:color w:val="auto"/>
              </w:rPr>
            </w:pPr>
            <w:r>
              <w:rPr>
                <w:rFonts w:ascii="Arial" w:cs="Arial" w:eastAsia="Arial" w:hAnsi="Arial"/>
                <w:sz w:val="18"/>
                <w:szCs w:val="18"/>
                <w:color w:val="auto"/>
              </w:rPr>
              <w:t>Cash paid for interest</w:t>
            </w:r>
          </w:p>
        </w:tc>
        <w:tc>
          <w:tcPr>
            <w:tcW w:w="44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229,779</w:t>
            </w:r>
          </w:p>
        </w:tc>
        <w:tc>
          <w:tcPr>
            <w:tcW w:w="400" w:type="dxa"/>
            <w:vAlign w:val="bottom"/>
          </w:tcPr>
          <w:p>
            <w:pPr>
              <w:spacing w:after="0"/>
              <w:rPr>
                <w:sz w:val="21"/>
                <w:szCs w:val="21"/>
                <w:color w:val="auto"/>
              </w:rPr>
            </w:pPr>
          </w:p>
        </w:tc>
        <w:tc>
          <w:tcPr>
            <w:tcW w:w="1540" w:type="dxa"/>
            <w:vAlign w:val="bottom"/>
          </w:tcPr>
          <w:p>
            <w:pPr>
              <w:jc w:val="right"/>
              <w:ind w:right="39"/>
              <w:spacing w:after="0"/>
              <w:rPr>
                <w:sz w:val="20"/>
                <w:szCs w:val="20"/>
                <w:color w:val="auto"/>
              </w:rPr>
            </w:pPr>
            <w:r>
              <w:rPr>
                <w:rFonts w:ascii="Arial" w:cs="Arial" w:eastAsia="Arial" w:hAnsi="Arial"/>
                <w:sz w:val="18"/>
                <w:szCs w:val="18"/>
                <w:color w:val="auto"/>
              </w:rPr>
              <w:t>204,442</w:t>
            </w:r>
          </w:p>
        </w:tc>
        <w:tc>
          <w:tcPr>
            <w:tcW w:w="5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154,527</w:t>
            </w:r>
          </w:p>
        </w:tc>
      </w:tr>
    </w:tbl>
    <w:p>
      <w:pPr>
        <w:spacing w:after="0" w:line="200" w:lineRule="exact"/>
        <w:rPr>
          <w:sz w:val="20"/>
          <w:szCs w:val="20"/>
          <w:color w:val="auto"/>
        </w:rPr>
      </w:pPr>
    </w:p>
    <w:p>
      <w:pPr>
        <w:sectPr>
          <w:pgSz w:w="11900" w:h="16838" w:orient="portrait"/>
          <w:cols w:equalWidth="0" w:num="1">
            <w:col w:w="11320"/>
          </w:cols>
          <w:pgMar w:left="24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320"/>
          </w:cols>
          <w:pgMar w:left="240" w:top="130" w:right="339" w:bottom="1440" w:gutter="0" w:footer="0" w:header="0"/>
          <w:type w:val="continuous"/>
        </w:sectPr>
      </w:pPr>
    </w:p>
    <w:bookmarkStart w:id="104" w:name="page105"/>
    <w:bookmarkEnd w:id="10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Noncash investing and financing activities are as follows:</w:t>
      </w: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0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4"/>
                <w:szCs w:val="14"/>
                <w:color w:val="auto"/>
              </w:rPr>
            </w:pPr>
          </w:p>
        </w:tc>
        <w:tc>
          <w:tcPr>
            <w:tcW w:w="1400" w:type="dxa"/>
            <w:vAlign w:val="bottom"/>
          </w:tcPr>
          <w:p>
            <w:pPr>
              <w:jc w:val="right"/>
              <w:ind w:right="696"/>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4"/>
                <w:szCs w:val="14"/>
                <w:color w:val="auto"/>
              </w:rPr>
            </w:pPr>
          </w:p>
        </w:tc>
        <w:tc>
          <w:tcPr>
            <w:tcW w:w="2060" w:type="dxa"/>
            <w:vAlign w:val="bottom"/>
          </w:tcPr>
          <w:p>
            <w:pPr>
              <w:jc w:val="right"/>
              <w:ind w:right="1239"/>
              <w:spacing w:after="0"/>
              <w:rPr>
                <w:sz w:val="20"/>
                <w:szCs w:val="20"/>
                <w:color w:val="auto"/>
              </w:rPr>
            </w:pPr>
            <w:r>
              <w:rPr>
                <w:rFonts w:ascii="Arial" w:cs="Arial" w:eastAsia="Arial" w:hAnsi="Arial"/>
                <w:sz w:val="14"/>
                <w:szCs w:val="14"/>
                <w:b w:val="1"/>
                <w:bCs w:val="1"/>
                <w:color w:val="auto"/>
              </w:rPr>
              <w:t>2017</w:t>
            </w:r>
          </w:p>
        </w:tc>
        <w:tc>
          <w:tcPr>
            <w:tcW w:w="1380" w:type="dxa"/>
            <w:vAlign w:val="bottom"/>
          </w:tcPr>
          <w:p>
            <w:pPr>
              <w:jc w:val="right"/>
              <w:ind w:right="676"/>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60" w:type="dxa"/>
            <w:vAlign w:val="bottom"/>
          </w:tcPr>
          <w:p>
            <w:pPr>
              <w:jc w:val="center"/>
              <w:ind w:right="739"/>
              <w:spacing w:after="0"/>
              <w:rPr>
                <w:sz w:val="20"/>
                <w:szCs w:val="20"/>
                <w:color w:val="auto"/>
              </w:rPr>
            </w:pPr>
            <w:r>
              <w:rPr>
                <w:rFonts w:ascii="Arial" w:cs="Arial" w:eastAsia="Arial" w:hAnsi="Arial"/>
                <w:sz w:val="14"/>
                <w:szCs w:val="14"/>
                <w:b w:val="1"/>
                <w:bCs w:val="1"/>
                <w:color w:val="auto"/>
                <w:w w:val="91"/>
              </w:rPr>
              <w:t>(in thousands)</w:t>
            </w:r>
          </w:p>
        </w:tc>
        <w:tc>
          <w:tcPr>
            <w:tcW w:w="1380" w:type="dxa"/>
            <w:vAlign w:val="bottom"/>
          </w:tcPr>
          <w:p>
            <w:pPr>
              <w:spacing w:after="0"/>
              <w:rPr>
                <w:sz w:val="21"/>
                <w:szCs w:val="21"/>
                <w:color w:val="auto"/>
              </w:rPr>
            </w:pPr>
          </w:p>
        </w:tc>
      </w:tr>
      <w:tr>
        <w:trPr>
          <w:trHeight w:val="235"/>
        </w:trPr>
        <w:tc>
          <w:tcPr>
            <w:tcW w:w="5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5"/>
              </w:rPr>
              <w:t>Reclass of assets from investment in direct financing lease to real</w:t>
            </w: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estate investments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2,599,180</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5060" w:type="dxa"/>
            <w:vAlign w:val="bottom"/>
            <w:gridSpan w:val="3"/>
          </w:tcPr>
          <w:p>
            <w:pPr>
              <w:ind w:left="40"/>
              <w:spacing w:after="0"/>
              <w:rPr>
                <w:sz w:val="20"/>
                <w:szCs w:val="20"/>
                <w:color w:val="auto"/>
              </w:rPr>
            </w:pPr>
            <w:r>
              <w:rPr>
                <w:rFonts w:ascii="Arial" w:cs="Arial" w:eastAsia="Arial" w:hAnsi="Arial"/>
                <w:sz w:val="18"/>
                <w:szCs w:val="18"/>
                <w:color w:val="auto"/>
                <w:w w:val="97"/>
              </w:rPr>
              <w:t>Equity raised to partially finance the original Pinnacle transaction</w:t>
            </w:r>
          </w:p>
        </w:tc>
        <w:tc>
          <w:tcPr>
            <w:tcW w:w="44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2060" w:type="dxa"/>
            <w:vAlign w:val="bottom"/>
          </w:tcPr>
          <w:p>
            <w:pPr>
              <w:ind w:left="12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1,823,991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Supplementary Consolidating Financial Information of Parent Guarantor and Subsidiary Issuers</w:t>
      </w:r>
    </w:p>
    <w:p>
      <w:pPr>
        <w:spacing w:after="0" w:line="2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GLPI guarantees the Notes issued by its subsidiaries, GLP Capital, L.P. and GLP Financing II, Inc. Each of the subsidiary issuers is 100% owned by GLPI. The guarantees of GLPI are full and unconditional. GLPI is not subject to any material or significant restrictions on its ability to obtain funds from its subsidiaries by dividend or loan or to transfer assets from such subsidiaries, except as provided by applicable law. None of GLPI's subsidiaries guarantee the Notes.</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Summarized balance sheet information as of December 31, 2018 and 2017 and summarized income statement and cash flow information for the years ended December 31, 2018, 2017 and 2016 for GLPI as the parent guarantor, for GLP Capital, L.P. and GLP Financing II, Inc. as the subsidiary issuers and the other subsidiary non-issuers is presented below.</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40"/>
          </w:cols>
          <w:pgMar w:left="240" w:top="130" w:right="319" w:bottom="1440" w:gutter="0" w:footer="0" w:header="0"/>
        </w:sectPr>
      </w:pPr>
    </w:p>
    <w:bookmarkStart w:id="105" w:name="page106"/>
    <w:bookmarkEnd w:id="10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At December 31, 2018</w:t>
            </w:r>
          </w:p>
        </w:tc>
        <w:tc>
          <w:tcPr>
            <w:tcW w:w="220" w:type="dxa"/>
            <w:vAlign w:val="bottom"/>
          </w:tcPr>
          <w:p>
            <w:pPr>
              <w:spacing w:after="0"/>
              <w:rPr>
                <w:sz w:val="14"/>
                <w:szCs w:val="14"/>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Parent</w:t>
            </w:r>
          </w:p>
        </w:tc>
        <w:tc>
          <w:tcPr>
            <w:tcW w:w="200" w:type="dxa"/>
            <w:vAlign w:val="bottom"/>
          </w:tcPr>
          <w:p>
            <w:pPr>
              <w:spacing w:after="0"/>
              <w:rPr>
                <w:sz w:val="14"/>
                <w:szCs w:val="14"/>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9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Consolidating Balance Sheet</w:t>
            </w: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Real estate investments,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2,637,404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4,694,056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7,331,460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net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100,938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572,269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673,207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18,577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82,307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100,884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Mortgage loans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57,684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303,684</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Investment in direct financing lease, net</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25,783</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27,071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30,967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16,067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Other intangible assets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9,577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Loan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Intercompany loan receivable</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193,595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transactions and investment in 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2,265,607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5,247,229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2,697,241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(10,210,077)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5,178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5,178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47,378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67,486</w:t>
            </w:r>
          </w:p>
        </w:tc>
        <w:tc>
          <w:tcPr>
            <w:tcW w:w="0" w:type="dxa"/>
            <w:vAlign w:val="bottom"/>
          </w:tcPr>
          <w:p>
            <w:pPr>
              <w:spacing w:after="0"/>
              <w:rPr>
                <w:sz w:val="1"/>
                <w:szCs w:val="1"/>
                <w:color w:val="auto"/>
              </w:rPr>
            </w:pPr>
          </w:p>
        </w:tc>
      </w:tr>
      <w:tr>
        <w:trPr>
          <w:trHeight w:val="297"/>
        </w:trPr>
        <w:tc>
          <w:tcPr>
            <w:tcW w:w="49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2,265,607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8,522,824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8,191,523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(10,402,661)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8,577,293</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23,587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6,710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30,297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interest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45,261</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Accrued salaries and wages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14,628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17,010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property, and other taxes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42,879</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Long-term debt, net of unamortized debt issuance costs, bond</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premiums and original issuance discounts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5,853,497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5,853,497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Intercompany loan payable</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193,595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rental revenue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269,185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293,911</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26,059</w:t>
            </w:r>
          </w:p>
        </w:tc>
        <w:tc>
          <w:tcPr>
            <w:tcW w:w="0" w:type="dxa"/>
            <w:vAlign w:val="bottom"/>
          </w:tcPr>
          <w:p>
            <w:pPr>
              <w:spacing w:after="0"/>
              <w:rPr>
                <w:sz w:val="1"/>
                <w:szCs w:val="1"/>
                <w:color w:val="auto"/>
              </w:rPr>
            </w:pPr>
          </w:p>
        </w:tc>
      </w:tr>
      <w:tr>
        <w:trPr>
          <w:trHeight w:val="237"/>
        </w:trPr>
        <w:tc>
          <w:tcPr>
            <w:tcW w:w="4920" w:type="dxa"/>
            <w:vAlign w:val="bottom"/>
            <w:gridSpan w:val="2"/>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6,257,216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247,054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(192,584)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6,311,686</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rPr>
              <w:t>Shareholders’ equity (deficit)</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Preferred stock ($.01 par value, 50,000,000 shares authorized,</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 shares issued or outstanding at December 31, 2018)</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gridSpan w:val="2"/>
          </w:tcPr>
          <w:p>
            <w:pPr>
              <w:ind w:left="180"/>
              <w:spacing w:after="0"/>
              <w:rPr>
                <w:sz w:val="20"/>
                <w:szCs w:val="20"/>
                <w:color w:val="auto"/>
              </w:rPr>
            </w:pPr>
            <w:r>
              <w:rPr>
                <w:rFonts w:ascii="Arial" w:cs="Arial" w:eastAsia="Arial" w:hAnsi="Arial"/>
                <w:sz w:val="18"/>
                <w:szCs w:val="18"/>
                <w:color w:val="auto"/>
                <w:w w:val="92"/>
              </w:rPr>
              <w:t>Common stock ($.01 par value, 500,000,000 shares authorized,</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ind w:left="180"/>
              <w:spacing w:after="0"/>
              <w:rPr>
                <w:sz w:val="20"/>
                <w:szCs w:val="20"/>
                <w:color w:val="auto"/>
              </w:rPr>
            </w:pPr>
            <w:r>
              <w:rPr>
                <w:rFonts w:ascii="Arial" w:cs="Arial" w:eastAsia="Arial" w:hAnsi="Arial"/>
                <w:sz w:val="18"/>
                <w:szCs w:val="18"/>
                <w:color w:val="auto"/>
                <w:w w:val="96"/>
              </w:rPr>
              <w:t>214,211,932 shares issued and outstanding at December 31,</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3,952,503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3,952,506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9,832,830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(13,785,336)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3,952,503</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Retained accumulated (deficit) earnings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(1,689,038)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(1,689,040)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(1,890,503)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3,579,543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(1,689,038)</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shareholders’ equity (deficit)</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2,265,607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2,265,608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7,944,469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(10,210,077)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2,265,607</w:t>
            </w:r>
          </w:p>
        </w:tc>
        <w:tc>
          <w:tcPr>
            <w:tcW w:w="0" w:type="dxa"/>
            <w:vAlign w:val="bottom"/>
          </w:tcPr>
          <w:p>
            <w:pPr>
              <w:spacing w:after="0"/>
              <w:rPr>
                <w:sz w:val="1"/>
                <w:szCs w:val="1"/>
                <w:color w:val="auto"/>
              </w:rPr>
            </w:pPr>
          </w:p>
        </w:tc>
      </w:tr>
      <w:tr>
        <w:trPr>
          <w:trHeight w:val="257"/>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shareholders’ equity (deficit)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2,265,607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8,522,824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8,191,523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(10,402,661)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8,577,293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106" w:name="page107"/>
    <w:bookmarkEnd w:id="10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ended December 31, 2018</w:t>
            </w:r>
          </w:p>
        </w:tc>
        <w:tc>
          <w:tcPr>
            <w:tcW w:w="220" w:type="dxa"/>
            <w:vAlign w:val="bottom"/>
          </w:tcPr>
          <w:p>
            <w:pPr>
              <w:spacing w:after="0"/>
              <w:rPr>
                <w:sz w:val="14"/>
                <w:szCs w:val="14"/>
                <w:color w:val="auto"/>
              </w:rPr>
            </w:pP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Parent</w:t>
            </w:r>
          </w:p>
        </w:tc>
        <w:tc>
          <w:tcPr>
            <w:tcW w:w="18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Consolidating Statement of Income</w:t>
            </w:r>
          </w:p>
        </w:tc>
        <w:tc>
          <w:tcPr>
            <w:tcW w:w="2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437,211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310,443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747,654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81,119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81,119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Interest income from mortgaged real estate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5,590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6,943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taxes paid by tenants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41,139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87,466</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income from real estate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489,128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434,054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923,182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132,545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132,545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489,128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566,599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1,055,727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77,127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77,127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42,314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88,757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Land rights and ground lease expense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10,156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18,202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28,358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21,967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71,128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97,632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39,461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137,093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 impairment charges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59,454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59,454</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203,392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258,525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461,917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285,736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308,074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593,810</w:t>
            </w:r>
          </w:p>
        </w:tc>
        <w:tc>
          <w:tcPr>
            <w:tcW w:w="0" w:type="dxa"/>
            <w:vAlign w:val="bottom"/>
          </w:tcPr>
          <w:p>
            <w:pPr>
              <w:spacing w:after="0"/>
              <w:rPr>
                <w:sz w:val="1"/>
                <w:szCs w:val="1"/>
                <w:color w:val="auto"/>
              </w:rPr>
            </w:pPr>
          </w:p>
        </w:tc>
      </w:tr>
      <w:tr>
        <w:trPr>
          <w:trHeight w:val="277"/>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(247,684)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(247,684)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Losses on debt extinguishment</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dividends and interest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460,044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(470,324)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other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210,242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10,752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(470,324)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(249,330)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495,978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318,826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(470,324)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344,480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4,964</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495,123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314,717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(470,324)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339,516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107" w:name="page108"/>
    <w:bookmarkEnd w:id="10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ended December 31, 2018</w:t>
            </w:r>
          </w:p>
        </w:tc>
        <w:tc>
          <w:tcPr>
            <w:tcW w:w="22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Parent</w:t>
            </w: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04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Consolidating Statement of Cash Flows</w:t>
            </w: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495,123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314,717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(470,324)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339,516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(used in) 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99,678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48,687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148,365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 bond premiums and</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original issuance discounts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12,167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12,167</w:t>
            </w:r>
          </w:p>
        </w:tc>
        <w:tc>
          <w:tcPr>
            <w:tcW w:w="0" w:type="dxa"/>
            <w:vAlign w:val="bottom"/>
          </w:tcPr>
          <w:p>
            <w:pPr>
              <w:spacing w:after="0"/>
              <w:rPr>
                <w:sz w:val="1"/>
                <w:szCs w:val="1"/>
                <w:color w:val="auto"/>
              </w:rPr>
            </w:pPr>
          </w:p>
        </w:tc>
      </w:tr>
      <w:tr>
        <w:trPr>
          <w:trHeight w:val="243"/>
        </w:trPr>
        <w:tc>
          <w:tcPr>
            <w:tcW w:w="5040" w:type="dxa"/>
            <w:vAlign w:val="bottom"/>
            <w:gridSpan w:val="2"/>
          </w:tcPr>
          <w:p>
            <w:pPr>
              <w:ind w:left="380"/>
              <w:spacing w:after="0"/>
              <w:rPr>
                <w:sz w:val="20"/>
                <w:szCs w:val="20"/>
                <w:color w:val="auto"/>
              </w:rPr>
            </w:pPr>
            <w:r>
              <w:rPr>
                <w:rFonts w:ascii="Arial" w:cs="Arial" w:eastAsia="Arial" w:hAnsi="Arial"/>
                <w:sz w:val="18"/>
                <w:szCs w:val="18"/>
                <w:color w:val="auto"/>
              </w:rPr>
              <w:t>Losses on dispositions of property</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43"/>
        </w:trPr>
        <w:tc>
          <w:tcPr>
            <w:tcW w:w="504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11,152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11,152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Straight-line rent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61,888</w:t>
            </w:r>
          </w:p>
        </w:tc>
        <w:tc>
          <w:tcPr>
            <w:tcW w:w="0" w:type="dxa"/>
            <w:vAlign w:val="bottom"/>
          </w:tcPr>
          <w:p>
            <w:pPr>
              <w:spacing w:after="0"/>
              <w:rPr>
                <w:sz w:val="1"/>
                <w:szCs w:val="1"/>
                <w:color w:val="auto"/>
              </w:rPr>
            </w:pPr>
          </w:p>
        </w:tc>
      </w:tr>
      <w:tr>
        <w:trPr>
          <w:trHeight w:val="243"/>
        </w:trPr>
        <w:tc>
          <w:tcPr>
            <w:tcW w:w="5040" w:type="dxa"/>
            <w:vAlign w:val="bottom"/>
            <w:gridSpan w:val="2"/>
          </w:tcPr>
          <w:p>
            <w:pPr>
              <w:ind w:left="380"/>
              <w:spacing w:after="0"/>
              <w:rPr>
                <w:sz w:val="20"/>
                <w:szCs w:val="20"/>
                <w:color w:val="auto"/>
              </w:rPr>
            </w:pPr>
            <w:r>
              <w:rPr>
                <w:rFonts w:ascii="Arial" w:cs="Arial" w:eastAsia="Arial" w:hAnsi="Arial"/>
                <w:sz w:val="18"/>
                <w:szCs w:val="18"/>
                <w:color w:val="auto"/>
              </w:rPr>
              <w:t>Losses on debt extinguishment</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Goodwill impairment charges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59,454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59,454</w:t>
            </w:r>
          </w:p>
        </w:tc>
        <w:tc>
          <w:tcPr>
            <w:tcW w:w="0" w:type="dxa"/>
            <w:vAlign w:val="bottom"/>
          </w:tcPr>
          <w:p>
            <w:pPr>
              <w:spacing w:after="0"/>
              <w:rPr>
                <w:sz w:val="1"/>
                <w:szCs w:val="1"/>
                <w:color w:val="auto"/>
              </w:rPr>
            </w:pPr>
          </w:p>
        </w:tc>
      </w:tr>
      <w:tr>
        <w:trPr>
          <w:trHeight w:val="297"/>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60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Intercompany</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gridSpan w:val="2"/>
          </w:tcPr>
          <w:p>
            <w:pPr>
              <w:ind w:left="380"/>
              <w:spacing w:after="0"/>
              <w:rPr>
                <w:sz w:val="20"/>
                <w:szCs w:val="20"/>
                <w:color w:val="auto"/>
              </w:rPr>
            </w:pPr>
            <w:r>
              <w:rPr>
                <w:rFonts w:ascii="Arial" w:cs="Arial" w:eastAsia="Arial" w:hAnsi="Arial"/>
                <w:sz w:val="18"/>
                <w:szCs w:val="18"/>
                <w:color w:val="auto"/>
              </w:rPr>
              <w:t>(Decrease) increase,</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43"/>
        </w:trPr>
        <w:tc>
          <w:tcPr>
            <w:tcW w:w="5040" w:type="dxa"/>
            <w:vAlign w:val="bottom"/>
            <w:gridSpan w:val="2"/>
          </w:tcPr>
          <w:p>
            <w:pPr>
              <w:ind w:left="60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interest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12,020</w:t>
            </w:r>
          </w:p>
        </w:tc>
        <w:tc>
          <w:tcPr>
            <w:tcW w:w="0" w:type="dxa"/>
            <w:vAlign w:val="bottom"/>
          </w:tcPr>
          <w:p>
            <w:pPr>
              <w:spacing w:after="0"/>
              <w:rPr>
                <w:sz w:val="1"/>
                <w:szCs w:val="1"/>
                <w:color w:val="auto"/>
              </w:rPr>
            </w:pPr>
          </w:p>
        </w:tc>
      </w:tr>
      <w:tr>
        <w:trPr>
          <w:trHeight w:val="243"/>
        </w:trPr>
        <w:tc>
          <w:tcPr>
            <w:tcW w:w="5040" w:type="dxa"/>
            <w:vAlign w:val="bottom"/>
            <w:gridSpan w:val="2"/>
          </w:tcPr>
          <w:p>
            <w:pPr>
              <w:ind w:left="600"/>
              <w:spacing w:after="0"/>
              <w:rPr>
                <w:sz w:val="20"/>
                <w:szCs w:val="20"/>
                <w:color w:val="auto"/>
              </w:rPr>
            </w:pPr>
            <w:r>
              <w:rPr>
                <w:rFonts w:ascii="Arial" w:cs="Arial" w:eastAsia="Arial" w:hAnsi="Arial"/>
                <w:sz w:val="18"/>
                <w:szCs w:val="18"/>
                <w:color w:val="auto"/>
              </w:rPr>
              <w:t>Accrued salaries and wages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6,796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6,201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Gaming, property and other taxes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5040" w:type="dxa"/>
            <w:vAlign w:val="bottom"/>
            <w:gridSpan w:val="2"/>
          </w:tcPr>
          <w:p>
            <w:pPr>
              <w:ind w:left="60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37"/>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689,866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434,891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(470,324)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654,433</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120"/>
              <w:spacing w:after="0"/>
              <w:rPr>
                <w:sz w:val="20"/>
                <w:szCs w:val="20"/>
                <w:color w:val="auto"/>
              </w:rPr>
            </w:pPr>
            <w:r>
              <w:rPr>
                <w:rFonts w:ascii="Arial" w:cs="Arial" w:eastAsia="Arial" w:hAnsi="Arial"/>
                <w:sz w:val="18"/>
                <w:szCs w:val="18"/>
                <w:color w:val="auto"/>
              </w:rPr>
              <w:t>Capital project expenditures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Capital maintenance expenditures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0" w:type="dxa"/>
            <w:vAlign w:val="bottom"/>
          </w:tcPr>
          <w:p>
            <w:pPr>
              <w:spacing w:after="0"/>
              <w:rPr>
                <w:sz w:val="1"/>
                <w:szCs w:val="1"/>
                <w:color w:val="auto"/>
              </w:rPr>
            </w:pPr>
          </w:p>
        </w:tc>
      </w:tr>
      <w:tr>
        <w:trPr>
          <w:trHeight w:val="243"/>
        </w:trPr>
        <w:tc>
          <w:tcPr>
            <w:tcW w:w="5040" w:type="dxa"/>
            <w:vAlign w:val="bottom"/>
            <w:gridSpan w:val="2"/>
          </w:tcPr>
          <w:p>
            <w:pPr>
              <w:ind w:left="120"/>
              <w:spacing w:after="0"/>
              <w:rPr>
                <w:sz w:val="20"/>
                <w:szCs w:val="20"/>
                <w:color w:val="auto"/>
              </w:rPr>
            </w:pPr>
            <w:r>
              <w:rPr>
                <w:rFonts w:ascii="Arial" w:cs="Arial" w:eastAsia="Arial" w:hAnsi="Arial"/>
                <w:sz w:val="18"/>
                <w:szCs w:val="18"/>
                <w:color w:val="auto"/>
              </w:rPr>
              <w:t>Proceeds from sale of property and equipment</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Acquisition of real estate assets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(985,750)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(257,716)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(1,243,466)</w:t>
            </w:r>
          </w:p>
        </w:tc>
        <w:tc>
          <w:tcPr>
            <w:tcW w:w="0" w:type="dxa"/>
            <w:vAlign w:val="bottom"/>
          </w:tcPr>
          <w:p>
            <w:pPr>
              <w:spacing w:after="0"/>
              <w:rPr>
                <w:sz w:val="1"/>
                <w:szCs w:val="1"/>
                <w:color w:val="auto"/>
              </w:rPr>
            </w:pPr>
          </w:p>
        </w:tc>
      </w:tr>
      <w:tr>
        <w:trPr>
          <w:trHeight w:val="243"/>
        </w:trPr>
        <w:tc>
          <w:tcPr>
            <w:tcW w:w="5040" w:type="dxa"/>
            <w:vAlign w:val="bottom"/>
            <w:gridSpan w:val="2"/>
          </w:tcPr>
          <w:p>
            <w:pPr>
              <w:ind w:left="120"/>
              <w:spacing w:after="0"/>
              <w:rPr>
                <w:sz w:val="20"/>
                <w:szCs w:val="20"/>
                <w:color w:val="auto"/>
              </w:rPr>
            </w:pPr>
            <w:r>
              <w:rPr>
                <w:rFonts w:ascii="Arial" w:cs="Arial" w:eastAsia="Arial" w:hAnsi="Arial"/>
                <w:sz w:val="18"/>
                <w:szCs w:val="18"/>
                <w:color w:val="auto"/>
              </w:rPr>
              <w:t>Originations of mortgage loans receivable</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(57,684)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(303,684)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Collection of principal payments on investment in direct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financing lease</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38,459</w:t>
            </w:r>
          </w:p>
        </w:tc>
        <w:tc>
          <w:tcPr>
            <w:tcW w:w="0" w:type="dxa"/>
            <w:vAlign w:val="bottom"/>
          </w:tcPr>
          <w:p>
            <w:pPr>
              <w:spacing w:after="0"/>
              <w:rPr>
                <w:sz w:val="1"/>
                <w:szCs w:val="1"/>
                <w:color w:val="auto"/>
              </w:rPr>
            </w:pPr>
          </w:p>
        </w:tc>
      </w:tr>
      <w:tr>
        <w:trPr>
          <w:trHeight w:val="237"/>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(1,228,630)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(281,154)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(1,509,784)</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120"/>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(550,435)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(550,435)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Proceeds from exercise of options, net of taxes paid related to</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shares withheld for tax purposes on restricted stock award</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vestings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7,537</w:t>
            </w:r>
          </w:p>
        </w:tc>
        <w:tc>
          <w:tcPr>
            <w:tcW w:w="0" w:type="dxa"/>
            <w:vAlign w:val="bottom"/>
          </w:tcPr>
          <w:p>
            <w:pPr>
              <w:spacing w:after="0"/>
              <w:rPr>
                <w:sz w:val="1"/>
                <w:szCs w:val="1"/>
                <w:color w:val="auto"/>
              </w:rPr>
            </w:pPr>
          </w:p>
        </w:tc>
      </w:tr>
      <w:tr>
        <w:trPr>
          <w:trHeight w:val="243"/>
        </w:trPr>
        <w:tc>
          <w:tcPr>
            <w:tcW w:w="5040" w:type="dxa"/>
            <w:vAlign w:val="bottom"/>
            <w:gridSpan w:val="2"/>
          </w:tcPr>
          <w:p>
            <w:pPr>
              <w:ind w:left="120"/>
              <w:spacing w:after="0"/>
              <w:rPr>
                <w:sz w:val="20"/>
                <w:szCs w:val="20"/>
                <w:color w:val="auto"/>
              </w:rPr>
            </w:pPr>
            <w:r>
              <w:rPr>
                <w:rFonts w:ascii="Arial" w:cs="Arial" w:eastAsia="Arial" w:hAnsi="Arial"/>
                <w:sz w:val="18"/>
                <w:szCs w:val="18"/>
                <w:color w:val="auto"/>
              </w:rPr>
              <w:t>Proceeds from issuance of long-term debt</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2,593,405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2,593,405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Financing costs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(32,426)</w:t>
            </w:r>
          </w:p>
        </w:tc>
        <w:tc>
          <w:tcPr>
            <w:tcW w:w="0" w:type="dxa"/>
            <w:vAlign w:val="bottom"/>
          </w:tcPr>
          <w:p>
            <w:pPr>
              <w:spacing w:after="0"/>
              <w:rPr>
                <w:sz w:val="1"/>
                <w:szCs w:val="1"/>
                <w:color w:val="auto"/>
              </w:rPr>
            </w:pPr>
          </w:p>
        </w:tc>
      </w:tr>
      <w:tr>
        <w:trPr>
          <w:trHeight w:val="243"/>
        </w:trPr>
        <w:tc>
          <w:tcPr>
            <w:tcW w:w="5040" w:type="dxa"/>
            <w:vAlign w:val="bottom"/>
            <w:gridSpan w:val="2"/>
          </w:tcPr>
          <w:p>
            <w:pPr>
              <w:ind w:left="120"/>
              <w:spacing w:after="0"/>
              <w:rPr>
                <w:sz w:val="20"/>
                <w:szCs w:val="20"/>
                <w:color w:val="auto"/>
              </w:rPr>
            </w:pPr>
            <w:r>
              <w:rPr>
                <w:rFonts w:ascii="Arial" w:cs="Arial" w:eastAsia="Arial" w:hAnsi="Arial"/>
                <w:sz w:val="18"/>
                <w:szCs w:val="18"/>
                <w:color w:val="auto"/>
              </w:rPr>
              <w:t>Payments of long-term debt</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(1,164,117)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(1,164,117)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Premium and related costs paid on tender of senior unsecured</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notes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43"/>
        </w:trPr>
        <w:tc>
          <w:tcPr>
            <w:tcW w:w="5040" w:type="dxa"/>
            <w:vAlign w:val="bottom"/>
            <w:gridSpan w:val="2"/>
          </w:tcPr>
          <w:p>
            <w:pPr>
              <w:ind w:left="120"/>
              <w:spacing w:after="0"/>
              <w:rPr>
                <w:sz w:val="20"/>
                <w:szCs w:val="20"/>
                <w:color w:val="auto"/>
              </w:rPr>
            </w:pPr>
            <w:r>
              <w:rPr>
                <w:rFonts w:ascii="Arial" w:cs="Arial" w:eastAsia="Arial" w:hAnsi="Arial"/>
                <w:sz w:val="18"/>
                <w:szCs w:val="18"/>
                <w:color w:val="auto"/>
              </w:rPr>
              <w:t>Intercompany financing</w:t>
            </w:r>
          </w:p>
        </w:tc>
        <w:tc>
          <w:tcPr>
            <w:tcW w:w="2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542,898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(858,316)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(154,906)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470,324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536,662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(154,906)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470,324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852,080</w:t>
            </w:r>
          </w:p>
        </w:tc>
        <w:tc>
          <w:tcPr>
            <w:tcW w:w="0" w:type="dxa"/>
            <w:vAlign w:val="bottom"/>
          </w:tcPr>
          <w:p>
            <w:pPr>
              <w:spacing w:after="0"/>
              <w:rPr>
                <w:sz w:val="1"/>
                <w:szCs w:val="1"/>
                <w:color w:val="auto"/>
              </w:rPr>
            </w:pPr>
          </w:p>
        </w:tc>
      </w:tr>
      <w:tr>
        <w:trPr>
          <w:trHeight w:val="237"/>
        </w:trPr>
        <w:tc>
          <w:tcPr>
            <w:tcW w:w="50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6,734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29,054</w:t>
            </w:r>
          </w:p>
        </w:tc>
        <w:tc>
          <w:tcPr>
            <w:tcW w:w="0" w:type="dxa"/>
            <w:vAlign w:val="bottom"/>
          </w:tcPr>
          <w:p>
            <w:pPr>
              <w:spacing w:after="0"/>
              <w:rPr>
                <w:sz w:val="1"/>
                <w:szCs w:val="1"/>
                <w:color w:val="auto"/>
              </w:rPr>
            </w:pPr>
          </w:p>
        </w:tc>
      </w:tr>
      <w:tr>
        <w:trPr>
          <w:trHeight w:val="257"/>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4,632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21,151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25,783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079"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420"/>
          </w:cols>
          <w:pgMar w:left="240" w:top="130" w:right="239" w:bottom="1079" w:gutter="0" w:footer="0" w:header="0"/>
          <w:type w:val="continuous"/>
        </w:sectPr>
      </w:pPr>
    </w:p>
    <w:bookmarkStart w:id="108" w:name="page109"/>
    <w:bookmarkEnd w:id="10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At December 31, 2017</w:t>
            </w:r>
          </w:p>
        </w:tc>
        <w:tc>
          <w:tcPr>
            <w:tcW w:w="180" w:type="dxa"/>
            <w:vAlign w:val="bottom"/>
          </w:tcPr>
          <w:p>
            <w:pPr>
              <w:spacing w:after="0"/>
              <w:rPr>
                <w:sz w:val="14"/>
                <w:szCs w:val="14"/>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Parent</w:t>
            </w:r>
          </w:p>
        </w:tc>
        <w:tc>
          <w:tcPr>
            <w:tcW w:w="22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Subsidiary</w:t>
            </w:r>
          </w:p>
        </w:tc>
        <w:tc>
          <w:tcPr>
            <w:tcW w:w="20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8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Consolidating Balance Sheet</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Issuers</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Non-Issuers</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Real estate investments,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1,794,840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1,867,205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3,662,045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net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581,513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640,148</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20,568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87,725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108,293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direct financing lease, net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2,637,639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2,637,639</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6,734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22,320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29,054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8,452</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75,521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75,521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Loan receivable</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Intercompany transactions and investment in subsidiaries</w:t>
            </w: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2,458,247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5,087,893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2,959,174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(10,505,314)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4,478</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42,485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16,190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58,675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2,458,247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7,208,817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8,277,088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(10,697,270)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7,246,882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7,913</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Accrued interest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33,241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33,241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salaries and wages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10,809</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Gaming, property, and other taxes</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21,135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14,264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35,399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Long-term debt, net of unamortized debt issuance costs</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4,442,880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4,442,880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payable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193,595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Deferred rental revenue</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220,019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12,004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232,023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24,478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25,411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4,750,570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230,021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(191,956)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4,788,635</w:t>
            </w:r>
          </w:p>
        </w:tc>
        <w:tc>
          <w:tcPr>
            <w:tcW w:w="0" w:type="dxa"/>
            <w:vAlign w:val="bottom"/>
          </w:tcPr>
          <w:p>
            <w:pPr>
              <w:spacing w:after="0"/>
              <w:rPr>
                <w:sz w:val="1"/>
                <w:szCs w:val="1"/>
                <w:color w:val="auto"/>
              </w:rPr>
            </w:pPr>
          </w:p>
        </w:tc>
      </w:tr>
      <w:tr>
        <w:trPr>
          <w:trHeight w:val="277"/>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 (deficit)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20" w:type="dxa"/>
            <w:vAlign w:val="bottom"/>
            <w:gridSpan w:val="2"/>
          </w:tcPr>
          <w:p>
            <w:pPr>
              <w:ind w:left="180"/>
              <w:spacing w:after="0"/>
              <w:rPr>
                <w:sz w:val="20"/>
                <w:szCs w:val="20"/>
                <w:color w:val="auto"/>
              </w:rPr>
            </w:pPr>
            <w:r>
              <w:rPr>
                <w:rFonts w:ascii="Arial" w:cs="Arial" w:eastAsia="Arial" w:hAnsi="Arial"/>
                <w:sz w:val="18"/>
                <w:szCs w:val="18"/>
                <w:color w:val="auto"/>
                <w:w w:val="92"/>
              </w:rPr>
              <w:t>Preferred stock ($.01 par value, 50,000,000 shares authorized,</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no shares issued or outstanding at December 31, 2017)</w:t>
            </w: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($.01 par value, 500,000,000 shares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authorized, 212,717,549 shares issued and outstanding at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December 31, 2017)</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3,933,829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3,933,831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9,498,755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(13,432,586)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3,933,829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Retained accumulated (deficit) earnings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(1,477,709)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(1,477,711)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(1,453,815)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2,931,526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(1,477,709)</w:t>
            </w:r>
          </w:p>
        </w:tc>
        <w:tc>
          <w:tcPr>
            <w:tcW w:w="0" w:type="dxa"/>
            <w:vAlign w:val="bottom"/>
          </w:tcPr>
          <w:p>
            <w:pPr>
              <w:spacing w:after="0"/>
              <w:rPr>
                <w:sz w:val="1"/>
                <w:szCs w:val="1"/>
                <w:color w:val="auto"/>
              </w:rPr>
            </w:pP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8"/>
                <w:szCs w:val="18"/>
                <w:color w:val="auto"/>
              </w:rPr>
              <w:t>Total shareholders’ equity (deficit)</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2,458,247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2,458,247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8,047,067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(10,505,314)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2,458,247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2,458,247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7,208,817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8,277,088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(10,697,270)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7,246,882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109" w:name="page110"/>
    <w:bookmarkEnd w:id="10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ended December 31, 2017</w:t>
            </w:r>
          </w:p>
        </w:tc>
        <w:tc>
          <w:tcPr>
            <w:tcW w:w="16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38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Consolidating Statement of Income</w:t>
            </w:r>
          </w:p>
        </w:tc>
        <w:tc>
          <w:tcPr>
            <w:tcW w:w="16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Issuers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5"/>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398,070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273,120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671,190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74,333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74,333</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Interest income from mortgaged real estate</w:t>
            </w:r>
          </w:p>
        </w:tc>
        <w:tc>
          <w:tcPr>
            <w:tcW w:w="16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taxes paid by tenants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43,672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83,698</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income from real estate</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441,742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387,479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829,221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142,086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142,086</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441,742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529,565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971,307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16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80,487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80,487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taxes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43,755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40,911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84,666</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Land rights and ground lease expense</w:t>
            </w:r>
          </w:p>
        </w:tc>
        <w:tc>
          <w:tcPr>
            <w:tcW w:w="16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5,895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18,110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24,005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39,863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23,288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63,151</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93,948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19,532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113,480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183,461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182,328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365,789</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258,281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347,237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605,518</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(217,068)</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dividends and interest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451,295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(463,613)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other expenses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234,227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14,253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(463,613)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(215,133)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492,508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361,490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(463,613)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390,385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9,787</w:t>
            </w:r>
          </w:p>
        </w:tc>
        <w:tc>
          <w:tcPr>
            <w:tcW w:w="0" w:type="dxa"/>
            <w:vAlign w:val="bottom"/>
          </w:tcPr>
          <w:p>
            <w:pPr>
              <w:spacing w:after="0"/>
              <w:rPr>
                <w:sz w:val="1"/>
                <w:szCs w:val="1"/>
                <w:color w:val="auto"/>
              </w:rPr>
            </w:pPr>
          </w:p>
        </w:tc>
      </w:tr>
      <w:tr>
        <w:trPr>
          <w:trHeight w:val="257"/>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491,409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352,802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(463,613)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380,598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20"/>
          </w:cols>
          <w:pgMar w:left="240" w:top="130" w:right="239" w:bottom="1440" w:gutter="0" w:footer="0" w:header="0"/>
          <w:type w:val="continuous"/>
        </w:sectPr>
      </w:pPr>
    </w:p>
    <w:bookmarkStart w:id="110" w:name="page111"/>
    <w:bookmarkEnd w:id="11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ended December 31, 2017</w:t>
            </w:r>
          </w:p>
        </w:tc>
        <w:tc>
          <w:tcPr>
            <w:tcW w:w="160" w:type="dxa"/>
            <w:vAlign w:val="bottom"/>
          </w:tcPr>
          <w:p>
            <w:pPr>
              <w:spacing w:after="0"/>
              <w:rPr>
                <w:sz w:val="14"/>
                <w:szCs w:val="14"/>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Parent</w:t>
            </w: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524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Consolidating Statement of Cash Flows</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Issuers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9"/>
              </w:rPr>
              <w:t>(in thousands)</w:t>
            </w: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4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491,409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352,802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(463,613)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380,598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Adjustments to reconcile net income to net cash provided by (used</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 operating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95,058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28,777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123,835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13,026</w:t>
            </w:r>
          </w:p>
        </w:tc>
        <w:tc>
          <w:tcPr>
            <w:tcW w:w="0" w:type="dxa"/>
            <w:vAlign w:val="bottom"/>
          </w:tcPr>
          <w:p>
            <w:pPr>
              <w:spacing w:after="0"/>
              <w:rPr>
                <w:sz w:val="1"/>
                <w:szCs w:val="1"/>
                <w:color w:val="auto"/>
              </w:rPr>
            </w:pPr>
          </w:p>
        </w:tc>
      </w:tr>
      <w:tr>
        <w:trPr>
          <w:trHeight w:val="243"/>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Losses on dispositions of property</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43"/>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15,636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15,636</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Straight-line rent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56,815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65,971</w:t>
            </w:r>
          </w:p>
        </w:tc>
        <w:tc>
          <w:tcPr>
            <w:tcW w:w="0" w:type="dxa"/>
            <w:vAlign w:val="bottom"/>
          </w:tcPr>
          <w:p>
            <w:pPr>
              <w:spacing w:after="0"/>
              <w:rPr>
                <w:sz w:val="1"/>
                <w:szCs w:val="1"/>
                <w:color w:val="auto"/>
              </w:rPr>
            </w:pPr>
          </w:p>
        </w:tc>
      </w:tr>
      <w:tr>
        <w:trPr>
          <w:trHeight w:val="297"/>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Decrease (increase),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gridSpan w:val="2"/>
          </w:tcPr>
          <w:p>
            <w:pPr>
              <w:ind w:left="60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(5,332)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Intercompany</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(Decrease) increase,</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43"/>
        </w:trPr>
        <w:tc>
          <w:tcPr>
            <w:tcW w:w="5240" w:type="dxa"/>
            <w:vAlign w:val="bottom"/>
            <w:gridSpan w:val="2"/>
          </w:tcPr>
          <w:p>
            <w:pPr>
              <w:ind w:left="60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interest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43"/>
        </w:trPr>
        <w:tc>
          <w:tcPr>
            <w:tcW w:w="5240" w:type="dxa"/>
            <w:vAlign w:val="bottom"/>
            <w:gridSpan w:val="2"/>
          </w:tcPr>
          <w:p>
            <w:pPr>
              <w:ind w:left="600"/>
              <w:spacing w:after="0"/>
              <w:rPr>
                <w:sz w:val="20"/>
                <w:szCs w:val="20"/>
                <w:color w:val="auto"/>
              </w:rPr>
            </w:pPr>
            <w:r>
              <w:rPr>
                <w:rFonts w:ascii="Arial" w:cs="Arial" w:eastAsia="Arial" w:hAnsi="Arial"/>
                <w:sz w:val="18"/>
                <w:szCs w:val="18"/>
                <w:color w:val="auto"/>
              </w:rPr>
              <w:t>Accrued salaries and wages</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Gaming, property and other taxes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43"/>
        </w:trPr>
        <w:tc>
          <w:tcPr>
            <w:tcW w:w="5240" w:type="dxa"/>
            <w:vAlign w:val="bottom"/>
            <w:gridSpan w:val="2"/>
          </w:tcPr>
          <w:p>
            <w:pPr>
              <w:ind w:left="60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37"/>
        </w:trPr>
        <w:tc>
          <w:tcPr>
            <w:tcW w:w="524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671,989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390,335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(463,613)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598,711</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gridSpan w:val="2"/>
          </w:tcPr>
          <w:p>
            <w:pPr>
              <w:ind w:left="120"/>
              <w:spacing w:after="0"/>
              <w:rPr>
                <w:sz w:val="20"/>
                <w:szCs w:val="20"/>
                <w:color w:val="auto"/>
              </w:rPr>
            </w:pPr>
            <w:r>
              <w:rPr>
                <w:rFonts w:ascii="Arial" w:cs="Arial" w:eastAsia="Arial" w:hAnsi="Arial"/>
                <w:sz w:val="18"/>
                <w:szCs w:val="18"/>
                <w:color w:val="auto"/>
              </w:rPr>
              <w:t>Capital project expenditures</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Capital maintenance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0" w:type="dxa"/>
            <w:vAlign w:val="bottom"/>
          </w:tcPr>
          <w:p>
            <w:pPr>
              <w:spacing w:after="0"/>
              <w:rPr>
                <w:sz w:val="1"/>
                <w:szCs w:val="1"/>
                <w:color w:val="auto"/>
              </w:rPr>
            </w:pPr>
          </w:p>
        </w:tc>
      </w:tr>
      <w:tr>
        <w:trPr>
          <w:trHeight w:val="243"/>
        </w:trPr>
        <w:tc>
          <w:tcPr>
            <w:tcW w:w="5240" w:type="dxa"/>
            <w:vAlign w:val="bottom"/>
            <w:gridSpan w:val="2"/>
          </w:tcPr>
          <w:p>
            <w:pPr>
              <w:ind w:left="120"/>
              <w:spacing w:after="0"/>
              <w:rPr>
                <w:sz w:val="20"/>
                <w:szCs w:val="20"/>
                <w:color w:val="auto"/>
              </w:rPr>
            </w:pPr>
            <w:r>
              <w:rPr>
                <w:rFonts w:ascii="Arial" w:cs="Arial" w:eastAsia="Arial" w:hAnsi="Arial"/>
                <w:sz w:val="18"/>
                <w:szCs w:val="18"/>
                <w:color w:val="auto"/>
              </w:rPr>
              <w:t>Proceeds from sale of property and equipment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Principal payments on loan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13,200</w:t>
            </w:r>
          </w:p>
        </w:tc>
        <w:tc>
          <w:tcPr>
            <w:tcW w:w="0" w:type="dxa"/>
            <w:vAlign w:val="bottom"/>
          </w:tcPr>
          <w:p>
            <w:pPr>
              <w:spacing w:after="0"/>
              <w:rPr>
                <w:sz w:val="1"/>
                <w:szCs w:val="1"/>
                <w:color w:val="auto"/>
              </w:rPr>
            </w:pPr>
          </w:p>
        </w:tc>
      </w:tr>
      <w:tr>
        <w:trPr>
          <w:trHeight w:val="243"/>
        </w:trPr>
        <w:tc>
          <w:tcPr>
            <w:tcW w:w="5240" w:type="dxa"/>
            <w:vAlign w:val="bottom"/>
            <w:gridSpan w:val="2"/>
          </w:tcPr>
          <w:p>
            <w:pPr>
              <w:ind w:left="120"/>
              <w:spacing w:after="0"/>
              <w:rPr>
                <w:sz w:val="20"/>
                <w:szCs w:val="20"/>
                <w:color w:val="auto"/>
              </w:rPr>
            </w:pPr>
            <w:r>
              <w:rPr>
                <w:rFonts w:ascii="Arial" w:cs="Arial" w:eastAsia="Arial" w:hAnsi="Arial"/>
                <w:sz w:val="18"/>
                <w:szCs w:val="18"/>
                <w:color w:val="auto"/>
              </w:rPr>
              <w:t>Acquisition of real estate assets</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(82,866)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(83,252)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Collection of principal payments on investment in direct financing</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lease</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73,072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73,072</w:t>
            </w:r>
          </w:p>
        </w:tc>
        <w:tc>
          <w:tcPr>
            <w:tcW w:w="0" w:type="dxa"/>
            <w:vAlign w:val="bottom"/>
          </w:tcPr>
          <w:p>
            <w:pPr>
              <w:spacing w:after="0"/>
              <w:rPr>
                <w:sz w:val="1"/>
                <w:szCs w:val="1"/>
                <w:color w:val="auto"/>
              </w:rPr>
            </w:pPr>
          </w:p>
        </w:tc>
      </w:tr>
      <w:tr>
        <w:trPr>
          <w:trHeight w:val="237"/>
        </w:trPr>
        <w:tc>
          <w:tcPr>
            <w:tcW w:w="5240" w:type="dxa"/>
            <w:vAlign w:val="bottom"/>
            <w:gridSpan w:val="2"/>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83,632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40" w:type="dxa"/>
            <w:vAlign w:val="bottom"/>
            <w:gridSpan w:val="2"/>
          </w:tcPr>
          <w:p>
            <w:pPr>
              <w:ind w:left="120"/>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(529,370)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(529,370)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Proceeds from exercise of options, net of taxes paid related to shares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withheld for tax purposes on restricted stock award vestings</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18,157</w:t>
            </w:r>
          </w:p>
        </w:tc>
        <w:tc>
          <w:tcPr>
            <w:tcW w:w="0" w:type="dxa"/>
            <w:vAlign w:val="bottom"/>
          </w:tcPr>
          <w:p>
            <w:pPr>
              <w:spacing w:after="0"/>
              <w:rPr>
                <w:sz w:val="1"/>
                <w:szCs w:val="1"/>
                <w:color w:val="auto"/>
              </w:rPr>
            </w:pPr>
          </w:p>
        </w:tc>
      </w:tr>
      <w:tr>
        <w:trPr>
          <w:trHeight w:val="243"/>
        </w:trPr>
        <w:tc>
          <w:tcPr>
            <w:tcW w:w="5240" w:type="dxa"/>
            <w:vAlign w:val="bottom"/>
            <w:gridSpan w:val="2"/>
          </w:tcPr>
          <w:p>
            <w:pPr>
              <w:ind w:left="120"/>
              <w:spacing w:after="0"/>
              <w:rPr>
                <w:sz w:val="20"/>
                <w:szCs w:val="20"/>
                <w:color w:val="auto"/>
              </w:rPr>
            </w:pPr>
            <w:r>
              <w:rPr>
                <w:rFonts w:ascii="Arial" w:cs="Arial" w:eastAsia="Arial" w:hAnsi="Arial"/>
                <w:sz w:val="18"/>
                <w:szCs w:val="18"/>
                <w:color w:val="auto"/>
                <w:w w:val="99"/>
              </w:rPr>
              <w:t>Proceeds from issuance of common stock, net of issuance costs</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139,414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139,414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issuance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43"/>
        </w:trPr>
        <w:tc>
          <w:tcPr>
            <w:tcW w:w="5240" w:type="dxa"/>
            <w:vAlign w:val="bottom"/>
            <w:gridSpan w:val="2"/>
          </w:tcPr>
          <w:p>
            <w:pPr>
              <w:ind w:left="120"/>
              <w:spacing w:after="0"/>
              <w:rPr>
                <w:sz w:val="20"/>
                <w:szCs w:val="20"/>
                <w:color w:val="auto"/>
              </w:rPr>
            </w:pPr>
            <w:r>
              <w:rPr>
                <w:rFonts w:ascii="Arial" w:cs="Arial" w:eastAsia="Arial" w:hAnsi="Arial"/>
                <w:sz w:val="18"/>
                <w:szCs w:val="18"/>
                <w:color w:val="auto"/>
              </w:rPr>
              <w:t>Payments of long-term debt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(335,112)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(335,112)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Intercompany financing</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371,799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(358,983)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(476,429)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463,613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40" w:type="dxa"/>
            <w:vAlign w:val="bottom"/>
            <w:gridSpan w:val="2"/>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(594,095)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(476,429)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463,613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(606,911)</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(7,502)</w:t>
            </w:r>
          </w:p>
        </w:tc>
        <w:tc>
          <w:tcPr>
            <w:tcW w:w="0" w:type="dxa"/>
            <w:vAlign w:val="bottom"/>
          </w:tcPr>
          <w:p>
            <w:pPr>
              <w:spacing w:after="0"/>
              <w:rPr>
                <w:sz w:val="1"/>
                <w:szCs w:val="1"/>
                <w:color w:val="auto"/>
              </w:rPr>
            </w:pPr>
          </w:p>
        </w:tc>
      </w:tr>
      <w:tr>
        <w:trPr>
          <w:trHeight w:val="243"/>
        </w:trPr>
        <w:tc>
          <w:tcPr>
            <w:tcW w:w="52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11,774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24,782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36,556</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6,734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22,320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29,054</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30" w:right="299" w:bottom="1440" w:gutter="0" w:footer="0" w:header="0"/>
        </w:sect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360"/>
          </w:cols>
          <w:pgMar w:left="240" w:top="130" w:right="299" w:bottom="1440" w:gutter="0" w:footer="0" w:header="0"/>
          <w:type w:val="continuous"/>
        </w:sectPr>
      </w:pPr>
    </w:p>
    <w:bookmarkStart w:id="111" w:name="page112"/>
    <w:bookmarkEnd w:id="1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ended December 31, 2016</w:t>
            </w:r>
          </w:p>
        </w:tc>
        <w:tc>
          <w:tcPr>
            <w:tcW w:w="180" w:type="dxa"/>
            <w:vAlign w:val="bottom"/>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8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Consolidating Statement of Income</w:t>
            </w:r>
          </w:p>
        </w:tc>
        <w:tc>
          <w:tcPr>
            <w:tcW w:w="18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Issuers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383,553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183,891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567,444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48,917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48,917</w:t>
            </w:r>
          </w:p>
        </w:tc>
        <w:tc>
          <w:tcPr>
            <w:tcW w:w="0" w:type="dxa"/>
            <w:vAlign w:val="bottom"/>
          </w:tcPr>
          <w:p>
            <w:pPr>
              <w:spacing w:after="0"/>
              <w:rPr>
                <w:sz w:val="1"/>
                <w:szCs w:val="1"/>
                <w:color w:val="auto"/>
              </w:rPr>
            </w:pPr>
          </w:p>
        </w:tc>
      </w:tr>
      <w:tr>
        <w:trPr>
          <w:trHeight w:val="243"/>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Interest income from mortgaged real estate</w:t>
            </w:r>
          </w:p>
        </w:tc>
        <w:tc>
          <w:tcPr>
            <w:tcW w:w="18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taxes paid by tenants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41,441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26,402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67,843</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Total income from real estate</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424,994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259,210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684,204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144,051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144,051</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424,994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403,261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828,255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18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82,463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82,463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taxes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27,938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69,448</w:t>
            </w:r>
          </w:p>
        </w:tc>
        <w:tc>
          <w:tcPr>
            <w:tcW w:w="0" w:type="dxa"/>
            <w:vAlign w:val="bottom"/>
          </w:tcPr>
          <w:p>
            <w:pPr>
              <w:spacing w:after="0"/>
              <w:rPr>
                <w:sz w:val="1"/>
                <w:szCs w:val="1"/>
                <w:color w:val="auto"/>
              </w:rPr>
            </w:pPr>
          </w:p>
        </w:tc>
      </w:tr>
      <w:tr>
        <w:trPr>
          <w:trHeight w:val="243"/>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Land rights and ground lease expense</w:t>
            </w:r>
          </w:p>
        </w:tc>
        <w:tc>
          <w:tcPr>
            <w:tcW w:w="18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2,685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12,114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14,799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48,452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22,916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71,368</w:t>
            </w:r>
          </w:p>
        </w:tc>
        <w:tc>
          <w:tcPr>
            <w:tcW w:w="0" w:type="dxa"/>
            <w:vAlign w:val="bottom"/>
          </w:tcPr>
          <w:p>
            <w:pPr>
              <w:spacing w:after="0"/>
              <w:rPr>
                <w:sz w:val="1"/>
                <w:szCs w:val="1"/>
                <w:color w:val="auto"/>
              </w:rPr>
            </w:pPr>
          </w:p>
        </w:tc>
      </w:tr>
      <w:tr>
        <w:trPr>
          <w:trHeight w:val="243"/>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93,476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16,078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109,554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186,123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161,509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347,632</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238,871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241,752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480,623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(185,896)</w:t>
            </w:r>
          </w:p>
        </w:tc>
        <w:tc>
          <w:tcPr>
            <w:tcW w:w="0" w:type="dxa"/>
            <w:vAlign w:val="bottom"/>
          </w:tcPr>
          <w:p>
            <w:pPr>
              <w:spacing w:after="0"/>
              <w:rPr>
                <w:sz w:val="1"/>
                <w:szCs w:val="1"/>
                <w:color w:val="auto"/>
              </w:rPr>
            </w:pPr>
          </w:p>
        </w:tc>
      </w:tr>
      <w:tr>
        <w:trPr>
          <w:trHeight w:val="243"/>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dividends and interest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318,047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(337,717)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Total other expenses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132,320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21,624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(337,717)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(183,773)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371,191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263,376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(337,717)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296,850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7,545</w:t>
            </w:r>
          </w:p>
        </w:tc>
        <w:tc>
          <w:tcPr>
            <w:tcW w:w="0" w:type="dxa"/>
            <w:vAlign w:val="bottom"/>
          </w:tcPr>
          <w:p>
            <w:pPr>
              <w:spacing w:after="0"/>
              <w:rPr>
                <w:sz w:val="1"/>
                <w:szCs w:val="1"/>
                <w:color w:val="auto"/>
              </w:rPr>
            </w:pPr>
          </w:p>
        </w:tc>
      </w:tr>
      <w:tr>
        <w:trPr>
          <w:trHeight w:val="257"/>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370,175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256,847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(337,717)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289,305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420"/>
          </w:cols>
          <w:pgMar w:left="240" w:top="130" w:right="239" w:bottom="1440" w:gutter="0" w:footer="0" w:header="0"/>
          <w:type w:val="continuous"/>
        </w:sectPr>
      </w:pPr>
    </w:p>
    <w:bookmarkStart w:id="112" w:name="page113"/>
    <w:bookmarkEnd w:id="11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ended December 31, 2016</w:t>
            </w:r>
          </w:p>
        </w:tc>
        <w:tc>
          <w:tcPr>
            <w:tcW w:w="1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Parent</w:t>
            </w: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Consolidating Statement of Cash Flows</w:t>
            </w: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370,175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256,847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(337,717)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289,305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Adjustments to reconcile net income to net cash provided by (used</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 operating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93,476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22,241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115,717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15,146</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(Gains) losses on sales of property</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18,312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18,312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Straight-line rent adjustments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58,673</w:t>
            </w:r>
          </w:p>
        </w:tc>
        <w:tc>
          <w:tcPr>
            <w:tcW w:w="0" w:type="dxa"/>
            <w:vAlign w:val="bottom"/>
          </w:tcPr>
          <w:p>
            <w:pPr>
              <w:spacing w:after="0"/>
              <w:rPr>
                <w:sz w:val="1"/>
                <w:szCs w:val="1"/>
                <w:color w:val="auto"/>
              </w:rPr>
            </w:pPr>
          </w:p>
        </w:tc>
      </w:tr>
      <w:tr>
        <w:trPr>
          <w:trHeight w:val="297"/>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6,939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7,565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Intercompany</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Increase (decrease),</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(4,672)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interest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16,120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Accrued salaries and wages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Gaming, property and other taxes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571,089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280,998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(337,717)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514,370</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Capital project expenditures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Capital maintenance expenditures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Proceeds from sale of property and equipment</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Principal payments on loan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Acquisition of real estate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(3,267,992)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(3,267,992)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Collection of principal payments on investment in direct financing</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lease</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48,533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48,533</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(3,219,284)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(3,218,616)</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Dividends paid</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(428,352)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(428,352)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exercise of options, net of taxes paid related to</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shares withheld for tax purposes on restricted stock award</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vestings</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113,484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113,484</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w w:val="99"/>
              </w:rPr>
              <w:t>Proceeds from issuance of common stock, net of issuance costs</w:t>
            </w:r>
          </w:p>
        </w:tc>
        <w:tc>
          <w:tcPr>
            <w:tcW w:w="1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870,810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870,810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issuance of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2,552,000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2,552,000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Financing costs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(31,911)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(31,911)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Payments of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(377,104)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(377,104)</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Intercompany financing</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(555,942)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(2,711,684)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2,929,909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337,717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(568,699)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2,929,909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337,717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2,698,927</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3,058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33,159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41,875</w:t>
            </w: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11,774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24,782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36,556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420"/>
          </w:cols>
          <w:pgMar w:left="240" w:top="130" w:right="239" w:bottom="1440" w:gutter="0" w:footer="0" w:header="0"/>
          <w:type w:val="continuous"/>
        </w:sectPr>
      </w:pPr>
    </w:p>
    <w:bookmarkStart w:id="113" w:name="page114"/>
    <w:bookmarkEnd w:id="1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ASSETS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7"/>
          </w:tcPr>
          <w:p>
            <w:pPr>
              <w:jc w:val="right"/>
              <w:ind w:right="200"/>
              <w:spacing w:after="0"/>
              <w:rPr>
                <w:sz w:val="20"/>
                <w:szCs w:val="20"/>
                <w:color w:val="auto"/>
              </w:rPr>
            </w:pPr>
            <w:r>
              <w:rPr>
                <w:rFonts w:ascii="Arial" w:cs="Arial" w:eastAsia="Arial" w:hAnsi="Arial"/>
                <w:sz w:val="12"/>
                <w:szCs w:val="12"/>
                <w:b w:val="1"/>
                <w:bCs w:val="1"/>
                <w:color w:val="auto"/>
                <w:w w:val="88"/>
              </w:rPr>
              <w:t>Gross Amount at which Carried at Close of</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1"/>
              </w:rPr>
              <w:t>Life on</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4"/>
          </w:tcPr>
          <w:p>
            <w:pPr>
              <w:jc w:val="right"/>
              <w:ind w:right="162"/>
              <w:spacing w:after="0" w:line="135" w:lineRule="exact"/>
              <w:rPr>
                <w:sz w:val="20"/>
                <w:szCs w:val="20"/>
                <w:color w:val="auto"/>
              </w:rPr>
            </w:pPr>
            <w:r>
              <w:rPr>
                <w:rFonts w:ascii="Arial" w:cs="Arial" w:eastAsia="Arial" w:hAnsi="Arial"/>
                <w:sz w:val="12"/>
                <w:szCs w:val="12"/>
                <w:b w:val="1"/>
                <w:bCs w:val="1"/>
                <w:color w:val="auto"/>
                <w:w w:val="98"/>
              </w:rPr>
              <w:t>Initial Cost to Company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92"/>
              </w:rPr>
              <w:t>Net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Period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which</w:t>
            </w:r>
          </w:p>
        </w:tc>
        <w:tc>
          <w:tcPr>
            <w:tcW w:w="0" w:type="dxa"/>
            <w:vAlign w:val="bottom"/>
          </w:tcPr>
          <w:p>
            <w:pPr>
              <w:spacing w:after="0"/>
              <w:rPr>
                <w:sz w:val="1"/>
                <w:szCs w:val="1"/>
                <w:color w:val="auto"/>
              </w:rPr>
            </w:pPr>
          </w:p>
        </w:tc>
      </w:tr>
      <w:tr>
        <w:trPr>
          <w:trHeight w:val="49"/>
        </w:trPr>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2"/>
            <w:vMerge w:val="restart"/>
          </w:tcPr>
          <w:p>
            <w:pPr>
              <w:jc w:val="center"/>
              <w:ind w:right="180"/>
              <w:spacing w:after="0" w:line="135" w:lineRule="exact"/>
              <w:rPr>
                <w:sz w:val="20"/>
                <w:szCs w:val="20"/>
                <w:color w:val="auto"/>
              </w:rPr>
            </w:pPr>
            <w:r>
              <w:rPr>
                <w:rFonts w:ascii="Arial" w:cs="Arial" w:eastAsia="Arial" w:hAnsi="Arial"/>
                <w:sz w:val="12"/>
                <w:szCs w:val="12"/>
                <w:b w:val="1"/>
                <w:bCs w:val="1"/>
                <w:color w:val="auto"/>
                <w:w w:val="91"/>
              </w:rPr>
              <w:t>Capitalized</w:t>
            </w: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auto"/>
                <w:w w:val="87"/>
              </w:rPr>
              <w:t>Depreciation</w:t>
            </w:r>
          </w:p>
        </w:tc>
        <w:tc>
          <w:tcPr>
            <w:tcW w:w="0" w:type="dxa"/>
            <w:vAlign w:val="bottom"/>
          </w:tcPr>
          <w:p>
            <w:pPr>
              <w:spacing w:after="0"/>
              <w:rPr>
                <w:sz w:val="1"/>
                <w:szCs w:val="1"/>
                <w:color w:val="auto"/>
              </w:rPr>
            </w:pPr>
          </w:p>
        </w:tc>
      </w:tr>
      <w:tr>
        <w:trPr>
          <w:trHeight w:val="66"/>
        </w:trPr>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3"/>
              </w:rPr>
              <w:t>Costs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2"/>
              </w:rPr>
              <w:t>Original</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9"/>
              </w:rPr>
              <w:t>in Latest</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tcPr>
          <w:p>
            <w:pPr>
              <w:jc w:val="center"/>
              <w:ind w:right="120"/>
              <w:spacing w:after="0" w:line="135" w:lineRule="exact"/>
              <w:rPr>
                <w:sz w:val="20"/>
                <w:szCs w:val="20"/>
                <w:color w:val="auto"/>
              </w:rPr>
            </w:pPr>
            <w:r>
              <w:rPr>
                <w:rFonts w:ascii="Arial" w:cs="Arial" w:eastAsia="Arial" w:hAnsi="Arial"/>
                <w:sz w:val="12"/>
                <w:szCs w:val="12"/>
                <w:b w:val="1"/>
                <w:bCs w:val="1"/>
                <w:color w:val="auto"/>
                <w:w w:val="87"/>
              </w:rPr>
              <w:t>(Retirements)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88"/>
              </w:rPr>
              <w:t>Date of</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5"/>
              </w:rPr>
              <w:t>Income</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Land and</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auto"/>
                <w:w w:val="90"/>
              </w:rPr>
              <w:t>Buildings and</w:t>
            </w:r>
          </w:p>
        </w:tc>
        <w:tc>
          <w:tcPr>
            <w:tcW w:w="120" w:type="dxa"/>
            <w:vAlign w:val="bottom"/>
          </w:tcPr>
          <w:p>
            <w:pPr>
              <w:spacing w:after="0"/>
              <w:rPr>
                <w:sz w:val="11"/>
                <w:szCs w:val="11"/>
                <w:color w:val="auto"/>
              </w:rPr>
            </w:pPr>
          </w:p>
        </w:tc>
        <w:tc>
          <w:tcPr>
            <w:tcW w:w="880" w:type="dxa"/>
            <w:vAlign w:val="bottom"/>
            <w:gridSpan w:val="3"/>
          </w:tcPr>
          <w:p>
            <w:pPr>
              <w:jc w:val="center"/>
              <w:ind w:right="100"/>
              <w:spacing w:after="0" w:line="135" w:lineRule="exact"/>
              <w:rPr>
                <w:sz w:val="20"/>
                <w:szCs w:val="20"/>
                <w:color w:val="auto"/>
              </w:rPr>
            </w:pPr>
            <w:r>
              <w:rPr>
                <w:rFonts w:ascii="Arial" w:cs="Arial" w:eastAsia="Arial" w:hAnsi="Arial"/>
                <w:sz w:val="12"/>
                <w:szCs w:val="12"/>
                <w:b w:val="1"/>
                <w:bCs w:val="1"/>
                <w:color w:val="auto"/>
                <w:w w:val="83"/>
              </w:rPr>
              <w:t>Subsequent to</w:t>
            </w:r>
          </w:p>
        </w:tc>
        <w:tc>
          <w:tcPr>
            <w:tcW w:w="1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Land and</w:t>
            </w:r>
          </w:p>
        </w:tc>
        <w:tc>
          <w:tcPr>
            <w:tcW w:w="8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Buildings and</w:t>
            </w:r>
          </w:p>
        </w:tc>
        <w:tc>
          <w:tcPr>
            <w:tcW w:w="62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 xml:space="preserve">Total </w:t>
            </w:r>
            <w:r>
              <w:rPr>
                <w:rFonts w:ascii="Arial" w:cs="Arial" w:eastAsia="Arial" w:hAnsi="Arial"/>
                <w:sz w:val="19"/>
                <w:szCs w:val="19"/>
                <w:b w:val="1"/>
                <w:bCs w:val="1"/>
                <w:color w:val="auto"/>
                <w:vertAlign w:val="superscript"/>
              </w:rPr>
              <w:t>(5)</w:t>
            </w:r>
          </w:p>
        </w:tc>
        <w:tc>
          <w:tcPr>
            <w:tcW w:w="100" w:type="dxa"/>
            <w:vAlign w:val="bottom"/>
            <w:vMerge w:val="restart"/>
          </w:tcPr>
          <w:p>
            <w:pPr>
              <w:spacing w:after="0"/>
              <w:rPr>
                <w:sz w:val="11"/>
                <w:szCs w:val="11"/>
                <w:color w:val="auto"/>
              </w:rPr>
            </w:pPr>
          </w:p>
        </w:tc>
        <w:tc>
          <w:tcPr>
            <w:tcW w:w="780" w:type="dxa"/>
            <w:vAlign w:val="bottom"/>
            <w:gridSpan w:val="2"/>
          </w:tcPr>
          <w:p>
            <w:pPr>
              <w:jc w:val="right"/>
              <w:ind w:right="2"/>
              <w:spacing w:after="0" w:line="135" w:lineRule="exact"/>
              <w:rPr>
                <w:sz w:val="20"/>
                <w:szCs w:val="20"/>
                <w:color w:val="auto"/>
              </w:rPr>
            </w:pPr>
            <w:r>
              <w:rPr>
                <w:rFonts w:ascii="Arial" w:cs="Arial" w:eastAsia="Arial" w:hAnsi="Arial"/>
                <w:sz w:val="12"/>
                <w:szCs w:val="12"/>
                <w:b w:val="1"/>
                <w:bCs w:val="1"/>
                <w:color w:val="auto"/>
                <w:w w:val="92"/>
              </w:rPr>
              <w:t>Accumulated</w:t>
            </w:r>
          </w:p>
        </w:tc>
        <w:tc>
          <w:tcPr>
            <w:tcW w:w="12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88"/>
              </w:rPr>
              <w:t>Construction /</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2"/>
              </w:rPr>
              <w:t>Date</w:t>
            </w: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4"/>
              </w:rPr>
              <w:t>Statement is</w:t>
            </w:r>
          </w:p>
        </w:tc>
        <w:tc>
          <w:tcPr>
            <w:tcW w:w="0" w:type="dxa"/>
            <w:vAlign w:val="bottom"/>
          </w:tcPr>
          <w:p>
            <w:pPr>
              <w:spacing w:after="0"/>
              <w:rPr>
                <w:sz w:val="1"/>
                <w:szCs w:val="1"/>
                <w:color w:val="auto"/>
              </w:rPr>
            </w:pPr>
          </w:p>
        </w:tc>
      </w:tr>
      <w:tr>
        <w:trPr>
          <w:trHeight w:val="170"/>
        </w:trPr>
        <w:tc>
          <w:tcPr>
            <w:tcW w:w="76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Description</w:t>
            </w:r>
          </w:p>
        </w:tc>
        <w:tc>
          <w:tcPr>
            <w:tcW w:w="120" w:type="dxa"/>
            <w:vAlign w:val="bottom"/>
          </w:tcPr>
          <w:p>
            <w:pPr>
              <w:spacing w:after="0"/>
              <w:rPr>
                <w:sz w:val="14"/>
                <w:szCs w:val="14"/>
                <w:color w:val="auto"/>
              </w:rPr>
            </w:pP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2"/>
                <w:szCs w:val="12"/>
                <w:b w:val="1"/>
                <w:bCs w:val="1"/>
                <w:color w:val="auto"/>
              </w:rPr>
              <w:t>Location</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92"/>
              </w:rPr>
              <w:t>Encumbrances</w:t>
            </w:r>
          </w:p>
        </w:tc>
        <w:tc>
          <w:tcPr>
            <w:tcW w:w="140" w:type="dxa"/>
            <w:vAlign w:val="bottom"/>
          </w:tcPr>
          <w:p>
            <w:pPr>
              <w:spacing w:after="0"/>
              <w:rPr>
                <w:sz w:val="14"/>
                <w:szCs w:val="14"/>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0"/>
              </w:rPr>
              <w:t>Improvements</w:t>
            </w:r>
          </w:p>
        </w:tc>
        <w:tc>
          <w:tcPr>
            <w:tcW w:w="100" w:type="dxa"/>
            <w:vAlign w:val="bottom"/>
          </w:tcPr>
          <w:p>
            <w:pPr>
              <w:spacing w:after="0"/>
              <w:rPr>
                <w:sz w:val="14"/>
                <w:szCs w:val="14"/>
                <w:color w:val="auto"/>
              </w:rPr>
            </w:pPr>
          </w:p>
        </w:tc>
        <w:tc>
          <w:tcPr>
            <w:tcW w:w="78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87"/>
              </w:rPr>
              <w:t>Improvements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2"/>
              <w:spacing w:after="0"/>
              <w:rPr>
                <w:sz w:val="20"/>
                <w:szCs w:val="20"/>
                <w:color w:val="auto"/>
              </w:rPr>
            </w:pPr>
            <w:r>
              <w:rPr>
                <w:rFonts w:ascii="Arial" w:cs="Arial" w:eastAsia="Arial" w:hAnsi="Arial"/>
                <w:sz w:val="12"/>
                <w:szCs w:val="12"/>
                <w:b w:val="1"/>
                <w:bCs w:val="1"/>
                <w:color w:val="auto"/>
                <w:w w:val="88"/>
              </w:rPr>
              <w:t>Acquisition</w:t>
            </w:r>
          </w:p>
        </w:tc>
        <w:tc>
          <w:tcPr>
            <w:tcW w:w="100" w:type="dxa"/>
            <w:vAlign w:val="bottom"/>
          </w:tcPr>
          <w:p>
            <w:pPr>
              <w:spacing w:after="0"/>
              <w:rPr>
                <w:sz w:val="14"/>
                <w:szCs w:val="14"/>
                <w:color w:val="auto"/>
              </w:rPr>
            </w:pPr>
          </w:p>
        </w:tc>
        <w:tc>
          <w:tcPr>
            <w:tcW w:w="78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87"/>
              </w:rPr>
              <w:t>Improvements</w:t>
            </w:r>
          </w:p>
        </w:tc>
        <w:tc>
          <w:tcPr>
            <w:tcW w:w="120" w:type="dxa"/>
            <w:vAlign w:val="bottom"/>
          </w:tcPr>
          <w:p>
            <w:pPr>
              <w:spacing w:after="0"/>
              <w:rPr>
                <w:sz w:val="14"/>
                <w:szCs w:val="14"/>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0"/>
              </w:rPr>
              <w:t>Improvements</w:t>
            </w:r>
          </w:p>
        </w:tc>
        <w:tc>
          <w:tcPr>
            <w:tcW w:w="100" w:type="dxa"/>
            <w:vAlign w:val="bottom"/>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b w:val="1"/>
                <w:bCs w:val="1"/>
                <w:color w:val="auto"/>
                <w:w w:val="96"/>
              </w:rPr>
              <w:t>Depreciation</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Renovation</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Acquire</w:t>
            </w:r>
            <w:r>
              <w:rPr>
                <w:rFonts w:ascii="Arial" w:cs="Arial" w:eastAsia="Arial" w:hAnsi="Arial"/>
                <w:sz w:val="12"/>
                <w:szCs w:val="12"/>
                <w:color w:val="auto"/>
                <w:w w:val="89"/>
              </w:rPr>
              <w:t>d</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Computed</w:t>
            </w:r>
          </w:p>
        </w:tc>
        <w:tc>
          <w:tcPr>
            <w:tcW w:w="0" w:type="dxa"/>
            <w:vAlign w:val="bottom"/>
          </w:tcPr>
          <w:p>
            <w:pPr>
              <w:spacing w:after="0"/>
              <w:rPr>
                <w:sz w:val="1"/>
                <w:szCs w:val="1"/>
                <w:color w:val="auto"/>
              </w:rPr>
            </w:pPr>
          </w:p>
        </w:tc>
      </w:tr>
      <w:tr>
        <w:trPr>
          <w:trHeight w:val="149"/>
        </w:trPr>
        <w:tc>
          <w:tcPr>
            <w:tcW w:w="880" w:type="dxa"/>
            <w:vAlign w:val="bottom"/>
            <w:gridSpan w:val="2"/>
          </w:tcPr>
          <w:p>
            <w:pPr>
              <w:ind w:left="40"/>
              <w:spacing w:after="0"/>
              <w:rPr>
                <w:sz w:val="20"/>
                <w:szCs w:val="20"/>
                <w:color w:val="auto"/>
              </w:rPr>
            </w:pPr>
            <w:r>
              <w:rPr>
                <w:rFonts w:ascii="Arial" w:cs="Arial" w:eastAsia="Arial" w:hAnsi="Arial"/>
                <w:sz w:val="12"/>
                <w:szCs w:val="12"/>
                <w:b w:val="1"/>
                <w:bCs w:val="1"/>
                <w:i w:val="1"/>
                <w:iCs w:val="1"/>
                <w:color w:val="auto"/>
              </w:rPr>
              <w:t>Rental</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ind w:left="40"/>
              <w:spacing w:after="0"/>
              <w:rPr>
                <w:sz w:val="20"/>
                <w:szCs w:val="20"/>
                <w:color w:val="auto"/>
              </w:rPr>
            </w:pPr>
            <w:r>
              <w:rPr>
                <w:rFonts w:ascii="Arial" w:cs="Arial" w:eastAsia="Arial" w:hAnsi="Arial"/>
                <w:sz w:val="12"/>
                <w:szCs w:val="12"/>
                <w:b w:val="1"/>
                <w:bCs w:val="1"/>
                <w:i w:val="1"/>
                <w:iCs w:val="1"/>
                <w:color w:val="auto"/>
              </w:rPr>
              <w:t>Properties: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Hollywood</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2"/>
                <w:szCs w:val="12"/>
                <w:color w:val="auto"/>
              </w:rPr>
              <w:t>Casino</w:t>
            </w:r>
          </w:p>
        </w:tc>
        <w:tc>
          <w:tcPr>
            <w:tcW w:w="9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2"/>
                <w:szCs w:val="12"/>
                <w:color w:val="auto"/>
              </w:rPr>
              <w:t>Lawrenceburg,</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Lawrenceburg</w:t>
            </w:r>
          </w:p>
        </w:tc>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IN</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15,251</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342,393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(30)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15,222</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342,392</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$ 357,614</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137,260</w:t>
            </w:r>
          </w:p>
        </w:tc>
        <w:tc>
          <w:tcPr>
            <w:tcW w:w="920" w:type="dxa"/>
            <w:vAlign w:val="bottom"/>
            <w:tcBorders>
              <w:bottom w:val="single" w:sz="8" w:color="CCEEFF"/>
            </w:tcBorders>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8"/>
              </w:rPr>
              <w:t>1997/2009</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Hollywood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1993/2002/</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Casino Aurora</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Aurora, IL</w:t>
            </w:r>
          </w:p>
        </w:tc>
        <w:tc>
          <w:tcPr>
            <w:tcW w:w="80" w:type="dxa"/>
            <w:vAlign w:val="bottom"/>
          </w:tcPr>
          <w:p>
            <w:pPr>
              <w:spacing w:after="0"/>
              <w:rPr>
                <w:sz w:val="12"/>
                <w:szCs w:val="12"/>
                <w:color w:val="auto"/>
              </w:rPr>
            </w:pPr>
          </w:p>
        </w:tc>
        <w:tc>
          <w:tcPr>
            <w:tcW w:w="98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4,937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98,378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(383)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4,936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97,996</w:t>
            </w:r>
          </w:p>
        </w:tc>
        <w:tc>
          <w:tcPr>
            <w:tcW w:w="100" w:type="dxa"/>
            <w:vAlign w:val="bottom"/>
          </w:tcPr>
          <w:p>
            <w:pPr>
              <w:spacing w:after="0"/>
              <w:rPr>
                <w:sz w:val="12"/>
                <w:szCs w:val="12"/>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102,932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64,968</w:t>
            </w:r>
          </w:p>
        </w:tc>
        <w:tc>
          <w:tcPr>
            <w:tcW w:w="92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2012</w:t>
            </w:r>
          </w:p>
        </w:tc>
        <w:tc>
          <w:tcPr>
            <w:tcW w:w="1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Hollywood</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9"/>
              </w:rPr>
              <w:t>1992/2003/</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Casino Joliet</w:t>
            </w:r>
          </w:p>
        </w:tc>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Joliet, IL</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19,214</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101,104</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19,194</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101,104</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120,298</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58,721</w:t>
            </w:r>
          </w:p>
        </w:tc>
        <w:tc>
          <w:tcPr>
            <w:tcW w:w="920" w:type="dxa"/>
            <w:vAlign w:val="bottom"/>
            <w:tcBorders>
              <w:bottom w:val="single" w:sz="8" w:color="CCEEFF"/>
            </w:tcBorders>
            <w:gridSpan w:val="2"/>
            <w:shd w:val="clear" w:color="auto" w:fill="CCEEFF"/>
          </w:tcPr>
          <w:p>
            <w:pPr>
              <w:jc w:val="center"/>
              <w:ind w:left="62"/>
              <w:spacing w:after="0"/>
              <w:rPr>
                <w:sz w:val="20"/>
                <w:szCs w:val="20"/>
                <w:color w:val="auto"/>
              </w:rPr>
            </w:pPr>
            <w:r>
              <w:rPr>
                <w:rFonts w:ascii="Arial" w:cs="Arial" w:eastAsia="Arial" w:hAnsi="Arial"/>
                <w:sz w:val="12"/>
                <w:szCs w:val="12"/>
                <w:color w:val="auto"/>
                <w:w w:val="89"/>
              </w:rPr>
              <w:t>2010</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Argosy Casino</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Alton</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Alton, IL</w:t>
            </w:r>
          </w:p>
        </w:tc>
        <w:tc>
          <w:tcPr>
            <w:tcW w:w="80" w:type="dxa"/>
            <w:vAlign w:val="bottom"/>
          </w:tcPr>
          <w:p>
            <w:pPr>
              <w:spacing w:after="0"/>
              <w:rPr>
                <w:sz w:val="12"/>
                <w:szCs w:val="12"/>
                <w:color w:val="auto"/>
              </w:rPr>
            </w:pPr>
          </w:p>
        </w:tc>
        <w:tc>
          <w:tcPr>
            <w:tcW w:w="98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6,462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6,462</w:t>
            </w:r>
          </w:p>
        </w:tc>
        <w:tc>
          <w:tcPr>
            <w:tcW w:w="100" w:type="dxa"/>
            <w:vAlign w:val="bottom"/>
          </w:tcPr>
          <w:p>
            <w:pPr>
              <w:spacing w:after="0"/>
              <w:rPr>
                <w:sz w:val="12"/>
                <w:szCs w:val="12"/>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6,462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4,453</w:t>
            </w:r>
          </w:p>
        </w:tc>
        <w:tc>
          <w:tcPr>
            <w:tcW w:w="920" w:type="dxa"/>
            <w:vAlign w:val="bottom"/>
            <w:gridSpan w:val="2"/>
          </w:tcPr>
          <w:p>
            <w:pPr>
              <w:jc w:val="center"/>
              <w:ind w:left="42"/>
              <w:spacing w:after="0"/>
              <w:rPr>
                <w:sz w:val="20"/>
                <w:szCs w:val="20"/>
                <w:color w:val="auto"/>
              </w:rPr>
            </w:pPr>
            <w:r>
              <w:rPr>
                <w:rFonts w:ascii="Arial" w:cs="Arial" w:eastAsia="Arial" w:hAnsi="Arial"/>
                <w:sz w:val="12"/>
                <w:szCs w:val="12"/>
                <w:color w:val="auto"/>
                <w:w w:val="88"/>
              </w:rPr>
              <w:t>1991/1999</w:t>
            </w:r>
          </w:p>
        </w:tc>
        <w:tc>
          <w:tcPr>
            <w:tcW w:w="1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Hollywood</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Casino Toledo</w:t>
            </w:r>
          </w:p>
        </w:tc>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Toledo, OH</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12,003</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144,093</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(201)</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11,802</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144,093</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155,895</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34,842</w:t>
            </w:r>
          </w:p>
        </w:tc>
        <w:tc>
          <w:tcPr>
            <w:tcW w:w="920" w:type="dxa"/>
            <w:vAlign w:val="bottom"/>
            <w:tcBorders>
              <w:bottom w:val="single" w:sz="8" w:color="CCEEFF"/>
            </w:tcBorders>
            <w:gridSpan w:val="2"/>
            <w:shd w:val="clear" w:color="auto" w:fill="CCEEFF"/>
          </w:tcPr>
          <w:p>
            <w:pPr>
              <w:jc w:val="center"/>
              <w:ind w:left="62"/>
              <w:spacing w:after="0"/>
              <w:rPr>
                <w:sz w:val="20"/>
                <w:szCs w:val="20"/>
                <w:color w:val="auto"/>
              </w:rPr>
            </w:pPr>
            <w:r>
              <w:rPr>
                <w:rFonts w:ascii="Arial" w:cs="Arial" w:eastAsia="Arial" w:hAnsi="Arial"/>
                <w:sz w:val="12"/>
                <w:szCs w:val="12"/>
                <w:color w:val="auto"/>
                <w:w w:val="89"/>
              </w:rPr>
              <w:t>2012</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Hollywood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80" w:type="dxa"/>
            <w:vAlign w:val="bottom"/>
            <w:gridSpan w:val="2"/>
          </w:tcPr>
          <w:p>
            <w:pPr>
              <w:ind w:left="40"/>
              <w:spacing w:after="0" w:line="135" w:lineRule="exact"/>
              <w:rPr>
                <w:sz w:val="20"/>
                <w:szCs w:val="20"/>
                <w:color w:val="auto"/>
              </w:rPr>
            </w:pPr>
            <w:r>
              <w:rPr>
                <w:rFonts w:ascii="Arial" w:cs="Arial" w:eastAsia="Arial" w:hAnsi="Arial"/>
                <w:sz w:val="12"/>
                <w:szCs w:val="12"/>
                <w:color w:val="auto"/>
              </w:rPr>
              <w:t>Casino</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Columbus</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Columbus, OH</w:t>
            </w:r>
          </w:p>
        </w:tc>
        <w:tc>
          <w:tcPr>
            <w:tcW w:w="80" w:type="dxa"/>
            <w:vAlign w:val="bottom"/>
          </w:tcPr>
          <w:p>
            <w:pPr>
              <w:spacing w:after="0"/>
              <w:rPr>
                <w:sz w:val="12"/>
                <w:szCs w:val="12"/>
                <w:color w:val="auto"/>
              </w:rPr>
            </w:pPr>
          </w:p>
        </w:tc>
        <w:tc>
          <w:tcPr>
            <w:tcW w:w="98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38,240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188,543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105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38,266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188,622</w:t>
            </w:r>
          </w:p>
        </w:tc>
        <w:tc>
          <w:tcPr>
            <w:tcW w:w="100" w:type="dxa"/>
            <w:vAlign w:val="bottom"/>
          </w:tcPr>
          <w:p>
            <w:pPr>
              <w:spacing w:after="0"/>
              <w:rPr>
                <w:sz w:val="12"/>
                <w:szCs w:val="12"/>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226,888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45,507</w:t>
            </w:r>
          </w:p>
        </w:tc>
        <w:tc>
          <w:tcPr>
            <w:tcW w:w="92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2012</w:t>
            </w:r>
          </w:p>
        </w:tc>
        <w:tc>
          <w:tcPr>
            <w:tcW w:w="1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Hollywood</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8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2"/>
                <w:szCs w:val="12"/>
                <w:color w:val="auto"/>
              </w:rPr>
              <w:t>Casino at</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2"/>
                <w:szCs w:val="12"/>
                <w:color w:val="auto"/>
              </w:rPr>
              <w:t>Charles</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2"/>
                <w:szCs w:val="12"/>
                <w:color w:val="auto"/>
              </w:rPr>
              <w:t>Town</w:t>
            </w:r>
          </w:p>
        </w:tc>
        <w:tc>
          <w:tcPr>
            <w:tcW w:w="9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2"/>
                <w:szCs w:val="12"/>
                <w:color w:val="auto"/>
              </w:rPr>
              <w:t>Charles Town,</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2"/>
                <w:szCs w:val="12"/>
                <w:color w:val="auto"/>
              </w:rPr>
              <w:t>Races</w:t>
            </w:r>
          </w:p>
        </w:tc>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WV</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35,102</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233,069</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35,102</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233,069</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268,171</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129,718</w:t>
            </w:r>
          </w:p>
        </w:tc>
        <w:tc>
          <w:tcPr>
            <w:tcW w:w="920" w:type="dxa"/>
            <w:vAlign w:val="bottom"/>
            <w:tcBorders>
              <w:bottom w:val="single" w:sz="8" w:color="CCEEFF"/>
            </w:tcBorders>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8"/>
              </w:rPr>
              <w:t>1997/2010</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Hollywood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80" w:type="dxa"/>
            <w:vAlign w:val="bottom"/>
            <w:gridSpan w:val="2"/>
          </w:tcPr>
          <w:p>
            <w:pPr>
              <w:ind w:left="200"/>
              <w:spacing w:after="0" w:line="135" w:lineRule="exact"/>
              <w:rPr>
                <w:sz w:val="20"/>
                <w:szCs w:val="20"/>
                <w:color w:val="auto"/>
              </w:rPr>
            </w:pPr>
            <w:r>
              <w:rPr>
                <w:rFonts w:ascii="Arial" w:cs="Arial" w:eastAsia="Arial" w:hAnsi="Arial"/>
                <w:sz w:val="12"/>
                <w:szCs w:val="12"/>
                <w:color w:val="auto"/>
              </w:rPr>
              <w:t>Casino at</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gridSpan w:val="2"/>
          </w:tcPr>
          <w:p>
            <w:pPr>
              <w:ind w:left="200"/>
              <w:spacing w:after="0" w:line="135" w:lineRule="exact"/>
              <w:rPr>
                <w:sz w:val="20"/>
                <w:szCs w:val="20"/>
                <w:color w:val="auto"/>
              </w:rPr>
            </w:pPr>
            <w:r>
              <w:rPr>
                <w:rFonts w:ascii="Arial" w:cs="Arial" w:eastAsia="Arial" w:hAnsi="Arial"/>
                <w:sz w:val="12"/>
                <w:szCs w:val="12"/>
                <w:color w:val="auto"/>
              </w:rPr>
              <w:t>Penn</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gridSpan w:val="2"/>
          </w:tcPr>
          <w:p>
            <w:pPr>
              <w:ind w:left="200"/>
              <w:spacing w:after="0" w:line="135" w:lineRule="exact"/>
              <w:rPr>
                <w:sz w:val="20"/>
                <w:szCs w:val="20"/>
                <w:color w:val="auto"/>
              </w:rPr>
            </w:pPr>
            <w:r>
              <w:rPr>
                <w:rFonts w:ascii="Arial" w:cs="Arial" w:eastAsia="Arial" w:hAnsi="Arial"/>
                <w:sz w:val="12"/>
                <w:szCs w:val="12"/>
                <w:color w:val="auto"/>
              </w:rPr>
              <w:t>National</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gridSpan w:val="2"/>
          </w:tcPr>
          <w:p>
            <w:pPr>
              <w:ind w:left="200"/>
              <w:spacing w:after="0" w:line="135" w:lineRule="exact"/>
              <w:rPr>
                <w:sz w:val="20"/>
                <w:szCs w:val="20"/>
                <w:color w:val="auto"/>
              </w:rPr>
            </w:pPr>
            <w:r>
              <w:rPr>
                <w:rFonts w:ascii="Arial" w:cs="Arial" w:eastAsia="Arial" w:hAnsi="Arial"/>
                <w:sz w:val="12"/>
                <w:szCs w:val="12"/>
                <w:color w:val="auto"/>
              </w:rPr>
              <w:t>Race</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ind w:left="200"/>
              <w:spacing w:after="0"/>
              <w:rPr>
                <w:sz w:val="20"/>
                <w:szCs w:val="20"/>
                <w:color w:val="auto"/>
              </w:rPr>
            </w:pPr>
            <w:r>
              <w:rPr>
                <w:rFonts w:ascii="Arial" w:cs="Arial" w:eastAsia="Arial" w:hAnsi="Arial"/>
                <w:sz w:val="12"/>
                <w:szCs w:val="12"/>
                <w:color w:val="auto"/>
              </w:rPr>
              <w:t>Course</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Grantville, PA</w:t>
            </w:r>
          </w:p>
        </w:tc>
        <w:tc>
          <w:tcPr>
            <w:tcW w:w="80" w:type="dxa"/>
            <w:vAlign w:val="bottom"/>
          </w:tcPr>
          <w:p>
            <w:pPr>
              <w:spacing w:after="0"/>
              <w:rPr>
                <w:sz w:val="12"/>
                <w:szCs w:val="12"/>
                <w:color w:val="auto"/>
              </w:rPr>
            </w:pPr>
          </w:p>
        </w:tc>
        <w:tc>
          <w:tcPr>
            <w:tcW w:w="98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25,500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161,810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25,500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161,810</w:t>
            </w:r>
          </w:p>
        </w:tc>
        <w:tc>
          <w:tcPr>
            <w:tcW w:w="100" w:type="dxa"/>
            <w:vAlign w:val="bottom"/>
          </w:tcPr>
          <w:p>
            <w:pPr>
              <w:spacing w:after="0"/>
              <w:rPr>
                <w:sz w:val="12"/>
                <w:szCs w:val="12"/>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187,310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74,989</w:t>
            </w:r>
          </w:p>
        </w:tc>
        <w:tc>
          <w:tcPr>
            <w:tcW w:w="920" w:type="dxa"/>
            <w:vAlign w:val="bottom"/>
            <w:gridSpan w:val="2"/>
          </w:tcPr>
          <w:p>
            <w:pPr>
              <w:jc w:val="center"/>
              <w:ind w:left="42"/>
              <w:spacing w:after="0"/>
              <w:rPr>
                <w:sz w:val="20"/>
                <w:szCs w:val="20"/>
                <w:color w:val="auto"/>
              </w:rPr>
            </w:pPr>
            <w:r>
              <w:rPr>
                <w:rFonts w:ascii="Arial" w:cs="Arial" w:eastAsia="Arial" w:hAnsi="Arial"/>
                <w:sz w:val="12"/>
                <w:szCs w:val="12"/>
                <w:color w:val="auto"/>
                <w:w w:val="88"/>
              </w:rPr>
              <w:t>2008/2010</w:t>
            </w:r>
          </w:p>
        </w:tc>
        <w:tc>
          <w:tcPr>
            <w:tcW w:w="1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Henderson,</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M Resort</w:t>
            </w:r>
          </w:p>
        </w:tc>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NV</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66,104</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126,689</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(436)</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65,668</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126,689</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192,357</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35,789</w:t>
            </w:r>
          </w:p>
        </w:tc>
        <w:tc>
          <w:tcPr>
            <w:tcW w:w="920" w:type="dxa"/>
            <w:vAlign w:val="bottom"/>
            <w:tcBorders>
              <w:bottom w:val="single" w:sz="8" w:color="CCEEFF"/>
            </w:tcBorders>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8"/>
              </w:rPr>
              <w:t>2009/2012</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56"/>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Hollywood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Casino Bangor</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Bangor, ME</w:t>
            </w:r>
          </w:p>
        </w:tc>
        <w:tc>
          <w:tcPr>
            <w:tcW w:w="80" w:type="dxa"/>
            <w:vAlign w:val="bottom"/>
          </w:tcPr>
          <w:p>
            <w:pPr>
              <w:spacing w:after="0"/>
              <w:rPr>
                <w:sz w:val="12"/>
                <w:szCs w:val="12"/>
                <w:color w:val="auto"/>
              </w:rPr>
            </w:pPr>
          </w:p>
        </w:tc>
        <w:tc>
          <w:tcPr>
            <w:tcW w:w="98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12,883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84,257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12,883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84,257</w:t>
            </w:r>
          </w:p>
        </w:tc>
        <w:tc>
          <w:tcPr>
            <w:tcW w:w="100" w:type="dxa"/>
            <w:vAlign w:val="bottom"/>
          </w:tcPr>
          <w:p>
            <w:pPr>
              <w:spacing w:after="0"/>
              <w:rPr>
                <w:sz w:val="12"/>
                <w:szCs w:val="12"/>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97,140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31,965</w:t>
            </w:r>
          </w:p>
        </w:tc>
        <w:tc>
          <w:tcPr>
            <w:tcW w:w="920" w:type="dxa"/>
            <w:vAlign w:val="bottom"/>
            <w:gridSpan w:val="2"/>
          </w:tcPr>
          <w:p>
            <w:pPr>
              <w:jc w:val="center"/>
              <w:ind w:left="42"/>
              <w:spacing w:after="0"/>
              <w:rPr>
                <w:sz w:val="20"/>
                <w:szCs w:val="20"/>
                <w:color w:val="auto"/>
              </w:rPr>
            </w:pPr>
            <w:r>
              <w:rPr>
                <w:rFonts w:ascii="Arial" w:cs="Arial" w:eastAsia="Arial" w:hAnsi="Arial"/>
                <w:sz w:val="12"/>
                <w:szCs w:val="12"/>
                <w:color w:val="auto"/>
                <w:w w:val="88"/>
              </w:rPr>
              <w:t>2008/2012</w:t>
            </w:r>
          </w:p>
        </w:tc>
        <w:tc>
          <w:tcPr>
            <w:tcW w:w="1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Zia Park</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Casino</w:t>
            </w:r>
          </w:p>
        </w:tc>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Hobbs, NM</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9,313</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38,947</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9,313</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38,947</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48,260</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19,738</w:t>
            </w:r>
          </w:p>
        </w:tc>
        <w:tc>
          <w:tcPr>
            <w:tcW w:w="920" w:type="dxa"/>
            <w:vAlign w:val="bottom"/>
            <w:tcBorders>
              <w:bottom w:val="single" w:sz="8" w:color="CCEEFF"/>
            </w:tcBorders>
            <w:gridSpan w:val="2"/>
            <w:shd w:val="clear" w:color="auto" w:fill="CCEEFF"/>
          </w:tcPr>
          <w:p>
            <w:pPr>
              <w:jc w:val="center"/>
              <w:ind w:left="62"/>
              <w:spacing w:after="0"/>
              <w:rPr>
                <w:sz w:val="20"/>
                <w:szCs w:val="20"/>
                <w:color w:val="auto"/>
              </w:rPr>
            </w:pPr>
            <w:r>
              <w:rPr>
                <w:rFonts w:ascii="Arial" w:cs="Arial" w:eastAsia="Arial" w:hAnsi="Arial"/>
                <w:sz w:val="12"/>
                <w:szCs w:val="12"/>
                <w:color w:val="auto"/>
                <w:w w:val="89"/>
              </w:rPr>
              <w:t>2005</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Hollywood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80" w:type="dxa"/>
            <w:vAlign w:val="bottom"/>
            <w:gridSpan w:val="2"/>
          </w:tcPr>
          <w:p>
            <w:pPr>
              <w:ind w:left="40"/>
              <w:spacing w:after="0" w:line="135" w:lineRule="exact"/>
              <w:rPr>
                <w:sz w:val="20"/>
                <w:szCs w:val="20"/>
                <w:color w:val="auto"/>
              </w:rPr>
            </w:pPr>
            <w:r>
              <w:rPr>
                <w:rFonts w:ascii="Arial" w:cs="Arial" w:eastAsia="Arial" w:hAnsi="Arial"/>
                <w:sz w:val="12"/>
                <w:szCs w:val="12"/>
                <w:color w:val="auto"/>
              </w:rPr>
              <w:t>Casino Gulf</w:t>
            </w:r>
          </w:p>
        </w:tc>
        <w:tc>
          <w:tcPr>
            <w:tcW w:w="940" w:type="dxa"/>
            <w:vAlign w:val="bottom"/>
            <w:gridSpan w:val="2"/>
          </w:tcPr>
          <w:p>
            <w:pPr>
              <w:ind w:left="40"/>
              <w:spacing w:after="0" w:line="135" w:lineRule="exact"/>
              <w:rPr>
                <w:sz w:val="20"/>
                <w:szCs w:val="20"/>
                <w:color w:val="auto"/>
              </w:rPr>
            </w:pPr>
            <w:r>
              <w:rPr>
                <w:rFonts w:ascii="Arial" w:cs="Arial" w:eastAsia="Arial" w:hAnsi="Arial"/>
                <w:sz w:val="12"/>
                <w:szCs w:val="12"/>
                <w:color w:val="auto"/>
              </w:rPr>
              <w:t>Bay St. Louis,</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2"/>
          </w:tcPr>
          <w:p>
            <w:pPr>
              <w:jc w:val="center"/>
              <w:ind w:left="42"/>
              <w:spacing w:after="0" w:line="135" w:lineRule="exact"/>
              <w:rPr>
                <w:sz w:val="20"/>
                <w:szCs w:val="20"/>
                <w:color w:val="auto"/>
              </w:rPr>
            </w:pPr>
            <w:r>
              <w:rPr>
                <w:rFonts w:ascii="Arial" w:cs="Arial" w:eastAsia="Arial" w:hAnsi="Arial"/>
                <w:sz w:val="12"/>
                <w:szCs w:val="12"/>
                <w:color w:val="auto"/>
                <w:w w:val="89"/>
              </w:rPr>
              <w:t>1992/2006/</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Coast</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MS</w:t>
            </w:r>
          </w:p>
        </w:tc>
        <w:tc>
          <w:tcPr>
            <w:tcW w:w="80" w:type="dxa"/>
            <w:vAlign w:val="bottom"/>
          </w:tcPr>
          <w:p>
            <w:pPr>
              <w:spacing w:after="0"/>
              <w:rPr>
                <w:sz w:val="12"/>
                <w:szCs w:val="12"/>
                <w:color w:val="auto"/>
              </w:rPr>
            </w:pPr>
          </w:p>
        </w:tc>
        <w:tc>
          <w:tcPr>
            <w:tcW w:w="98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59,388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87,352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(229)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59,176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87,335</w:t>
            </w:r>
          </w:p>
        </w:tc>
        <w:tc>
          <w:tcPr>
            <w:tcW w:w="100" w:type="dxa"/>
            <w:vAlign w:val="bottom"/>
          </w:tcPr>
          <w:p>
            <w:pPr>
              <w:spacing w:after="0"/>
              <w:rPr>
                <w:sz w:val="12"/>
                <w:szCs w:val="12"/>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146,511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50,152</w:t>
            </w:r>
          </w:p>
        </w:tc>
        <w:tc>
          <w:tcPr>
            <w:tcW w:w="920" w:type="dxa"/>
            <w:vAlign w:val="bottom"/>
            <w:gridSpan w:val="2"/>
          </w:tcPr>
          <w:p>
            <w:pPr>
              <w:jc w:val="center"/>
              <w:ind w:left="42"/>
              <w:spacing w:after="0"/>
              <w:rPr>
                <w:sz w:val="20"/>
                <w:szCs w:val="20"/>
                <w:color w:val="auto"/>
              </w:rPr>
            </w:pPr>
            <w:r>
              <w:rPr>
                <w:rFonts w:ascii="Arial" w:cs="Arial" w:eastAsia="Arial" w:hAnsi="Arial"/>
                <w:sz w:val="12"/>
                <w:szCs w:val="12"/>
                <w:color w:val="auto"/>
                <w:w w:val="82"/>
              </w:rPr>
              <w:t>2011</w:t>
            </w:r>
          </w:p>
        </w:tc>
        <w:tc>
          <w:tcPr>
            <w:tcW w:w="1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Argosy Casino</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Riverside</w:t>
            </w:r>
          </w:p>
        </w:tc>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Riverside, MO</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23,468</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143,301</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(77)</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23,391</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143,301</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166,692</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63,166</w:t>
            </w:r>
          </w:p>
        </w:tc>
        <w:tc>
          <w:tcPr>
            <w:tcW w:w="920" w:type="dxa"/>
            <w:vAlign w:val="bottom"/>
            <w:tcBorders>
              <w:bottom w:val="single" w:sz="8" w:color="CCEEFF"/>
            </w:tcBorders>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8"/>
              </w:rPr>
              <w:t>1994/2007</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56"/>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Hollywood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Casino Tunica</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Tunica, MS</w:t>
            </w:r>
          </w:p>
        </w:tc>
        <w:tc>
          <w:tcPr>
            <w:tcW w:w="80" w:type="dxa"/>
            <w:vAlign w:val="bottom"/>
          </w:tcPr>
          <w:p>
            <w:pPr>
              <w:spacing w:after="0"/>
              <w:rPr>
                <w:sz w:val="12"/>
                <w:szCs w:val="12"/>
                <w:color w:val="auto"/>
              </w:rPr>
            </w:pPr>
          </w:p>
        </w:tc>
        <w:tc>
          <w:tcPr>
            <w:tcW w:w="98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4,634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42,031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4,634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42,031</w:t>
            </w:r>
          </w:p>
        </w:tc>
        <w:tc>
          <w:tcPr>
            <w:tcW w:w="100" w:type="dxa"/>
            <w:vAlign w:val="bottom"/>
          </w:tcPr>
          <w:p>
            <w:pPr>
              <w:spacing w:after="0"/>
              <w:rPr>
                <w:sz w:val="12"/>
                <w:szCs w:val="12"/>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46,665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26,859</w:t>
            </w:r>
          </w:p>
        </w:tc>
        <w:tc>
          <w:tcPr>
            <w:tcW w:w="920" w:type="dxa"/>
            <w:vAlign w:val="bottom"/>
            <w:gridSpan w:val="2"/>
          </w:tcPr>
          <w:p>
            <w:pPr>
              <w:jc w:val="center"/>
              <w:ind w:left="42"/>
              <w:spacing w:after="0"/>
              <w:rPr>
                <w:sz w:val="20"/>
                <w:szCs w:val="20"/>
                <w:color w:val="auto"/>
              </w:rPr>
            </w:pPr>
            <w:r>
              <w:rPr>
                <w:rFonts w:ascii="Arial" w:cs="Arial" w:eastAsia="Arial" w:hAnsi="Arial"/>
                <w:sz w:val="12"/>
                <w:szCs w:val="12"/>
                <w:color w:val="auto"/>
                <w:w w:val="88"/>
              </w:rPr>
              <w:t>1994/2012</w:t>
            </w:r>
          </w:p>
        </w:tc>
        <w:tc>
          <w:tcPr>
            <w:tcW w:w="1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Boomtown</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Biloxi</w:t>
            </w:r>
          </w:p>
        </w:tc>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Biloxi, MS</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3,423</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63,083</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(137)</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3,286</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63,083</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66,369</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46,443</w:t>
            </w:r>
          </w:p>
        </w:tc>
        <w:tc>
          <w:tcPr>
            <w:tcW w:w="920" w:type="dxa"/>
            <w:vAlign w:val="bottom"/>
            <w:tcBorders>
              <w:bottom w:val="single" w:sz="8" w:color="CCEEFF"/>
            </w:tcBorders>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8"/>
              </w:rPr>
              <w:t>1994/2006</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56"/>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Hollywood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80" w:type="dxa"/>
            <w:vAlign w:val="bottom"/>
            <w:gridSpan w:val="2"/>
          </w:tcPr>
          <w:p>
            <w:pPr>
              <w:ind w:left="40"/>
              <w:spacing w:after="0" w:line="135" w:lineRule="exact"/>
              <w:rPr>
                <w:sz w:val="20"/>
                <w:szCs w:val="20"/>
                <w:color w:val="auto"/>
              </w:rPr>
            </w:pPr>
            <w:r>
              <w:rPr>
                <w:rFonts w:ascii="Arial" w:cs="Arial" w:eastAsia="Arial" w:hAnsi="Arial"/>
                <w:sz w:val="12"/>
                <w:szCs w:val="12"/>
                <w:color w:val="auto"/>
              </w:rPr>
              <w:t>Casino</w:t>
            </w:r>
          </w:p>
        </w:tc>
        <w:tc>
          <w:tcPr>
            <w:tcW w:w="940" w:type="dxa"/>
            <w:vAlign w:val="bottom"/>
            <w:gridSpan w:val="2"/>
          </w:tcPr>
          <w:p>
            <w:pPr>
              <w:ind w:left="40"/>
              <w:spacing w:after="0" w:line="135" w:lineRule="exact"/>
              <w:rPr>
                <w:sz w:val="20"/>
                <w:szCs w:val="20"/>
                <w:color w:val="auto"/>
              </w:rPr>
            </w:pPr>
            <w:r>
              <w:rPr>
                <w:rFonts w:ascii="Arial" w:cs="Arial" w:eastAsia="Arial" w:hAnsi="Arial"/>
                <w:sz w:val="12"/>
                <w:szCs w:val="12"/>
                <w:color w:val="auto"/>
              </w:rPr>
              <w:t>Maryland</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St. Louis</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Heights, MO</w:t>
            </w:r>
          </w:p>
        </w:tc>
        <w:tc>
          <w:tcPr>
            <w:tcW w:w="80" w:type="dxa"/>
            <w:vAlign w:val="bottom"/>
          </w:tcPr>
          <w:p>
            <w:pPr>
              <w:spacing w:after="0"/>
              <w:rPr>
                <w:sz w:val="12"/>
                <w:szCs w:val="12"/>
                <w:color w:val="auto"/>
              </w:rPr>
            </w:pPr>
          </w:p>
        </w:tc>
        <w:tc>
          <w:tcPr>
            <w:tcW w:w="98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44,198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177,063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(3,049)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41,149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177,063</w:t>
            </w:r>
          </w:p>
        </w:tc>
        <w:tc>
          <w:tcPr>
            <w:tcW w:w="100" w:type="dxa"/>
            <w:vAlign w:val="bottom"/>
          </w:tcPr>
          <w:p>
            <w:pPr>
              <w:spacing w:after="0"/>
              <w:rPr>
                <w:sz w:val="12"/>
                <w:szCs w:val="12"/>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218,212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75,384</w:t>
            </w:r>
          </w:p>
        </w:tc>
        <w:tc>
          <w:tcPr>
            <w:tcW w:w="920" w:type="dxa"/>
            <w:vAlign w:val="bottom"/>
            <w:gridSpan w:val="2"/>
          </w:tcPr>
          <w:p>
            <w:pPr>
              <w:jc w:val="center"/>
              <w:ind w:left="42"/>
              <w:spacing w:after="0"/>
              <w:rPr>
                <w:sz w:val="20"/>
                <w:szCs w:val="20"/>
                <w:color w:val="auto"/>
              </w:rPr>
            </w:pPr>
            <w:r>
              <w:rPr>
                <w:rFonts w:ascii="Arial" w:cs="Arial" w:eastAsia="Arial" w:hAnsi="Arial"/>
                <w:sz w:val="12"/>
                <w:szCs w:val="12"/>
                <w:color w:val="auto"/>
                <w:w w:val="88"/>
              </w:rPr>
              <w:t>1997/2013</w:t>
            </w:r>
          </w:p>
        </w:tc>
        <w:tc>
          <w:tcPr>
            <w:tcW w:w="1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Hollywood</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8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2"/>
                <w:szCs w:val="12"/>
                <w:color w:val="auto"/>
              </w:rPr>
              <w:t>Casino at</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2"/>
                <w:szCs w:val="12"/>
                <w:color w:val="auto"/>
              </w:rPr>
              <w:t>Dayton</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80" w:type="dxa"/>
            <w:vAlign w:val="bottom"/>
            <w:gridSpan w:val="2"/>
            <w:shd w:val="clear" w:color="auto" w:fill="CCEEFF"/>
          </w:tcPr>
          <w:p>
            <w:pPr>
              <w:ind w:left="200"/>
              <w:spacing w:after="0" w:line="128" w:lineRule="exact"/>
              <w:rPr>
                <w:sz w:val="20"/>
                <w:szCs w:val="20"/>
                <w:color w:val="auto"/>
              </w:rPr>
            </w:pPr>
            <w:r>
              <w:rPr>
                <w:rFonts w:ascii="Arial" w:cs="Arial" w:eastAsia="Arial" w:hAnsi="Arial"/>
                <w:sz w:val="12"/>
                <w:szCs w:val="12"/>
                <w:color w:val="auto"/>
              </w:rPr>
              <w:t>Raceway</w:t>
            </w:r>
          </w:p>
        </w:tc>
        <w:tc>
          <w:tcPr>
            <w:tcW w:w="94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color w:val="auto"/>
              </w:rPr>
              <w:t>Dayton, OH</w:t>
            </w:r>
          </w:p>
        </w:tc>
        <w:tc>
          <w:tcPr>
            <w:tcW w:w="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3,211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86,288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3,211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86,288</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89,499</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12,165</w:t>
            </w:r>
          </w:p>
        </w:tc>
        <w:tc>
          <w:tcPr>
            <w:tcW w:w="920" w:type="dxa"/>
            <w:vAlign w:val="bottom"/>
            <w:gridSpan w:val="2"/>
            <w:vMerge w:val="restart"/>
            <w:shd w:val="clear" w:color="auto" w:fill="CCEEFF"/>
          </w:tcPr>
          <w:p>
            <w:pPr>
              <w:jc w:val="center"/>
              <w:ind w:left="62"/>
              <w:spacing w:after="0"/>
              <w:rPr>
                <w:sz w:val="20"/>
                <w:szCs w:val="20"/>
                <w:color w:val="auto"/>
              </w:rPr>
            </w:pPr>
            <w:r>
              <w:rPr>
                <w:rFonts w:ascii="Arial" w:cs="Arial" w:eastAsia="Arial" w:hAnsi="Arial"/>
                <w:sz w:val="12"/>
                <w:szCs w:val="12"/>
                <w:color w:val="auto"/>
                <w:w w:val="89"/>
              </w:rPr>
              <w:t>2014</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29"/>
        </w:trPr>
        <w:tc>
          <w:tcPr>
            <w:tcW w:w="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0"/>
                <w:szCs w:val="10"/>
                <w:color w:val="auto"/>
              </w:rPr>
              <w:t>(2)</w:t>
            </w:r>
          </w:p>
        </w:tc>
        <w:tc>
          <w:tcPr>
            <w:tcW w:w="1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92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vMerge w:val="continue"/>
            <w:shd w:val="clear" w:color="auto" w:fill="CCEEFF"/>
          </w:tcPr>
          <w:p>
            <w:pPr>
              <w:spacing w:after="0"/>
              <w:rPr>
                <w:sz w:val="11"/>
                <w:szCs w:val="11"/>
                <w:color w:val="auto"/>
              </w:rPr>
            </w:pPr>
          </w:p>
        </w:tc>
        <w:tc>
          <w:tcPr>
            <w:tcW w:w="900" w:type="dxa"/>
            <w:vAlign w:val="bottom"/>
            <w:tcBorders>
              <w:bottom w:val="single" w:sz="8" w:color="CCEEFF"/>
            </w:tcBorders>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Hollywood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80" w:type="dxa"/>
            <w:vAlign w:val="bottom"/>
            <w:gridSpan w:val="2"/>
          </w:tcPr>
          <w:p>
            <w:pPr>
              <w:ind w:left="200"/>
              <w:spacing w:after="0" w:line="135" w:lineRule="exact"/>
              <w:rPr>
                <w:sz w:val="20"/>
                <w:szCs w:val="20"/>
                <w:color w:val="auto"/>
              </w:rPr>
            </w:pPr>
            <w:r>
              <w:rPr>
                <w:rFonts w:ascii="Arial" w:cs="Arial" w:eastAsia="Arial" w:hAnsi="Arial"/>
                <w:sz w:val="12"/>
                <w:szCs w:val="12"/>
                <w:color w:val="auto"/>
              </w:rPr>
              <w:t>Casino at</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gridSpan w:val="2"/>
          </w:tcPr>
          <w:p>
            <w:pPr>
              <w:ind w:left="200"/>
              <w:spacing w:after="0" w:line="135" w:lineRule="exact"/>
              <w:rPr>
                <w:sz w:val="20"/>
                <w:szCs w:val="20"/>
                <w:color w:val="auto"/>
              </w:rPr>
            </w:pPr>
            <w:r>
              <w:rPr>
                <w:rFonts w:ascii="Arial" w:cs="Arial" w:eastAsia="Arial" w:hAnsi="Arial"/>
                <w:sz w:val="12"/>
                <w:szCs w:val="12"/>
                <w:color w:val="auto"/>
              </w:rPr>
              <w:t>Mahoning</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gridSpan w:val="2"/>
          </w:tcPr>
          <w:p>
            <w:pPr>
              <w:ind w:left="200"/>
              <w:spacing w:after="0" w:line="135" w:lineRule="exact"/>
              <w:rPr>
                <w:sz w:val="20"/>
                <w:szCs w:val="20"/>
                <w:color w:val="auto"/>
              </w:rPr>
            </w:pPr>
            <w:r>
              <w:rPr>
                <w:rFonts w:ascii="Arial" w:cs="Arial" w:eastAsia="Arial" w:hAnsi="Arial"/>
                <w:sz w:val="12"/>
                <w:szCs w:val="12"/>
                <w:color w:val="auto"/>
              </w:rPr>
              <w:t>Valley</w:t>
            </w:r>
          </w:p>
        </w:tc>
        <w:tc>
          <w:tcPr>
            <w:tcW w:w="940" w:type="dxa"/>
            <w:vAlign w:val="bottom"/>
            <w:gridSpan w:val="2"/>
            <w:vMerge w:val="restart"/>
          </w:tcPr>
          <w:p>
            <w:pPr>
              <w:ind w:left="40"/>
              <w:spacing w:after="0"/>
              <w:rPr>
                <w:sz w:val="20"/>
                <w:szCs w:val="20"/>
                <w:color w:val="auto"/>
              </w:rPr>
            </w:pPr>
            <w:r>
              <w:rPr>
                <w:rFonts w:ascii="Arial" w:cs="Arial" w:eastAsia="Arial" w:hAnsi="Arial"/>
                <w:sz w:val="12"/>
                <w:szCs w:val="12"/>
                <w:color w:val="auto"/>
              </w:rPr>
              <w:t>Youngstown,</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880" w:type="dxa"/>
            <w:vAlign w:val="bottom"/>
            <w:gridSpan w:val="2"/>
          </w:tcPr>
          <w:p>
            <w:pPr>
              <w:ind w:left="200"/>
              <w:spacing w:after="0" w:line="114" w:lineRule="exact"/>
              <w:rPr>
                <w:sz w:val="20"/>
                <w:szCs w:val="20"/>
                <w:color w:val="auto"/>
              </w:rPr>
            </w:pPr>
            <w:r>
              <w:rPr>
                <w:rFonts w:ascii="Arial" w:cs="Arial" w:eastAsia="Arial" w:hAnsi="Arial"/>
                <w:sz w:val="12"/>
                <w:szCs w:val="12"/>
                <w:color w:val="auto"/>
              </w:rPr>
              <w:t>Race Track</w:t>
            </w:r>
          </w:p>
        </w:tc>
        <w:tc>
          <w:tcPr>
            <w:tcW w:w="9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vMerge w:val="restart"/>
          </w:tcPr>
          <w:p>
            <w:pPr>
              <w:ind w:left="6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9"/>
                <w:szCs w:val="9"/>
                <w:color w:val="auto"/>
              </w:rPr>
            </w:pPr>
          </w:p>
        </w:tc>
        <w:tc>
          <w:tcPr>
            <w:tcW w:w="680" w:type="dxa"/>
            <w:vAlign w:val="bottom"/>
            <w:vMerge w:val="restart"/>
          </w:tcPr>
          <w:p>
            <w:pPr>
              <w:jc w:val="right"/>
              <w:ind w:right="62"/>
              <w:spacing w:after="0"/>
              <w:rPr>
                <w:sz w:val="20"/>
                <w:szCs w:val="20"/>
                <w:color w:val="auto"/>
              </w:rPr>
            </w:pPr>
            <w:r>
              <w:rPr>
                <w:rFonts w:ascii="Arial" w:cs="Arial" w:eastAsia="Arial" w:hAnsi="Arial"/>
                <w:sz w:val="12"/>
                <w:szCs w:val="12"/>
                <w:color w:val="auto"/>
              </w:rPr>
              <w:t>5,683</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right"/>
              <w:ind w:right="62"/>
              <w:spacing w:after="0"/>
              <w:rPr>
                <w:sz w:val="20"/>
                <w:szCs w:val="20"/>
                <w:color w:val="auto"/>
              </w:rPr>
            </w:pPr>
            <w:r>
              <w:rPr>
                <w:rFonts w:ascii="Arial" w:cs="Arial" w:eastAsia="Arial" w:hAnsi="Arial"/>
                <w:sz w:val="12"/>
                <w:szCs w:val="12"/>
                <w:color w:val="auto"/>
              </w:rPr>
              <w:t>94,314</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restart"/>
          </w:tcPr>
          <w:p>
            <w:pPr>
              <w:jc w:val="right"/>
              <w:ind w:right="42"/>
              <w:spacing w:after="0"/>
              <w:rPr>
                <w:sz w:val="20"/>
                <w:szCs w:val="20"/>
                <w:color w:val="auto"/>
              </w:rPr>
            </w:pPr>
            <w:r>
              <w:rPr>
                <w:rFonts w:ascii="Arial" w:cs="Arial" w:eastAsia="Arial" w:hAnsi="Arial"/>
                <w:sz w:val="12"/>
                <w:szCs w:val="12"/>
                <w:color w:val="auto"/>
              </w:rPr>
              <w:t>5,833</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restart"/>
          </w:tcPr>
          <w:p>
            <w:pPr>
              <w:jc w:val="right"/>
              <w:ind w:right="42"/>
              <w:spacing w:after="0"/>
              <w:rPr>
                <w:sz w:val="20"/>
                <w:szCs w:val="20"/>
                <w:color w:val="auto"/>
              </w:rPr>
            </w:pPr>
            <w:r>
              <w:rPr>
                <w:rFonts w:ascii="Arial" w:cs="Arial" w:eastAsia="Arial" w:hAnsi="Arial"/>
                <w:sz w:val="12"/>
                <w:szCs w:val="12"/>
                <w:color w:val="auto"/>
              </w:rPr>
              <w:t>94,164</w:t>
            </w:r>
          </w:p>
        </w:tc>
        <w:tc>
          <w:tcPr>
            <w:tcW w:w="100" w:type="dxa"/>
            <w:vAlign w:val="bottom"/>
          </w:tcPr>
          <w:p>
            <w:pPr>
              <w:spacing w:after="0"/>
              <w:rPr>
                <w:sz w:val="9"/>
                <w:szCs w:val="9"/>
                <w:color w:val="auto"/>
              </w:rPr>
            </w:pPr>
          </w:p>
        </w:tc>
        <w:tc>
          <w:tcPr>
            <w:tcW w:w="620" w:type="dxa"/>
            <w:vAlign w:val="bottom"/>
            <w:vMerge w:val="restart"/>
          </w:tcPr>
          <w:p>
            <w:pPr>
              <w:jc w:val="right"/>
              <w:ind w:right="62"/>
              <w:spacing w:after="0"/>
              <w:rPr>
                <w:sz w:val="20"/>
                <w:szCs w:val="20"/>
                <w:color w:val="auto"/>
              </w:rPr>
            </w:pPr>
            <w:r>
              <w:rPr>
                <w:rFonts w:ascii="Arial" w:cs="Arial" w:eastAsia="Arial" w:hAnsi="Arial"/>
                <w:sz w:val="12"/>
                <w:szCs w:val="12"/>
                <w:color w:val="auto"/>
              </w:rPr>
              <w:t>99,997</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vMerge w:val="restart"/>
          </w:tcPr>
          <w:p>
            <w:pPr>
              <w:jc w:val="right"/>
              <w:ind w:right="42"/>
              <w:spacing w:after="0"/>
              <w:rPr>
                <w:sz w:val="20"/>
                <w:szCs w:val="20"/>
                <w:color w:val="auto"/>
              </w:rPr>
            </w:pPr>
            <w:r>
              <w:rPr>
                <w:rFonts w:ascii="Arial" w:cs="Arial" w:eastAsia="Arial" w:hAnsi="Arial"/>
                <w:sz w:val="12"/>
                <w:szCs w:val="12"/>
                <w:color w:val="auto"/>
              </w:rPr>
              <w:t>13,018</w:t>
            </w:r>
          </w:p>
        </w:tc>
        <w:tc>
          <w:tcPr>
            <w:tcW w:w="920" w:type="dxa"/>
            <w:vAlign w:val="bottom"/>
            <w:gridSpan w:val="2"/>
            <w:vMerge w:val="restart"/>
          </w:tcPr>
          <w:p>
            <w:pPr>
              <w:jc w:val="center"/>
              <w:ind w:left="62"/>
              <w:spacing w:after="0"/>
              <w:rPr>
                <w:sz w:val="20"/>
                <w:szCs w:val="20"/>
                <w:color w:val="auto"/>
              </w:rPr>
            </w:pPr>
            <w:r>
              <w:rPr>
                <w:rFonts w:ascii="Arial" w:cs="Arial" w:eastAsia="Arial" w:hAnsi="Arial"/>
                <w:sz w:val="12"/>
                <w:szCs w:val="12"/>
                <w:color w:val="auto"/>
                <w:w w:val="89"/>
              </w:rPr>
              <w:t>2014</w:t>
            </w:r>
          </w:p>
        </w:tc>
        <w:tc>
          <w:tcPr>
            <w:tcW w:w="100" w:type="dxa"/>
            <w:vAlign w:val="bottom"/>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gridSpan w:val="2"/>
            <w:vMerge w:val="restart"/>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5"/>
        </w:trPr>
        <w:tc>
          <w:tcPr>
            <w:tcW w:w="760" w:type="dxa"/>
            <w:vAlign w:val="bottom"/>
          </w:tcPr>
          <w:p>
            <w:pPr>
              <w:ind w:left="200"/>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OH</w:t>
            </w:r>
          </w:p>
        </w:tc>
        <w:tc>
          <w:tcPr>
            <w:tcW w:w="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8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Resorts</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9"/>
              </w:rPr>
              <w:t>1994/1996/</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Casino Tunica</w:t>
            </w:r>
          </w:p>
        </w:tc>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Tunica, MS</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12,860</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12,860</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12,860</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2,058</w:t>
            </w:r>
          </w:p>
        </w:tc>
        <w:tc>
          <w:tcPr>
            <w:tcW w:w="920" w:type="dxa"/>
            <w:vAlign w:val="bottom"/>
            <w:tcBorders>
              <w:bottom w:val="single" w:sz="8" w:color="CCEEFF"/>
            </w:tcBorders>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8"/>
              </w:rPr>
              <w:t>2005/2014</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5/1/2017</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880" w:type="dxa"/>
            <w:vAlign w:val="bottom"/>
            <w:gridSpan w:val="2"/>
          </w:tcPr>
          <w:p>
            <w:pPr>
              <w:ind w:left="40"/>
              <w:spacing w:after="0" w:line="156" w:lineRule="exact"/>
              <w:rPr>
                <w:sz w:val="20"/>
                <w:szCs w:val="20"/>
                <w:color w:val="auto"/>
              </w:rPr>
            </w:pPr>
            <w:r>
              <w:rPr>
                <w:rFonts w:ascii="Arial" w:cs="Arial" w:eastAsia="Arial" w:hAnsi="Arial"/>
                <w:sz w:val="11"/>
                <w:szCs w:val="11"/>
                <w:color w:val="auto"/>
              </w:rPr>
              <w:t>1</w:t>
            </w:r>
            <w:r>
              <w:rPr>
                <w:rFonts w:ascii="Arial" w:cs="Arial" w:eastAsia="Arial" w:hAnsi="Arial"/>
                <w:sz w:val="18"/>
                <w:szCs w:val="18"/>
                <w:color w:val="auto"/>
                <w:vertAlign w:val="superscript"/>
              </w:rPr>
              <w:t>st</w:t>
            </w:r>
            <w:r>
              <w:rPr>
                <w:rFonts w:ascii="Arial" w:cs="Arial" w:eastAsia="Arial" w:hAnsi="Arial"/>
                <w:sz w:val="11"/>
                <w:szCs w:val="11"/>
                <w:color w:val="auto"/>
              </w:rPr>
              <w:t xml:space="preserve"> Jackpot</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ind w:left="200"/>
              <w:spacing w:after="0"/>
              <w:rPr>
                <w:sz w:val="20"/>
                <w:szCs w:val="20"/>
                <w:color w:val="auto"/>
              </w:rPr>
            </w:pPr>
            <w:r>
              <w:rPr>
                <w:rFonts w:ascii="Arial" w:cs="Arial" w:eastAsia="Arial" w:hAnsi="Arial"/>
                <w:sz w:val="12"/>
                <w:szCs w:val="12"/>
                <w:color w:val="auto"/>
              </w:rPr>
              <w:t>Casino</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Tunica, MS</w:t>
            </w:r>
          </w:p>
        </w:tc>
        <w:tc>
          <w:tcPr>
            <w:tcW w:w="80" w:type="dxa"/>
            <w:vAlign w:val="bottom"/>
          </w:tcPr>
          <w:p>
            <w:pPr>
              <w:spacing w:after="0"/>
              <w:rPr>
                <w:sz w:val="12"/>
                <w:szCs w:val="12"/>
                <w:color w:val="auto"/>
              </w:rPr>
            </w:pPr>
          </w:p>
        </w:tc>
        <w:tc>
          <w:tcPr>
            <w:tcW w:w="98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161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10,100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161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10,100</w:t>
            </w:r>
          </w:p>
        </w:tc>
        <w:tc>
          <w:tcPr>
            <w:tcW w:w="100" w:type="dxa"/>
            <w:vAlign w:val="bottom"/>
          </w:tcPr>
          <w:p>
            <w:pPr>
              <w:spacing w:after="0"/>
              <w:rPr>
                <w:sz w:val="12"/>
                <w:szCs w:val="12"/>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10,261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608</w:t>
            </w:r>
          </w:p>
        </w:tc>
        <w:tc>
          <w:tcPr>
            <w:tcW w:w="92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1995</w:t>
            </w:r>
          </w:p>
        </w:tc>
        <w:tc>
          <w:tcPr>
            <w:tcW w:w="1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5/1/2017</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Ameristar</w:t>
            </w:r>
          </w:p>
        </w:tc>
        <w:tc>
          <w:tcPr>
            <w:tcW w:w="94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color w:val="auto"/>
              </w:rPr>
              <w:t>Black Hawk,</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880" w:type="dxa"/>
            <w:vAlign w:val="bottom"/>
            <w:gridSpan w:val="2"/>
            <w:shd w:val="clear" w:color="auto" w:fill="CCEEFF"/>
          </w:tcPr>
          <w:p>
            <w:pPr>
              <w:ind w:left="40"/>
              <w:spacing w:after="0" w:line="114" w:lineRule="exact"/>
              <w:rPr>
                <w:sz w:val="20"/>
                <w:szCs w:val="20"/>
                <w:color w:val="auto"/>
              </w:rPr>
            </w:pPr>
            <w:r>
              <w:rPr>
                <w:rFonts w:ascii="Arial" w:cs="Arial" w:eastAsia="Arial" w:hAnsi="Arial"/>
                <w:sz w:val="12"/>
                <w:szCs w:val="12"/>
                <w:color w:val="auto"/>
              </w:rPr>
              <w:t>Black Hawk</w:t>
            </w:r>
          </w:p>
        </w:tc>
        <w:tc>
          <w:tcPr>
            <w:tcW w:w="94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243,092</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334,024</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243,092</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334,024</w:t>
            </w: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577,116</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2,348</w:t>
            </w:r>
          </w:p>
        </w:tc>
        <w:tc>
          <w:tcPr>
            <w:tcW w:w="920" w:type="dxa"/>
            <w:vAlign w:val="bottom"/>
            <w:gridSpan w:val="2"/>
            <w:vMerge w:val="restart"/>
            <w:shd w:val="clear" w:color="auto" w:fill="CCEEFF"/>
          </w:tcPr>
          <w:p>
            <w:pPr>
              <w:jc w:val="center"/>
              <w:ind w:left="62"/>
              <w:spacing w:after="0"/>
              <w:rPr>
                <w:sz w:val="20"/>
                <w:szCs w:val="20"/>
                <w:color w:val="auto"/>
              </w:rPr>
            </w:pPr>
            <w:r>
              <w:rPr>
                <w:rFonts w:ascii="Arial" w:cs="Arial" w:eastAsia="Arial" w:hAnsi="Arial"/>
                <w:sz w:val="12"/>
                <w:szCs w:val="12"/>
                <w:color w:val="auto"/>
                <w:w w:val="89"/>
              </w:rPr>
              <w:t>2000</w:t>
            </w:r>
          </w:p>
        </w:tc>
        <w:tc>
          <w:tcPr>
            <w:tcW w:w="1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4/28/2016</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ind w:left="40"/>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CO</w:t>
            </w:r>
          </w:p>
        </w:tc>
        <w:tc>
          <w:tcPr>
            <w:tcW w:w="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Ameristar East</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East Chicago,</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80" w:type="dxa"/>
            <w:vAlign w:val="bottom"/>
            <w:gridSpan w:val="2"/>
          </w:tcPr>
          <w:p>
            <w:pPr>
              <w:ind w:left="40"/>
              <w:spacing w:after="0" w:line="176" w:lineRule="exact"/>
              <w:rPr>
                <w:sz w:val="20"/>
                <w:szCs w:val="20"/>
                <w:color w:val="auto"/>
              </w:rPr>
            </w:pPr>
            <w:r>
              <w:rPr>
                <w:rFonts w:ascii="Arial" w:cs="Arial" w:eastAsia="Arial" w:hAnsi="Arial"/>
                <w:sz w:val="12"/>
                <w:szCs w:val="12"/>
                <w:color w:val="auto"/>
              </w:rPr>
              <w:t xml:space="preserve">Chicago </w:t>
            </w:r>
            <w:r>
              <w:rPr>
                <w:rFonts w:ascii="Arial" w:cs="Arial" w:eastAsia="Arial" w:hAnsi="Arial"/>
                <w:sz w:val="19"/>
                <w:szCs w:val="19"/>
                <w:color w:val="auto"/>
                <w:vertAlign w:val="superscript"/>
              </w:rPr>
              <w:t>(1)</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IN</w:t>
            </w:r>
          </w:p>
        </w:tc>
        <w:tc>
          <w:tcPr>
            <w:tcW w:w="80" w:type="dxa"/>
            <w:vAlign w:val="bottom"/>
          </w:tcPr>
          <w:p>
            <w:pPr>
              <w:spacing w:after="0"/>
              <w:rPr>
                <w:sz w:val="15"/>
                <w:szCs w:val="15"/>
                <w:color w:val="auto"/>
              </w:rPr>
            </w:pPr>
          </w:p>
        </w:tc>
        <w:tc>
          <w:tcPr>
            <w:tcW w:w="98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4,198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123,430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4,198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123,430</w:t>
            </w:r>
          </w:p>
        </w:tc>
        <w:tc>
          <w:tcPr>
            <w:tcW w:w="100" w:type="dxa"/>
            <w:vAlign w:val="bottom"/>
          </w:tcPr>
          <w:p>
            <w:pPr>
              <w:spacing w:after="0"/>
              <w:rPr>
                <w:sz w:val="15"/>
                <w:szCs w:val="15"/>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127,628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998</w:t>
            </w:r>
          </w:p>
        </w:tc>
        <w:tc>
          <w:tcPr>
            <w:tcW w:w="92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1997</w:t>
            </w:r>
          </w:p>
        </w:tc>
        <w:tc>
          <w:tcPr>
            <w:tcW w:w="1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4/28/2016</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8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Belterra</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880" w:type="dxa"/>
            <w:vAlign w:val="bottom"/>
            <w:gridSpan w:val="2"/>
            <w:shd w:val="clear" w:color="auto" w:fill="CCEEFF"/>
          </w:tcPr>
          <w:p>
            <w:pPr>
              <w:ind w:left="40"/>
              <w:spacing w:after="0" w:line="128" w:lineRule="exact"/>
              <w:rPr>
                <w:sz w:val="20"/>
                <w:szCs w:val="20"/>
                <w:color w:val="auto"/>
              </w:rPr>
            </w:pPr>
            <w:r>
              <w:rPr>
                <w:rFonts w:ascii="Arial" w:cs="Arial" w:eastAsia="Arial" w:hAnsi="Arial"/>
                <w:sz w:val="12"/>
                <w:szCs w:val="12"/>
                <w:color w:val="auto"/>
              </w:rPr>
              <w:t>Casino Resort</w:t>
            </w:r>
          </w:p>
        </w:tc>
        <w:tc>
          <w:tcPr>
            <w:tcW w:w="94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color w:val="auto"/>
              </w:rPr>
              <w:t>Florence, IN</w:t>
            </w:r>
          </w:p>
        </w:tc>
        <w:tc>
          <w:tcPr>
            <w:tcW w:w="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63,420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172,875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63,420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172,875</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236,295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1,821</w:t>
            </w:r>
          </w:p>
        </w:tc>
        <w:tc>
          <w:tcPr>
            <w:tcW w:w="920" w:type="dxa"/>
            <w:vAlign w:val="bottom"/>
            <w:gridSpan w:val="2"/>
            <w:vMerge w:val="restart"/>
            <w:shd w:val="clear" w:color="auto" w:fill="CCEEFF"/>
          </w:tcPr>
          <w:p>
            <w:pPr>
              <w:jc w:val="center"/>
              <w:ind w:left="62"/>
              <w:spacing w:after="0"/>
              <w:rPr>
                <w:sz w:val="20"/>
                <w:szCs w:val="20"/>
                <w:color w:val="auto"/>
              </w:rPr>
            </w:pPr>
            <w:r>
              <w:rPr>
                <w:rFonts w:ascii="Arial" w:cs="Arial" w:eastAsia="Arial" w:hAnsi="Arial"/>
                <w:sz w:val="12"/>
                <w:szCs w:val="12"/>
                <w:color w:val="auto"/>
                <w:w w:val="89"/>
              </w:rPr>
              <w:t>2000</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4/28/2016</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29"/>
        </w:trPr>
        <w:tc>
          <w:tcPr>
            <w:tcW w:w="760" w:type="dxa"/>
            <w:vAlign w:val="bottom"/>
            <w:shd w:val="clear" w:color="auto" w:fill="CCEEFF"/>
          </w:tcPr>
          <w:p>
            <w:pPr>
              <w:ind w:left="40"/>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420"/>
          </w:cols>
          <w:pgMar w:left="240" w:top="130" w:right="239" w:bottom="1440" w:gutter="0" w:footer="0" w:header="0"/>
          <w:type w:val="continuous"/>
        </w:sectPr>
      </w:pPr>
    </w:p>
    <w:bookmarkStart w:id="114" w:name="page115"/>
    <w:bookmarkEnd w:id="11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0" w:type="dxa"/>
            <w:vAlign w:val="bottom"/>
          </w:tcPr>
          <w:p>
            <w:pPr>
              <w:ind w:left="40"/>
              <w:spacing w:after="0"/>
              <w:rPr>
                <w:sz w:val="20"/>
                <w:szCs w:val="20"/>
                <w:color w:val="auto"/>
              </w:rPr>
            </w:pPr>
            <w:r>
              <w:rPr>
                <w:rFonts w:ascii="Arial" w:cs="Arial" w:eastAsia="Arial" w:hAnsi="Arial"/>
                <w:sz w:val="12"/>
                <w:szCs w:val="12"/>
                <w:color w:val="auto"/>
              </w:rPr>
              <w:t>Ameristar</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800" w:type="dxa"/>
            <w:vAlign w:val="bottom"/>
          </w:tcPr>
          <w:p>
            <w:pPr>
              <w:ind w:left="40"/>
              <w:spacing w:after="0" w:line="128" w:lineRule="exact"/>
              <w:rPr>
                <w:sz w:val="20"/>
                <w:szCs w:val="20"/>
                <w:color w:val="auto"/>
              </w:rPr>
            </w:pPr>
            <w:r>
              <w:rPr>
                <w:rFonts w:ascii="Arial" w:cs="Arial" w:eastAsia="Arial" w:hAnsi="Arial"/>
                <w:sz w:val="12"/>
                <w:szCs w:val="12"/>
                <w:color w:val="auto"/>
              </w:rPr>
              <w:t>Council</w:t>
            </w:r>
          </w:p>
        </w:tc>
        <w:tc>
          <w:tcPr>
            <w:tcW w:w="1000" w:type="dxa"/>
            <w:vAlign w:val="bottom"/>
            <w:gridSpan w:val="2"/>
          </w:tcPr>
          <w:p>
            <w:pPr>
              <w:ind w:left="100"/>
              <w:spacing w:after="0" w:line="128" w:lineRule="exact"/>
              <w:rPr>
                <w:sz w:val="20"/>
                <w:szCs w:val="20"/>
                <w:color w:val="auto"/>
              </w:rPr>
            </w:pPr>
            <w:r>
              <w:rPr>
                <w:rFonts w:ascii="Arial" w:cs="Arial" w:eastAsia="Arial" w:hAnsi="Arial"/>
                <w:sz w:val="12"/>
                <w:szCs w:val="12"/>
                <w:color w:val="auto"/>
              </w:rPr>
              <w:t>Council Bluffs,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800" w:type="dxa"/>
            <w:vAlign w:val="bottom"/>
          </w:tcPr>
          <w:p>
            <w:pPr>
              <w:ind w:left="40"/>
              <w:spacing w:after="0" w:line="176" w:lineRule="exact"/>
              <w:rPr>
                <w:sz w:val="20"/>
                <w:szCs w:val="20"/>
                <w:color w:val="auto"/>
              </w:rPr>
            </w:pPr>
            <w:r>
              <w:rPr>
                <w:rFonts w:ascii="Arial" w:cs="Arial" w:eastAsia="Arial" w:hAnsi="Arial"/>
                <w:sz w:val="12"/>
                <w:szCs w:val="12"/>
                <w:color w:val="auto"/>
              </w:rPr>
              <w:t xml:space="preserve">Bluffs </w:t>
            </w:r>
            <w:r>
              <w:rPr>
                <w:rFonts w:ascii="Arial" w:cs="Arial" w:eastAsia="Arial" w:hAnsi="Arial"/>
                <w:sz w:val="19"/>
                <w:szCs w:val="19"/>
                <w:color w:val="auto"/>
                <w:vertAlign w:val="superscript"/>
              </w:rPr>
              <w:t>(1)</w:t>
            </w:r>
          </w:p>
        </w:tc>
        <w:tc>
          <w:tcPr>
            <w:tcW w:w="1000" w:type="dxa"/>
            <w:vAlign w:val="bottom"/>
            <w:gridSpan w:val="2"/>
          </w:tcPr>
          <w:p>
            <w:pPr>
              <w:ind w:left="100"/>
              <w:spacing w:after="0"/>
              <w:rPr>
                <w:sz w:val="20"/>
                <w:szCs w:val="20"/>
                <w:color w:val="auto"/>
              </w:rPr>
            </w:pPr>
            <w:r>
              <w:rPr>
                <w:rFonts w:ascii="Arial" w:cs="Arial" w:eastAsia="Arial" w:hAnsi="Arial"/>
                <w:sz w:val="12"/>
                <w:szCs w:val="12"/>
                <w:color w:val="auto"/>
              </w:rPr>
              <w:t>IA</w:t>
            </w:r>
          </w:p>
        </w:tc>
        <w:tc>
          <w:tcPr>
            <w:tcW w:w="360" w:type="dxa"/>
            <w:vAlign w:val="bottom"/>
          </w:tcPr>
          <w:p>
            <w:pPr>
              <w:spacing w:after="0"/>
              <w:rPr>
                <w:sz w:val="15"/>
                <w:szCs w:val="15"/>
                <w:color w:val="auto"/>
              </w:rPr>
            </w:pPr>
          </w:p>
        </w:tc>
        <w:tc>
          <w:tcPr>
            <w:tcW w:w="64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84,009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109,027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84,009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109,027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193,036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919</w:t>
            </w:r>
          </w:p>
        </w:tc>
        <w:tc>
          <w:tcPr>
            <w:tcW w:w="920" w:type="dxa"/>
            <w:vAlign w:val="bottom"/>
          </w:tcPr>
          <w:p>
            <w:pPr>
              <w:jc w:val="center"/>
              <w:ind w:left="62"/>
              <w:spacing w:after="0"/>
              <w:rPr>
                <w:sz w:val="20"/>
                <w:szCs w:val="20"/>
                <w:color w:val="auto"/>
              </w:rPr>
            </w:pPr>
            <w:r>
              <w:rPr>
                <w:rFonts w:ascii="Arial" w:cs="Arial" w:eastAsia="Arial" w:hAnsi="Arial"/>
                <w:sz w:val="12"/>
                <w:szCs w:val="12"/>
                <w:color w:val="auto"/>
                <w:w w:val="89"/>
              </w:rPr>
              <w:t>1996</w:t>
            </w:r>
          </w:p>
        </w:tc>
        <w:tc>
          <w:tcPr>
            <w:tcW w:w="1080" w:type="dxa"/>
            <w:vAlign w:val="bottom"/>
          </w:tcPr>
          <w:p>
            <w:pPr>
              <w:jc w:val="center"/>
              <w:ind w:right="142"/>
              <w:spacing w:after="0"/>
              <w:rPr>
                <w:sz w:val="20"/>
                <w:szCs w:val="20"/>
                <w:color w:val="auto"/>
              </w:rPr>
            </w:pPr>
            <w:r>
              <w:rPr>
                <w:rFonts w:ascii="Arial" w:cs="Arial" w:eastAsia="Arial" w:hAnsi="Arial"/>
                <w:sz w:val="12"/>
                <w:szCs w:val="12"/>
                <w:color w:val="auto"/>
                <w:w w:val="89"/>
              </w:rPr>
              <w:t>4/28/2016</w:t>
            </w:r>
          </w:p>
        </w:tc>
        <w:tc>
          <w:tcPr>
            <w:tcW w:w="600" w:type="dxa"/>
            <w:vAlign w:val="bottom"/>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800" w:type="dxa"/>
            <w:vAlign w:val="bottom"/>
            <w:shd w:val="clear" w:color="auto" w:fill="CCEEFF"/>
          </w:tcPr>
          <w:p>
            <w:pPr>
              <w:ind w:left="40"/>
              <w:spacing w:after="0"/>
              <w:rPr>
                <w:sz w:val="20"/>
                <w:szCs w:val="20"/>
                <w:color w:val="auto"/>
              </w:rPr>
            </w:pPr>
            <w:r>
              <w:rPr>
                <w:rFonts w:ascii="Arial" w:cs="Arial" w:eastAsia="Arial" w:hAnsi="Arial"/>
                <w:sz w:val="12"/>
                <w:szCs w:val="12"/>
                <w:color w:val="auto"/>
              </w:rPr>
              <w:t>L'Auberge</w:t>
            </w:r>
          </w:p>
        </w:tc>
        <w:tc>
          <w:tcPr>
            <w:tcW w:w="1000" w:type="dxa"/>
            <w:vAlign w:val="bottom"/>
            <w:gridSpan w:val="2"/>
            <w:vMerge w:val="restart"/>
            <w:shd w:val="clear" w:color="auto" w:fill="CCEEFF"/>
          </w:tcPr>
          <w:p>
            <w:pPr>
              <w:ind w:left="100"/>
              <w:spacing w:after="0"/>
              <w:rPr>
                <w:sz w:val="20"/>
                <w:szCs w:val="20"/>
                <w:color w:val="auto"/>
              </w:rPr>
            </w:pPr>
            <w:r>
              <w:rPr>
                <w:rFonts w:ascii="Arial" w:cs="Arial" w:eastAsia="Arial" w:hAnsi="Arial"/>
                <w:sz w:val="12"/>
                <w:szCs w:val="12"/>
                <w:color w:val="auto"/>
              </w:rPr>
              <w:t>Baton Rouge,</w:t>
            </w:r>
          </w:p>
        </w:tc>
        <w:tc>
          <w:tcPr>
            <w:tcW w:w="3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800" w:type="dxa"/>
            <w:vAlign w:val="bottom"/>
            <w:shd w:val="clear" w:color="auto" w:fill="CCEEFF"/>
          </w:tcPr>
          <w:p>
            <w:pPr>
              <w:ind w:left="40"/>
              <w:spacing w:after="0" w:line="114" w:lineRule="exact"/>
              <w:rPr>
                <w:sz w:val="20"/>
                <w:szCs w:val="20"/>
                <w:color w:val="auto"/>
              </w:rPr>
            </w:pPr>
            <w:r>
              <w:rPr>
                <w:rFonts w:ascii="Arial" w:cs="Arial" w:eastAsia="Arial" w:hAnsi="Arial"/>
                <w:sz w:val="12"/>
                <w:szCs w:val="12"/>
                <w:color w:val="auto"/>
              </w:rPr>
              <w:t>Baton Rouge</w:t>
            </w:r>
          </w:p>
        </w:tc>
        <w:tc>
          <w:tcPr>
            <w:tcW w:w="1000" w:type="dxa"/>
            <w:vAlign w:val="bottom"/>
            <w:gridSpan w:val="2"/>
            <w:vMerge w:val="continue"/>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205,274</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178,426</w:t>
            </w: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205,274</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178,426</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383,700</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1,336</w:t>
            </w:r>
          </w:p>
        </w:tc>
        <w:tc>
          <w:tcPr>
            <w:tcW w:w="920" w:type="dxa"/>
            <w:vAlign w:val="bottom"/>
            <w:vMerge w:val="restart"/>
            <w:shd w:val="clear" w:color="auto" w:fill="CCEEFF"/>
          </w:tcPr>
          <w:p>
            <w:pPr>
              <w:jc w:val="center"/>
              <w:ind w:left="62"/>
              <w:spacing w:after="0"/>
              <w:rPr>
                <w:sz w:val="20"/>
                <w:szCs w:val="20"/>
                <w:color w:val="auto"/>
              </w:rPr>
            </w:pPr>
            <w:r>
              <w:rPr>
                <w:rFonts w:ascii="Arial" w:cs="Arial" w:eastAsia="Arial" w:hAnsi="Arial"/>
                <w:sz w:val="12"/>
                <w:szCs w:val="12"/>
                <w:color w:val="auto"/>
                <w:w w:val="89"/>
              </w:rPr>
              <w:t>2012</w:t>
            </w:r>
          </w:p>
        </w:tc>
        <w:tc>
          <w:tcPr>
            <w:tcW w:w="1080" w:type="dxa"/>
            <w:vAlign w:val="bottom"/>
            <w:vMerge w:val="restart"/>
            <w:shd w:val="clear" w:color="auto" w:fill="CCEEFF"/>
          </w:tcPr>
          <w:p>
            <w:pPr>
              <w:jc w:val="center"/>
              <w:ind w:right="142"/>
              <w:spacing w:after="0"/>
              <w:rPr>
                <w:sz w:val="20"/>
                <w:szCs w:val="20"/>
                <w:color w:val="auto"/>
              </w:rPr>
            </w:pPr>
            <w:r>
              <w:rPr>
                <w:rFonts w:ascii="Arial" w:cs="Arial" w:eastAsia="Arial" w:hAnsi="Arial"/>
                <w:sz w:val="12"/>
                <w:szCs w:val="12"/>
                <w:color w:val="auto"/>
                <w:w w:val="89"/>
              </w:rPr>
              <w:t>4/28/2016</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62"/>
        </w:trPr>
        <w:tc>
          <w:tcPr>
            <w:tcW w:w="800" w:type="dxa"/>
            <w:vAlign w:val="bottom"/>
            <w:shd w:val="clear" w:color="auto" w:fill="CCEEFF"/>
          </w:tcPr>
          <w:p>
            <w:pPr>
              <w:ind w:left="40"/>
              <w:spacing w:after="0"/>
              <w:rPr>
                <w:sz w:val="20"/>
                <w:szCs w:val="20"/>
                <w:color w:val="auto"/>
              </w:rPr>
            </w:pPr>
            <w:r>
              <w:rPr>
                <w:rFonts w:ascii="Arial" w:cs="Arial" w:eastAsia="Arial" w:hAnsi="Arial"/>
                <w:sz w:val="10"/>
                <w:szCs w:val="10"/>
                <w:color w:val="auto"/>
              </w:rPr>
              <w:t>(1)</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LA</w:t>
            </w:r>
          </w:p>
        </w:tc>
        <w:tc>
          <w:tcPr>
            <w:tcW w:w="3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00" w:type="dxa"/>
            <w:vAlign w:val="bottom"/>
          </w:tcPr>
          <w:p>
            <w:pPr>
              <w:ind w:left="40"/>
              <w:spacing w:after="0"/>
              <w:rPr>
                <w:sz w:val="20"/>
                <w:szCs w:val="20"/>
                <w:color w:val="auto"/>
              </w:rPr>
            </w:pPr>
            <w:r>
              <w:rPr>
                <w:rFonts w:ascii="Arial" w:cs="Arial" w:eastAsia="Arial" w:hAnsi="Arial"/>
                <w:sz w:val="12"/>
                <w:szCs w:val="12"/>
                <w:color w:val="auto"/>
              </w:rPr>
              <w:t>Boomtown</w:t>
            </w:r>
          </w:p>
        </w:tc>
        <w:tc>
          <w:tcPr>
            <w:tcW w:w="1000" w:type="dxa"/>
            <w:vAlign w:val="bottom"/>
            <w:gridSpan w:val="2"/>
            <w:vMerge w:val="restart"/>
          </w:tcPr>
          <w:p>
            <w:pPr>
              <w:ind w:left="100"/>
              <w:spacing w:after="0"/>
              <w:rPr>
                <w:sz w:val="20"/>
                <w:szCs w:val="20"/>
                <w:color w:val="auto"/>
              </w:rPr>
            </w:pPr>
            <w:r>
              <w:rPr>
                <w:rFonts w:ascii="Arial" w:cs="Arial" w:eastAsia="Arial" w:hAnsi="Arial"/>
                <w:sz w:val="12"/>
                <w:szCs w:val="12"/>
                <w:color w:val="auto"/>
              </w:rPr>
              <w:t>Bossier City,</w:t>
            </w: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800" w:type="dxa"/>
            <w:vAlign w:val="bottom"/>
          </w:tcPr>
          <w:p>
            <w:pPr>
              <w:ind w:left="40"/>
              <w:spacing w:after="0" w:line="114" w:lineRule="exact"/>
              <w:rPr>
                <w:sz w:val="20"/>
                <w:szCs w:val="20"/>
                <w:color w:val="auto"/>
              </w:rPr>
            </w:pPr>
            <w:r>
              <w:rPr>
                <w:rFonts w:ascii="Arial" w:cs="Arial" w:eastAsia="Arial" w:hAnsi="Arial"/>
                <w:sz w:val="12"/>
                <w:szCs w:val="12"/>
                <w:color w:val="auto"/>
              </w:rPr>
              <w:t>Bossier City</w:t>
            </w: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9"/>
                <w:szCs w:val="9"/>
                <w:color w:val="auto"/>
              </w:rPr>
            </w:pPr>
          </w:p>
        </w:tc>
        <w:tc>
          <w:tcPr>
            <w:tcW w:w="640" w:type="dxa"/>
            <w:vAlign w:val="bottom"/>
            <w:vMerge w:val="restart"/>
          </w:tcPr>
          <w:p>
            <w:pPr>
              <w:jc w:val="right"/>
              <w:ind w:right="62"/>
              <w:spacing w:after="0"/>
              <w:rPr>
                <w:sz w:val="20"/>
                <w:szCs w:val="20"/>
                <w:color w:val="auto"/>
              </w:rPr>
            </w:pPr>
            <w:r>
              <w:rPr>
                <w:rFonts w:ascii="Arial" w:cs="Arial" w:eastAsia="Arial" w:hAnsi="Arial"/>
                <w:sz w:val="12"/>
                <w:szCs w:val="12"/>
                <w:color w:val="auto"/>
              </w:rPr>
              <w:t>79,022</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jc w:val="right"/>
              <w:ind w:right="42"/>
              <w:spacing w:after="0"/>
              <w:rPr>
                <w:sz w:val="20"/>
                <w:szCs w:val="20"/>
                <w:color w:val="auto"/>
              </w:rPr>
            </w:pPr>
            <w:r>
              <w:rPr>
                <w:rFonts w:ascii="Arial" w:cs="Arial" w:eastAsia="Arial" w:hAnsi="Arial"/>
                <w:sz w:val="12"/>
                <w:szCs w:val="12"/>
                <w:color w:val="auto"/>
              </w:rPr>
              <w:t>107,067</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620" w:type="dxa"/>
            <w:vAlign w:val="bottom"/>
            <w:vMerge w:val="restart"/>
          </w:tcPr>
          <w:p>
            <w:pPr>
              <w:jc w:val="right"/>
              <w:ind w:right="42"/>
              <w:spacing w:after="0"/>
              <w:rPr>
                <w:sz w:val="20"/>
                <w:szCs w:val="20"/>
                <w:color w:val="auto"/>
              </w:rPr>
            </w:pPr>
            <w:r>
              <w:rPr>
                <w:rFonts w:ascii="Arial" w:cs="Arial" w:eastAsia="Arial" w:hAnsi="Arial"/>
                <w:sz w:val="12"/>
                <w:szCs w:val="12"/>
                <w:color w:val="auto"/>
              </w:rPr>
              <w:t>79,022</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jc w:val="right"/>
              <w:ind w:right="42"/>
              <w:spacing w:after="0"/>
              <w:rPr>
                <w:sz w:val="20"/>
                <w:szCs w:val="20"/>
                <w:color w:val="auto"/>
              </w:rPr>
            </w:pPr>
            <w:r>
              <w:rPr>
                <w:rFonts w:ascii="Arial" w:cs="Arial" w:eastAsia="Arial" w:hAnsi="Arial"/>
                <w:sz w:val="12"/>
                <w:szCs w:val="12"/>
                <w:color w:val="auto"/>
              </w:rPr>
              <w:t>107,067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jc w:val="right"/>
              <w:ind w:right="62"/>
              <w:spacing w:after="0"/>
              <w:rPr>
                <w:sz w:val="20"/>
                <w:szCs w:val="20"/>
                <w:color w:val="auto"/>
              </w:rPr>
            </w:pPr>
            <w:r>
              <w:rPr>
                <w:rFonts w:ascii="Arial" w:cs="Arial" w:eastAsia="Arial" w:hAnsi="Arial"/>
                <w:sz w:val="12"/>
                <w:szCs w:val="12"/>
                <w:color w:val="auto"/>
              </w:rPr>
              <w:t>186,089</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vMerge w:val="restart"/>
          </w:tcPr>
          <w:p>
            <w:pPr>
              <w:jc w:val="right"/>
              <w:ind w:right="42"/>
              <w:spacing w:after="0"/>
              <w:rPr>
                <w:sz w:val="20"/>
                <w:szCs w:val="20"/>
                <w:color w:val="auto"/>
              </w:rPr>
            </w:pPr>
            <w:r>
              <w:rPr>
                <w:rFonts w:ascii="Arial" w:cs="Arial" w:eastAsia="Arial" w:hAnsi="Arial"/>
                <w:sz w:val="12"/>
                <w:szCs w:val="12"/>
                <w:color w:val="auto"/>
              </w:rPr>
              <w:t>833</w:t>
            </w:r>
          </w:p>
        </w:tc>
        <w:tc>
          <w:tcPr>
            <w:tcW w:w="920" w:type="dxa"/>
            <w:vAlign w:val="bottom"/>
            <w:vMerge w:val="restart"/>
          </w:tcPr>
          <w:p>
            <w:pPr>
              <w:jc w:val="center"/>
              <w:ind w:left="62"/>
              <w:spacing w:after="0"/>
              <w:rPr>
                <w:sz w:val="20"/>
                <w:szCs w:val="20"/>
                <w:color w:val="auto"/>
              </w:rPr>
            </w:pPr>
            <w:r>
              <w:rPr>
                <w:rFonts w:ascii="Arial" w:cs="Arial" w:eastAsia="Arial" w:hAnsi="Arial"/>
                <w:sz w:val="12"/>
                <w:szCs w:val="12"/>
                <w:color w:val="auto"/>
                <w:w w:val="89"/>
              </w:rPr>
              <w:t>2002</w:t>
            </w:r>
          </w:p>
        </w:tc>
        <w:tc>
          <w:tcPr>
            <w:tcW w:w="1080" w:type="dxa"/>
            <w:vAlign w:val="bottom"/>
            <w:vMerge w:val="restart"/>
          </w:tcPr>
          <w:p>
            <w:pPr>
              <w:jc w:val="center"/>
              <w:ind w:right="142"/>
              <w:spacing w:after="0"/>
              <w:rPr>
                <w:sz w:val="20"/>
                <w:szCs w:val="20"/>
                <w:color w:val="auto"/>
              </w:rPr>
            </w:pPr>
            <w:r>
              <w:rPr>
                <w:rFonts w:ascii="Arial" w:cs="Arial" w:eastAsia="Arial" w:hAnsi="Arial"/>
                <w:sz w:val="12"/>
                <w:szCs w:val="12"/>
                <w:color w:val="auto"/>
                <w:w w:val="89"/>
              </w:rPr>
              <w:t>4/28/2016</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5"/>
        </w:trPr>
        <w:tc>
          <w:tcPr>
            <w:tcW w:w="800" w:type="dxa"/>
            <w:vAlign w:val="bottom"/>
          </w:tcPr>
          <w:p>
            <w:pPr>
              <w:ind w:left="40"/>
              <w:spacing w:after="0"/>
              <w:rPr>
                <w:sz w:val="20"/>
                <w:szCs w:val="20"/>
                <w:color w:val="auto"/>
              </w:rPr>
            </w:pPr>
            <w:r>
              <w:rPr>
                <w:rFonts w:ascii="Arial" w:cs="Arial" w:eastAsia="Arial" w:hAnsi="Arial"/>
                <w:sz w:val="10"/>
                <w:szCs w:val="10"/>
                <w:color w:val="auto"/>
              </w:rPr>
              <w:t>(1)</w:t>
            </w:r>
          </w:p>
        </w:tc>
        <w:tc>
          <w:tcPr>
            <w:tcW w:w="1000" w:type="dxa"/>
            <w:vAlign w:val="bottom"/>
            <w:gridSpan w:val="2"/>
          </w:tcPr>
          <w:p>
            <w:pPr>
              <w:ind w:left="100"/>
              <w:spacing w:after="0"/>
              <w:rPr>
                <w:sz w:val="20"/>
                <w:szCs w:val="20"/>
                <w:color w:val="auto"/>
              </w:rPr>
            </w:pPr>
            <w:r>
              <w:rPr>
                <w:rFonts w:ascii="Arial" w:cs="Arial" w:eastAsia="Arial" w:hAnsi="Arial"/>
                <w:sz w:val="12"/>
                <w:szCs w:val="12"/>
                <w:color w:val="auto"/>
              </w:rPr>
              <w:t>LA</w:t>
            </w:r>
          </w:p>
        </w:tc>
        <w:tc>
          <w:tcPr>
            <w:tcW w:w="3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800" w:type="dxa"/>
            <w:vAlign w:val="bottom"/>
            <w:shd w:val="clear" w:color="auto" w:fill="CCEEFF"/>
          </w:tcPr>
          <w:p>
            <w:pPr>
              <w:ind w:left="40"/>
              <w:spacing w:after="0"/>
              <w:rPr>
                <w:sz w:val="20"/>
                <w:szCs w:val="20"/>
                <w:color w:val="auto"/>
              </w:rPr>
            </w:pPr>
            <w:r>
              <w:rPr>
                <w:rFonts w:ascii="Arial" w:cs="Arial" w:eastAsia="Arial" w:hAnsi="Arial"/>
                <w:sz w:val="12"/>
                <w:szCs w:val="12"/>
                <w:color w:val="auto"/>
              </w:rPr>
              <w:t>L'Auberge</w:t>
            </w:r>
          </w:p>
        </w:tc>
        <w:tc>
          <w:tcPr>
            <w:tcW w:w="1000" w:type="dxa"/>
            <w:vAlign w:val="bottom"/>
            <w:gridSpan w:val="2"/>
            <w:vMerge w:val="restart"/>
            <w:shd w:val="clear" w:color="auto" w:fill="CCEEFF"/>
          </w:tcPr>
          <w:p>
            <w:pPr>
              <w:ind w:left="100"/>
              <w:spacing w:after="0"/>
              <w:rPr>
                <w:sz w:val="20"/>
                <w:szCs w:val="20"/>
                <w:color w:val="auto"/>
              </w:rPr>
            </w:pPr>
            <w:r>
              <w:rPr>
                <w:rFonts w:ascii="Arial" w:cs="Arial" w:eastAsia="Arial" w:hAnsi="Arial"/>
                <w:sz w:val="12"/>
                <w:szCs w:val="12"/>
                <w:color w:val="auto"/>
              </w:rPr>
              <w:t>Lake Charles,</w:t>
            </w: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800" w:type="dxa"/>
            <w:vAlign w:val="bottom"/>
            <w:shd w:val="clear" w:color="auto" w:fill="CCEEFF"/>
          </w:tcPr>
          <w:p>
            <w:pPr>
              <w:ind w:left="40"/>
              <w:spacing w:after="0" w:line="114" w:lineRule="exact"/>
              <w:rPr>
                <w:sz w:val="20"/>
                <w:szCs w:val="20"/>
                <w:color w:val="auto"/>
              </w:rPr>
            </w:pPr>
            <w:r>
              <w:rPr>
                <w:rFonts w:ascii="Arial" w:cs="Arial" w:eastAsia="Arial" w:hAnsi="Arial"/>
                <w:sz w:val="12"/>
                <w:szCs w:val="12"/>
                <w:color w:val="auto"/>
              </w:rPr>
              <w:t>Lake Charles</w:t>
            </w:r>
          </w:p>
        </w:tc>
        <w:tc>
          <w:tcPr>
            <w:tcW w:w="1000" w:type="dxa"/>
            <w:vAlign w:val="bottom"/>
            <w:gridSpan w:val="2"/>
            <w:vMerge w:val="continue"/>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14,831</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310,877</w:t>
            </w: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14,831</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310,877</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325,708</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2,657</w:t>
            </w:r>
          </w:p>
        </w:tc>
        <w:tc>
          <w:tcPr>
            <w:tcW w:w="920" w:type="dxa"/>
            <w:vAlign w:val="bottom"/>
            <w:vMerge w:val="restart"/>
            <w:shd w:val="clear" w:color="auto" w:fill="CCEEFF"/>
          </w:tcPr>
          <w:p>
            <w:pPr>
              <w:jc w:val="center"/>
              <w:ind w:left="62"/>
              <w:spacing w:after="0"/>
              <w:rPr>
                <w:sz w:val="20"/>
                <w:szCs w:val="20"/>
                <w:color w:val="auto"/>
              </w:rPr>
            </w:pPr>
            <w:r>
              <w:rPr>
                <w:rFonts w:ascii="Arial" w:cs="Arial" w:eastAsia="Arial" w:hAnsi="Arial"/>
                <w:sz w:val="12"/>
                <w:szCs w:val="12"/>
                <w:color w:val="auto"/>
                <w:w w:val="89"/>
              </w:rPr>
              <w:t>2005</w:t>
            </w:r>
          </w:p>
        </w:tc>
        <w:tc>
          <w:tcPr>
            <w:tcW w:w="1080" w:type="dxa"/>
            <w:vAlign w:val="bottom"/>
            <w:vMerge w:val="restart"/>
            <w:shd w:val="clear" w:color="auto" w:fill="CCEEFF"/>
          </w:tcPr>
          <w:p>
            <w:pPr>
              <w:jc w:val="center"/>
              <w:ind w:right="142"/>
              <w:spacing w:after="0"/>
              <w:rPr>
                <w:sz w:val="20"/>
                <w:szCs w:val="20"/>
                <w:color w:val="auto"/>
              </w:rPr>
            </w:pPr>
            <w:r>
              <w:rPr>
                <w:rFonts w:ascii="Arial" w:cs="Arial" w:eastAsia="Arial" w:hAnsi="Arial"/>
                <w:sz w:val="12"/>
                <w:szCs w:val="12"/>
                <w:color w:val="auto"/>
                <w:w w:val="89"/>
              </w:rPr>
              <w:t>4/28/2016</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62"/>
        </w:trPr>
        <w:tc>
          <w:tcPr>
            <w:tcW w:w="800" w:type="dxa"/>
            <w:vAlign w:val="bottom"/>
            <w:shd w:val="clear" w:color="auto" w:fill="CCEEFF"/>
          </w:tcPr>
          <w:p>
            <w:pPr>
              <w:ind w:left="40"/>
              <w:spacing w:after="0"/>
              <w:rPr>
                <w:sz w:val="20"/>
                <w:szCs w:val="20"/>
                <w:color w:val="auto"/>
              </w:rPr>
            </w:pPr>
            <w:r>
              <w:rPr>
                <w:rFonts w:ascii="Arial" w:cs="Arial" w:eastAsia="Arial" w:hAnsi="Arial"/>
                <w:sz w:val="10"/>
                <w:szCs w:val="10"/>
                <w:color w:val="auto"/>
              </w:rPr>
              <w:t>(1)</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LA</w:t>
            </w:r>
          </w:p>
        </w:tc>
        <w:tc>
          <w:tcPr>
            <w:tcW w:w="3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00" w:type="dxa"/>
            <w:vAlign w:val="bottom"/>
          </w:tcPr>
          <w:p>
            <w:pPr>
              <w:ind w:left="40"/>
              <w:spacing w:after="0"/>
              <w:rPr>
                <w:sz w:val="20"/>
                <w:szCs w:val="20"/>
                <w:color w:val="auto"/>
              </w:rPr>
            </w:pPr>
            <w:r>
              <w:rPr>
                <w:rFonts w:ascii="Arial" w:cs="Arial" w:eastAsia="Arial" w:hAnsi="Arial"/>
                <w:sz w:val="12"/>
                <w:szCs w:val="12"/>
                <w:color w:val="auto"/>
              </w:rPr>
              <w:t>Boomtown</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800" w:type="dxa"/>
            <w:vAlign w:val="bottom"/>
          </w:tcPr>
          <w:p>
            <w:pPr>
              <w:ind w:left="40"/>
              <w:spacing w:after="0" w:line="128" w:lineRule="exact"/>
              <w:rPr>
                <w:sz w:val="20"/>
                <w:szCs w:val="20"/>
                <w:color w:val="auto"/>
              </w:rPr>
            </w:pPr>
            <w:r>
              <w:rPr>
                <w:rFonts w:ascii="Arial" w:cs="Arial" w:eastAsia="Arial" w:hAnsi="Arial"/>
                <w:sz w:val="12"/>
                <w:szCs w:val="12"/>
                <w:color w:val="auto"/>
              </w:rPr>
              <w:t>New Orleans</w:t>
            </w:r>
          </w:p>
        </w:tc>
        <w:tc>
          <w:tcPr>
            <w:tcW w:w="1000" w:type="dxa"/>
            <w:vAlign w:val="bottom"/>
            <w:gridSpan w:val="2"/>
            <w:vMerge w:val="restart"/>
          </w:tcPr>
          <w:p>
            <w:pPr>
              <w:ind w:left="100"/>
              <w:spacing w:after="0"/>
              <w:rPr>
                <w:sz w:val="20"/>
                <w:szCs w:val="20"/>
                <w:color w:val="auto"/>
              </w:rPr>
            </w:pPr>
            <w:r>
              <w:rPr>
                <w:rFonts w:ascii="Arial" w:cs="Arial" w:eastAsia="Arial" w:hAnsi="Arial"/>
                <w:sz w:val="12"/>
                <w:szCs w:val="12"/>
                <w:color w:val="auto"/>
              </w:rPr>
              <w:t>Boomtown, LA</w:t>
            </w:r>
          </w:p>
        </w:tc>
        <w:tc>
          <w:tcPr>
            <w:tcW w:w="360" w:type="dxa"/>
            <w:vAlign w:val="bottom"/>
          </w:tcPr>
          <w:p>
            <w:pPr>
              <w:spacing w:after="0"/>
              <w:rPr>
                <w:sz w:val="11"/>
                <w:szCs w:val="11"/>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40" w:type="dxa"/>
            <w:vAlign w:val="bottom"/>
            <w:vMerge w:val="restart"/>
          </w:tcPr>
          <w:p>
            <w:pPr>
              <w:jc w:val="right"/>
              <w:ind w:right="62"/>
              <w:spacing w:after="0"/>
              <w:rPr>
                <w:sz w:val="20"/>
                <w:szCs w:val="20"/>
                <w:color w:val="auto"/>
              </w:rPr>
            </w:pPr>
            <w:r>
              <w:rPr>
                <w:rFonts w:ascii="Arial" w:cs="Arial" w:eastAsia="Arial" w:hAnsi="Arial"/>
                <w:sz w:val="12"/>
                <w:szCs w:val="12"/>
                <w:color w:val="auto"/>
              </w:rPr>
              <w:t>46,019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ind w:right="42"/>
              <w:spacing w:after="0"/>
              <w:rPr>
                <w:sz w:val="20"/>
                <w:szCs w:val="20"/>
                <w:color w:val="auto"/>
              </w:rPr>
            </w:pPr>
            <w:r>
              <w:rPr>
                <w:rFonts w:ascii="Arial" w:cs="Arial" w:eastAsia="Arial" w:hAnsi="Arial"/>
                <w:sz w:val="12"/>
                <w:szCs w:val="12"/>
                <w:color w:val="auto"/>
              </w:rPr>
              <w:t>58,258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20" w:type="dxa"/>
            <w:vAlign w:val="bottom"/>
            <w:vMerge w:val="restart"/>
          </w:tcPr>
          <w:p>
            <w:pPr>
              <w:jc w:val="right"/>
              <w:ind w:right="42"/>
              <w:spacing w:after="0"/>
              <w:rPr>
                <w:sz w:val="20"/>
                <w:szCs w:val="20"/>
                <w:color w:val="auto"/>
              </w:rPr>
            </w:pPr>
            <w:r>
              <w:rPr>
                <w:rFonts w:ascii="Arial" w:cs="Arial" w:eastAsia="Arial" w:hAnsi="Arial"/>
                <w:sz w:val="12"/>
                <w:szCs w:val="12"/>
                <w:color w:val="auto"/>
              </w:rPr>
              <w:t>46,019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ind w:right="42"/>
              <w:spacing w:after="0"/>
              <w:rPr>
                <w:sz w:val="20"/>
                <w:szCs w:val="20"/>
                <w:color w:val="auto"/>
              </w:rPr>
            </w:pPr>
            <w:r>
              <w:rPr>
                <w:rFonts w:ascii="Arial" w:cs="Arial" w:eastAsia="Arial" w:hAnsi="Arial"/>
                <w:sz w:val="12"/>
                <w:szCs w:val="12"/>
                <w:color w:val="auto"/>
              </w:rPr>
              <w:t>58,258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ind w:right="62"/>
              <w:spacing w:after="0"/>
              <w:rPr>
                <w:sz w:val="20"/>
                <w:szCs w:val="20"/>
                <w:color w:val="auto"/>
              </w:rPr>
            </w:pPr>
            <w:r>
              <w:rPr>
                <w:rFonts w:ascii="Arial" w:cs="Arial" w:eastAsia="Arial" w:hAnsi="Arial"/>
                <w:sz w:val="12"/>
                <w:szCs w:val="12"/>
                <w:color w:val="auto"/>
              </w:rPr>
              <w:t>104,277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vMerge w:val="restart"/>
          </w:tcPr>
          <w:p>
            <w:pPr>
              <w:jc w:val="right"/>
              <w:ind w:right="42"/>
              <w:spacing w:after="0"/>
              <w:rPr>
                <w:sz w:val="20"/>
                <w:szCs w:val="20"/>
                <w:color w:val="auto"/>
              </w:rPr>
            </w:pPr>
            <w:r>
              <w:rPr>
                <w:rFonts w:ascii="Arial" w:cs="Arial" w:eastAsia="Arial" w:hAnsi="Arial"/>
                <w:sz w:val="12"/>
                <w:szCs w:val="12"/>
                <w:color w:val="auto"/>
              </w:rPr>
              <w:t>494</w:t>
            </w:r>
          </w:p>
        </w:tc>
        <w:tc>
          <w:tcPr>
            <w:tcW w:w="920" w:type="dxa"/>
            <w:vAlign w:val="bottom"/>
            <w:vMerge w:val="restart"/>
          </w:tcPr>
          <w:p>
            <w:pPr>
              <w:jc w:val="center"/>
              <w:ind w:left="62"/>
              <w:spacing w:after="0"/>
              <w:rPr>
                <w:sz w:val="20"/>
                <w:szCs w:val="20"/>
                <w:color w:val="auto"/>
              </w:rPr>
            </w:pPr>
            <w:r>
              <w:rPr>
                <w:rFonts w:ascii="Arial" w:cs="Arial" w:eastAsia="Arial" w:hAnsi="Arial"/>
                <w:sz w:val="12"/>
                <w:szCs w:val="12"/>
                <w:color w:val="auto"/>
                <w:w w:val="89"/>
              </w:rPr>
              <w:t>1994</w:t>
            </w:r>
          </w:p>
        </w:tc>
        <w:tc>
          <w:tcPr>
            <w:tcW w:w="1080" w:type="dxa"/>
            <w:vAlign w:val="bottom"/>
            <w:vMerge w:val="restart"/>
          </w:tcPr>
          <w:p>
            <w:pPr>
              <w:jc w:val="center"/>
              <w:ind w:right="142"/>
              <w:spacing w:after="0"/>
              <w:rPr>
                <w:sz w:val="20"/>
                <w:szCs w:val="20"/>
                <w:color w:val="auto"/>
              </w:rPr>
            </w:pPr>
            <w:r>
              <w:rPr>
                <w:rFonts w:ascii="Arial" w:cs="Arial" w:eastAsia="Arial" w:hAnsi="Arial"/>
                <w:sz w:val="12"/>
                <w:szCs w:val="12"/>
                <w:color w:val="auto"/>
                <w:w w:val="89"/>
              </w:rPr>
              <w:t>4/28/2016</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29"/>
        </w:trPr>
        <w:tc>
          <w:tcPr>
            <w:tcW w:w="800" w:type="dxa"/>
            <w:vAlign w:val="bottom"/>
          </w:tcPr>
          <w:p>
            <w:pPr>
              <w:ind w:left="40"/>
              <w:spacing w:after="0"/>
              <w:rPr>
                <w:sz w:val="20"/>
                <w:szCs w:val="20"/>
                <w:color w:val="auto"/>
              </w:rPr>
            </w:pPr>
            <w:r>
              <w:rPr>
                <w:rFonts w:ascii="Arial" w:cs="Arial" w:eastAsia="Arial" w:hAnsi="Arial"/>
                <w:sz w:val="10"/>
                <w:szCs w:val="10"/>
                <w:color w:val="auto"/>
              </w:rPr>
              <w:t>(1)</w:t>
            </w:r>
          </w:p>
        </w:tc>
        <w:tc>
          <w:tcPr>
            <w:tcW w:w="10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00" w:type="dxa"/>
            <w:vAlign w:val="bottom"/>
            <w:shd w:val="clear" w:color="auto" w:fill="CCEEFF"/>
          </w:tcPr>
          <w:p>
            <w:pPr>
              <w:ind w:left="40"/>
              <w:spacing w:after="0"/>
              <w:rPr>
                <w:sz w:val="20"/>
                <w:szCs w:val="20"/>
                <w:color w:val="auto"/>
              </w:rPr>
            </w:pPr>
            <w:r>
              <w:rPr>
                <w:rFonts w:ascii="Arial" w:cs="Arial" w:eastAsia="Arial" w:hAnsi="Arial"/>
                <w:sz w:val="12"/>
                <w:szCs w:val="12"/>
                <w:color w:val="auto"/>
              </w:rPr>
              <w:t>Ameristar</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00" w:type="dxa"/>
            <w:vAlign w:val="bottom"/>
            <w:shd w:val="clear" w:color="auto" w:fill="CCEEFF"/>
          </w:tcPr>
          <w:p>
            <w:pPr>
              <w:ind w:left="40"/>
              <w:spacing w:after="0" w:line="176" w:lineRule="exact"/>
              <w:rPr>
                <w:sz w:val="20"/>
                <w:szCs w:val="20"/>
                <w:color w:val="auto"/>
              </w:rPr>
            </w:pPr>
            <w:r>
              <w:rPr>
                <w:rFonts w:ascii="Arial" w:cs="Arial" w:eastAsia="Arial" w:hAnsi="Arial"/>
                <w:sz w:val="12"/>
                <w:szCs w:val="12"/>
                <w:color w:val="auto"/>
              </w:rPr>
              <w:t xml:space="preserve">Vicksburg </w:t>
            </w:r>
            <w:r>
              <w:rPr>
                <w:rFonts w:ascii="Arial" w:cs="Arial" w:eastAsia="Arial" w:hAnsi="Arial"/>
                <w:sz w:val="19"/>
                <w:szCs w:val="19"/>
                <w:color w:val="auto"/>
                <w:vertAlign w:val="superscript"/>
              </w:rPr>
              <w:t>(1)</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Vicksburg, MS</w:t>
            </w:r>
          </w:p>
        </w:tc>
        <w:tc>
          <w:tcPr>
            <w:tcW w:w="3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128,068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96,106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128,068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96,106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224,174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971</w:t>
            </w:r>
          </w:p>
        </w:tc>
        <w:tc>
          <w:tcPr>
            <w:tcW w:w="920" w:type="dxa"/>
            <w:vAlign w:val="bottom"/>
            <w:shd w:val="clear" w:color="auto" w:fill="CCEEFF"/>
          </w:tcPr>
          <w:p>
            <w:pPr>
              <w:jc w:val="center"/>
              <w:ind w:left="62"/>
              <w:spacing w:after="0"/>
              <w:rPr>
                <w:sz w:val="20"/>
                <w:szCs w:val="20"/>
                <w:color w:val="auto"/>
              </w:rPr>
            </w:pPr>
            <w:r>
              <w:rPr>
                <w:rFonts w:ascii="Arial" w:cs="Arial" w:eastAsia="Arial" w:hAnsi="Arial"/>
                <w:sz w:val="12"/>
                <w:szCs w:val="12"/>
                <w:color w:val="auto"/>
                <w:w w:val="89"/>
              </w:rPr>
              <w:t>1994</w:t>
            </w:r>
          </w:p>
        </w:tc>
        <w:tc>
          <w:tcPr>
            <w:tcW w:w="1080" w:type="dxa"/>
            <w:vAlign w:val="bottom"/>
            <w:shd w:val="clear" w:color="auto" w:fill="CCEEFF"/>
          </w:tcPr>
          <w:p>
            <w:pPr>
              <w:jc w:val="center"/>
              <w:ind w:right="142"/>
              <w:spacing w:after="0"/>
              <w:rPr>
                <w:sz w:val="20"/>
                <w:szCs w:val="20"/>
                <w:color w:val="auto"/>
              </w:rPr>
            </w:pPr>
            <w:r>
              <w:rPr>
                <w:rFonts w:ascii="Arial" w:cs="Arial" w:eastAsia="Arial" w:hAnsi="Arial"/>
                <w:sz w:val="12"/>
                <w:szCs w:val="12"/>
                <w:color w:val="auto"/>
                <w:w w:val="89"/>
              </w:rPr>
              <w:t>4/28/2016</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800" w:type="dxa"/>
            <w:vAlign w:val="bottom"/>
          </w:tcPr>
          <w:p>
            <w:pPr>
              <w:ind w:left="40"/>
              <w:spacing w:after="0"/>
              <w:rPr>
                <w:sz w:val="20"/>
                <w:szCs w:val="20"/>
                <w:color w:val="auto"/>
              </w:rPr>
            </w:pPr>
            <w:r>
              <w:rPr>
                <w:rFonts w:ascii="Arial" w:cs="Arial" w:eastAsia="Arial" w:hAnsi="Arial"/>
                <w:sz w:val="12"/>
                <w:szCs w:val="12"/>
                <w:color w:val="auto"/>
              </w:rPr>
              <w:t>River City</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800" w:type="dxa"/>
            <w:vAlign w:val="bottom"/>
          </w:tcPr>
          <w:p>
            <w:pPr>
              <w:ind w:left="40"/>
              <w:spacing w:after="0" w:line="128" w:lineRule="exact"/>
              <w:rPr>
                <w:sz w:val="20"/>
                <w:szCs w:val="20"/>
                <w:color w:val="auto"/>
              </w:rPr>
            </w:pPr>
            <w:r>
              <w:rPr>
                <w:rFonts w:ascii="Arial" w:cs="Arial" w:eastAsia="Arial" w:hAnsi="Arial"/>
                <w:sz w:val="12"/>
                <w:szCs w:val="12"/>
                <w:color w:val="auto"/>
              </w:rPr>
              <w:t>Casino &amp;</w:t>
            </w: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800" w:type="dxa"/>
            <w:vAlign w:val="bottom"/>
          </w:tcPr>
          <w:p>
            <w:pPr>
              <w:ind w:left="40"/>
              <w:spacing w:after="0" w:line="176" w:lineRule="exact"/>
              <w:rPr>
                <w:sz w:val="20"/>
                <w:szCs w:val="20"/>
                <w:color w:val="auto"/>
              </w:rPr>
            </w:pPr>
            <w:r>
              <w:rPr>
                <w:rFonts w:ascii="Arial" w:cs="Arial" w:eastAsia="Arial" w:hAnsi="Arial"/>
                <w:sz w:val="12"/>
                <w:szCs w:val="12"/>
                <w:color w:val="auto"/>
              </w:rPr>
              <w:t xml:space="preserve">Hotel </w:t>
            </w:r>
            <w:r>
              <w:rPr>
                <w:rFonts w:ascii="Arial" w:cs="Arial" w:eastAsia="Arial" w:hAnsi="Arial"/>
                <w:sz w:val="19"/>
                <w:szCs w:val="19"/>
                <w:color w:val="auto"/>
                <w:vertAlign w:val="superscript"/>
              </w:rPr>
              <w:t>(1)</w:t>
            </w:r>
          </w:p>
        </w:tc>
        <w:tc>
          <w:tcPr>
            <w:tcW w:w="1000" w:type="dxa"/>
            <w:vAlign w:val="bottom"/>
            <w:gridSpan w:val="2"/>
          </w:tcPr>
          <w:p>
            <w:pPr>
              <w:ind w:left="100"/>
              <w:spacing w:after="0"/>
              <w:rPr>
                <w:sz w:val="20"/>
                <w:szCs w:val="20"/>
                <w:color w:val="auto"/>
              </w:rPr>
            </w:pPr>
            <w:r>
              <w:rPr>
                <w:rFonts w:ascii="Arial" w:cs="Arial" w:eastAsia="Arial" w:hAnsi="Arial"/>
                <w:sz w:val="12"/>
                <w:szCs w:val="12"/>
                <w:color w:val="auto"/>
              </w:rPr>
              <w:t>St Louis, MO</w:t>
            </w:r>
          </w:p>
        </w:tc>
        <w:tc>
          <w:tcPr>
            <w:tcW w:w="360" w:type="dxa"/>
            <w:vAlign w:val="bottom"/>
          </w:tcPr>
          <w:p>
            <w:pPr>
              <w:spacing w:after="0"/>
              <w:rPr>
                <w:sz w:val="15"/>
                <w:szCs w:val="15"/>
                <w:color w:val="auto"/>
              </w:rPr>
            </w:pPr>
          </w:p>
        </w:tc>
        <w:tc>
          <w:tcPr>
            <w:tcW w:w="64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8,117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221,038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8,117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221,038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229,155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1,711</w:t>
            </w:r>
          </w:p>
        </w:tc>
        <w:tc>
          <w:tcPr>
            <w:tcW w:w="920" w:type="dxa"/>
            <w:vAlign w:val="bottom"/>
          </w:tcPr>
          <w:p>
            <w:pPr>
              <w:jc w:val="center"/>
              <w:ind w:left="62"/>
              <w:spacing w:after="0"/>
              <w:rPr>
                <w:sz w:val="20"/>
                <w:szCs w:val="20"/>
                <w:color w:val="auto"/>
              </w:rPr>
            </w:pPr>
            <w:r>
              <w:rPr>
                <w:rFonts w:ascii="Arial" w:cs="Arial" w:eastAsia="Arial" w:hAnsi="Arial"/>
                <w:sz w:val="12"/>
                <w:szCs w:val="12"/>
                <w:color w:val="auto"/>
                <w:w w:val="89"/>
              </w:rPr>
              <w:t>2010</w:t>
            </w:r>
          </w:p>
        </w:tc>
        <w:tc>
          <w:tcPr>
            <w:tcW w:w="1080" w:type="dxa"/>
            <w:vAlign w:val="bottom"/>
          </w:tcPr>
          <w:p>
            <w:pPr>
              <w:jc w:val="center"/>
              <w:ind w:right="142"/>
              <w:spacing w:after="0"/>
              <w:rPr>
                <w:sz w:val="20"/>
                <w:szCs w:val="20"/>
                <w:color w:val="auto"/>
              </w:rPr>
            </w:pPr>
            <w:r>
              <w:rPr>
                <w:rFonts w:ascii="Arial" w:cs="Arial" w:eastAsia="Arial" w:hAnsi="Arial"/>
                <w:sz w:val="12"/>
                <w:szCs w:val="12"/>
                <w:color w:val="auto"/>
                <w:w w:val="89"/>
              </w:rPr>
              <w:t>4/28/2016</w:t>
            </w:r>
          </w:p>
        </w:tc>
        <w:tc>
          <w:tcPr>
            <w:tcW w:w="600" w:type="dxa"/>
            <w:vAlign w:val="bottom"/>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800" w:type="dxa"/>
            <w:vAlign w:val="bottom"/>
            <w:shd w:val="clear" w:color="auto" w:fill="CCEEFF"/>
          </w:tcPr>
          <w:p>
            <w:pPr>
              <w:ind w:left="40"/>
              <w:spacing w:after="0"/>
              <w:rPr>
                <w:sz w:val="20"/>
                <w:szCs w:val="20"/>
                <w:color w:val="auto"/>
              </w:rPr>
            </w:pPr>
            <w:r>
              <w:rPr>
                <w:rFonts w:ascii="Arial" w:cs="Arial" w:eastAsia="Arial" w:hAnsi="Arial"/>
                <w:sz w:val="12"/>
                <w:szCs w:val="12"/>
                <w:color w:val="auto"/>
              </w:rPr>
              <w:t>Ameristar</w:t>
            </w:r>
          </w:p>
        </w:tc>
        <w:tc>
          <w:tcPr>
            <w:tcW w:w="1000" w:type="dxa"/>
            <w:vAlign w:val="bottom"/>
            <w:gridSpan w:val="2"/>
            <w:vMerge w:val="restart"/>
            <w:shd w:val="clear" w:color="auto" w:fill="CCEEFF"/>
          </w:tcPr>
          <w:p>
            <w:pPr>
              <w:ind w:left="100"/>
              <w:spacing w:after="0"/>
              <w:rPr>
                <w:sz w:val="20"/>
                <w:szCs w:val="20"/>
                <w:color w:val="auto"/>
              </w:rPr>
            </w:pPr>
            <w:r>
              <w:rPr>
                <w:rFonts w:ascii="Arial" w:cs="Arial" w:eastAsia="Arial" w:hAnsi="Arial"/>
                <w:sz w:val="12"/>
                <w:szCs w:val="12"/>
                <w:color w:val="auto"/>
              </w:rPr>
              <w:t>Kansas City,</w:t>
            </w:r>
          </w:p>
        </w:tc>
        <w:tc>
          <w:tcPr>
            <w:tcW w:w="3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800" w:type="dxa"/>
            <w:vAlign w:val="bottom"/>
            <w:shd w:val="clear" w:color="auto" w:fill="CCEEFF"/>
          </w:tcPr>
          <w:p>
            <w:pPr>
              <w:ind w:left="40"/>
              <w:spacing w:after="0" w:line="114" w:lineRule="exact"/>
              <w:rPr>
                <w:sz w:val="20"/>
                <w:szCs w:val="20"/>
                <w:color w:val="auto"/>
              </w:rPr>
            </w:pPr>
            <w:r>
              <w:rPr>
                <w:rFonts w:ascii="Arial" w:cs="Arial" w:eastAsia="Arial" w:hAnsi="Arial"/>
                <w:sz w:val="12"/>
                <w:szCs w:val="12"/>
                <w:color w:val="auto"/>
              </w:rPr>
              <w:t>Kansas City</w:t>
            </w:r>
          </w:p>
        </w:tc>
        <w:tc>
          <w:tcPr>
            <w:tcW w:w="1000" w:type="dxa"/>
            <w:vAlign w:val="bottom"/>
            <w:gridSpan w:val="2"/>
            <w:vMerge w:val="continue"/>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239,111</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271,598</w:t>
            </w: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239,111</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271,598</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510,709</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2,356</w:t>
            </w:r>
          </w:p>
        </w:tc>
        <w:tc>
          <w:tcPr>
            <w:tcW w:w="920" w:type="dxa"/>
            <w:vAlign w:val="bottom"/>
            <w:vMerge w:val="restart"/>
            <w:shd w:val="clear" w:color="auto" w:fill="CCEEFF"/>
          </w:tcPr>
          <w:p>
            <w:pPr>
              <w:jc w:val="center"/>
              <w:ind w:left="62"/>
              <w:spacing w:after="0"/>
              <w:rPr>
                <w:sz w:val="20"/>
                <w:szCs w:val="20"/>
                <w:color w:val="auto"/>
              </w:rPr>
            </w:pPr>
            <w:r>
              <w:rPr>
                <w:rFonts w:ascii="Arial" w:cs="Arial" w:eastAsia="Arial" w:hAnsi="Arial"/>
                <w:sz w:val="12"/>
                <w:szCs w:val="12"/>
                <w:color w:val="auto"/>
                <w:w w:val="89"/>
              </w:rPr>
              <w:t>1997</w:t>
            </w:r>
          </w:p>
        </w:tc>
        <w:tc>
          <w:tcPr>
            <w:tcW w:w="1080" w:type="dxa"/>
            <w:vAlign w:val="bottom"/>
            <w:vMerge w:val="restart"/>
            <w:shd w:val="clear" w:color="auto" w:fill="CCEEFF"/>
          </w:tcPr>
          <w:p>
            <w:pPr>
              <w:jc w:val="center"/>
              <w:ind w:right="142"/>
              <w:spacing w:after="0"/>
              <w:rPr>
                <w:sz w:val="20"/>
                <w:szCs w:val="20"/>
                <w:color w:val="auto"/>
              </w:rPr>
            </w:pPr>
            <w:r>
              <w:rPr>
                <w:rFonts w:ascii="Arial" w:cs="Arial" w:eastAsia="Arial" w:hAnsi="Arial"/>
                <w:sz w:val="12"/>
                <w:szCs w:val="12"/>
                <w:color w:val="auto"/>
                <w:w w:val="89"/>
              </w:rPr>
              <w:t>4/28/2016</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62"/>
        </w:trPr>
        <w:tc>
          <w:tcPr>
            <w:tcW w:w="800" w:type="dxa"/>
            <w:vAlign w:val="bottom"/>
            <w:shd w:val="clear" w:color="auto" w:fill="CCEEFF"/>
          </w:tcPr>
          <w:p>
            <w:pPr>
              <w:ind w:left="40"/>
              <w:spacing w:after="0"/>
              <w:rPr>
                <w:sz w:val="20"/>
                <w:szCs w:val="20"/>
                <w:color w:val="auto"/>
              </w:rPr>
            </w:pPr>
            <w:r>
              <w:rPr>
                <w:rFonts w:ascii="Arial" w:cs="Arial" w:eastAsia="Arial" w:hAnsi="Arial"/>
                <w:sz w:val="10"/>
                <w:szCs w:val="10"/>
                <w:color w:val="auto"/>
              </w:rPr>
              <w:t>(1)</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MO</w:t>
            </w:r>
          </w:p>
        </w:tc>
        <w:tc>
          <w:tcPr>
            <w:tcW w:w="3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0" w:type="dxa"/>
            <w:vAlign w:val="bottom"/>
          </w:tcPr>
          <w:p>
            <w:pPr>
              <w:ind w:left="40"/>
              <w:spacing w:after="0"/>
              <w:rPr>
                <w:sz w:val="20"/>
                <w:szCs w:val="20"/>
                <w:color w:val="auto"/>
              </w:rPr>
            </w:pPr>
            <w:r>
              <w:rPr>
                <w:rFonts w:ascii="Arial" w:cs="Arial" w:eastAsia="Arial" w:hAnsi="Arial"/>
                <w:sz w:val="12"/>
                <w:szCs w:val="12"/>
                <w:color w:val="auto"/>
              </w:rPr>
              <w:t>Ameristar St.</w:t>
            </w:r>
          </w:p>
        </w:tc>
        <w:tc>
          <w:tcPr>
            <w:tcW w:w="1000" w:type="dxa"/>
            <w:vAlign w:val="bottom"/>
            <w:gridSpan w:val="2"/>
          </w:tcPr>
          <w:p>
            <w:pPr>
              <w:ind w:left="100"/>
              <w:spacing w:after="0"/>
              <w:rPr>
                <w:sz w:val="20"/>
                <w:szCs w:val="20"/>
                <w:color w:val="auto"/>
              </w:rPr>
            </w:pPr>
            <w:r>
              <w:rPr>
                <w:rFonts w:ascii="Arial" w:cs="Arial" w:eastAsia="Arial" w:hAnsi="Arial"/>
                <w:sz w:val="12"/>
                <w:szCs w:val="12"/>
                <w:color w:val="auto"/>
              </w:rPr>
              <w:t>St. Charles,</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00" w:type="dxa"/>
            <w:vAlign w:val="bottom"/>
          </w:tcPr>
          <w:p>
            <w:pPr>
              <w:ind w:left="40"/>
              <w:spacing w:after="0" w:line="176" w:lineRule="exact"/>
              <w:rPr>
                <w:sz w:val="20"/>
                <w:szCs w:val="20"/>
                <w:color w:val="auto"/>
              </w:rPr>
            </w:pPr>
            <w:r>
              <w:rPr>
                <w:rFonts w:ascii="Arial" w:cs="Arial" w:eastAsia="Arial" w:hAnsi="Arial"/>
                <w:sz w:val="12"/>
                <w:szCs w:val="12"/>
                <w:color w:val="auto"/>
              </w:rPr>
              <w:t xml:space="preserve">Charles </w:t>
            </w:r>
            <w:r>
              <w:rPr>
                <w:rFonts w:ascii="Arial" w:cs="Arial" w:eastAsia="Arial" w:hAnsi="Arial"/>
                <w:sz w:val="19"/>
                <w:szCs w:val="19"/>
                <w:color w:val="auto"/>
                <w:vertAlign w:val="superscript"/>
              </w:rPr>
              <w:t>(1)</w:t>
            </w:r>
          </w:p>
        </w:tc>
        <w:tc>
          <w:tcPr>
            <w:tcW w:w="1000" w:type="dxa"/>
            <w:vAlign w:val="bottom"/>
            <w:gridSpan w:val="2"/>
          </w:tcPr>
          <w:p>
            <w:pPr>
              <w:ind w:left="100"/>
              <w:spacing w:after="0"/>
              <w:rPr>
                <w:sz w:val="20"/>
                <w:szCs w:val="20"/>
                <w:color w:val="auto"/>
              </w:rPr>
            </w:pPr>
            <w:r>
              <w:rPr>
                <w:rFonts w:ascii="Arial" w:cs="Arial" w:eastAsia="Arial" w:hAnsi="Arial"/>
                <w:sz w:val="12"/>
                <w:szCs w:val="12"/>
                <w:color w:val="auto"/>
              </w:rPr>
              <w:t>MO</w:t>
            </w:r>
          </w:p>
        </w:tc>
        <w:tc>
          <w:tcPr>
            <w:tcW w:w="360" w:type="dxa"/>
            <w:vAlign w:val="bottom"/>
          </w:tcPr>
          <w:p>
            <w:pPr>
              <w:spacing w:after="0"/>
              <w:rPr>
                <w:sz w:val="15"/>
                <w:szCs w:val="15"/>
                <w:color w:val="auto"/>
              </w:rPr>
            </w:pPr>
          </w:p>
        </w:tc>
        <w:tc>
          <w:tcPr>
            <w:tcW w:w="64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375,597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437,908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375,596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437,908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813,504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3,141</w:t>
            </w:r>
          </w:p>
        </w:tc>
        <w:tc>
          <w:tcPr>
            <w:tcW w:w="920" w:type="dxa"/>
            <w:vAlign w:val="bottom"/>
          </w:tcPr>
          <w:p>
            <w:pPr>
              <w:jc w:val="center"/>
              <w:ind w:left="62"/>
              <w:spacing w:after="0"/>
              <w:rPr>
                <w:sz w:val="20"/>
                <w:szCs w:val="20"/>
                <w:color w:val="auto"/>
              </w:rPr>
            </w:pPr>
            <w:r>
              <w:rPr>
                <w:rFonts w:ascii="Arial" w:cs="Arial" w:eastAsia="Arial" w:hAnsi="Arial"/>
                <w:sz w:val="12"/>
                <w:szCs w:val="12"/>
                <w:color w:val="auto"/>
                <w:w w:val="89"/>
              </w:rPr>
              <w:t>1994</w:t>
            </w:r>
          </w:p>
        </w:tc>
        <w:tc>
          <w:tcPr>
            <w:tcW w:w="1080" w:type="dxa"/>
            <w:vAlign w:val="bottom"/>
          </w:tcPr>
          <w:p>
            <w:pPr>
              <w:jc w:val="center"/>
              <w:ind w:right="142"/>
              <w:spacing w:after="0"/>
              <w:rPr>
                <w:sz w:val="20"/>
                <w:szCs w:val="20"/>
                <w:color w:val="auto"/>
              </w:rPr>
            </w:pPr>
            <w:r>
              <w:rPr>
                <w:rFonts w:ascii="Arial" w:cs="Arial" w:eastAsia="Arial" w:hAnsi="Arial"/>
                <w:sz w:val="12"/>
                <w:szCs w:val="12"/>
                <w:color w:val="auto"/>
                <w:w w:val="89"/>
              </w:rPr>
              <w:t>4/28/2016</w:t>
            </w:r>
          </w:p>
        </w:tc>
        <w:tc>
          <w:tcPr>
            <w:tcW w:w="600" w:type="dxa"/>
            <w:vAlign w:val="bottom"/>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8"/>
        </w:trPr>
        <w:tc>
          <w:tcPr>
            <w:tcW w:w="800" w:type="dxa"/>
            <w:vAlign w:val="bottom"/>
            <w:shd w:val="clear" w:color="auto" w:fill="CCEEFF"/>
          </w:tcPr>
          <w:p>
            <w:pPr>
              <w:ind w:left="40"/>
              <w:spacing w:after="0"/>
              <w:rPr>
                <w:sz w:val="20"/>
                <w:szCs w:val="20"/>
                <w:color w:val="auto"/>
              </w:rPr>
            </w:pPr>
            <w:r>
              <w:rPr>
                <w:rFonts w:ascii="Arial" w:cs="Arial" w:eastAsia="Arial" w:hAnsi="Arial"/>
                <w:sz w:val="12"/>
                <w:szCs w:val="12"/>
                <w:color w:val="auto"/>
              </w:rPr>
              <w:t>Jackpot</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00" w:type="dxa"/>
            <w:vAlign w:val="bottom"/>
            <w:shd w:val="clear" w:color="auto" w:fill="CCEEFF"/>
          </w:tcPr>
          <w:p>
            <w:pPr>
              <w:ind w:left="40"/>
              <w:spacing w:after="0" w:line="176" w:lineRule="exact"/>
              <w:rPr>
                <w:sz w:val="20"/>
                <w:szCs w:val="20"/>
                <w:color w:val="auto"/>
              </w:rPr>
            </w:pPr>
            <w:r>
              <w:rPr>
                <w:rFonts w:ascii="Arial" w:cs="Arial" w:eastAsia="Arial" w:hAnsi="Arial"/>
                <w:sz w:val="12"/>
                <w:szCs w:val="12"/>
                <w:color w:val="auto"/>
              </w:rPr>
              <w:t xml:space="preserve">Properties </w:t>
            </w:r>
            <w:r>
              <w:rPr>
                <w:rFonts w:ascii="Arial" w:cs="Arial" w:eastAsia="Arial" w:hAnsi="Arial"/>
                <w:sz w:val="19"/>
                <w:szCs w:val="19"/>
                <w:color w:val="auto"/>
                <w:vertAlign w:val="superscript"/>
              </w:rPr>
              <w:t>(1)</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Jackpot, NV</w:t>
            </w:r>
          </w:p>
        </w:tc>
        <w:tc>
          <w:tcPr>
            <w:tcW w:w="3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48,785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61,550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48,785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61,550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110,335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1,669</w:t>
            </w:r>
          </w:p>
        </w:tc>
        <w:tc>
          <w:tcPr>
            <w:tcW w:w="920" w:type="dxa"/>
            <w:vAlign w:val="bottom"/>
            <w:shd w:val="clear" w:color="auto" w:fill="CCEEFF"/>
          </w:tcPr>
          <w:p>
            <w:pPr>
              <w:jc w:val="center"/>
              <w:ind w:left="62"/>
              <w:spacing w:after="0"/>
              <w:rPr>
                <w:sz w:val="20"/>
                <w:szCs w:val="20"/>
                <w:color w:val="auto"/>
              </w:rPr>
            </w:pPr>
            <w:r>
              <w:rPr>
                <w:rFonts w:ascii="Arial" w:cs="Arial" w:eastAsia="Arial" w:hAnsi="Arial"/>
                <w:sz w:val="12"/>
                <w:szCs w:val="12"/>
                <w:color w:val="auto"/>
                <w:w w:val="89"/>
              </w:rPr>
              <w:t>1954</w:t>
            </w:r>
          </w:p>
        </w:tc>
        <w:tc>
          <w:tcPr>
            <w:tcW w:w="1080" w:type="dxa"/>
            <w:vAlign w:val="bottom"/>
            <w:shd w:val="clear" w:color="auto" w:fill="CCEEFF"/>
          </w:tcPr>
          <w:p>
            <w:pPr>
              <w:jc w:val="center"/>
              <w:ind w:right="142"/>
              <w:spacing w:after="0"/>
              <w:rPr>
                <w:sz w:val="20"/>
                <w:szCs w:val="20"/>
                <w:color w:val="auto"/>
              </w:rPr>
            </w:pPr>
            <w:r>
              <w:rPr>
                <w:rFonts w:ascii="Arial" w:cs="Arial" w:eastAsia="Arial" w:hAnsi="Arial"/>
                <w:sz w:val="12"/>
                <w:szCs w:val="12"/>
                <w:color w:val="auto"/>
                <w:w w:val="89"/>
              </w:rPr>
              <w:t>4/28/2016</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800" w:type="dxa"/>
            <w:vAlign w:val="bottom"/>
          </w:tcPr>
          <w:p>
            <w:pPr>
              <w:ind w:left="40"/>
              <w:spacing w:after="0"/>
              <w:rPr>
                <w:sz w:val="20"/>
                <w:szCs w:val="20"/>
                <w:color w:val="auto"/>
              </w:rPr>
            </w:pPr>
            <w:r>
              <w:rPr>
                <w:rFonts w:ascii="Arial" w:cs="Arial" w:eastAsia="Arial" w:hAnsi="Arial"/>
                <w:sz w:val="12"/>
                <w:szCs w:val="12"/>
                <w:color w:val="auto"/>
              </w:rPr>
              <w:t>Plainridge</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00" w:type="dxa"/>
            <w:vAlign w:val="bottom"/>
          </w:tcPr>
          <w:p>
            <w:pPr>
              <w:ind w:left="200"/>
              <w:spacing w:after="0" w:line="135" w:lineRule="exact"/>
              <w:rPr>
                <w:sz w:val="20"/>
                <w:szCs w:val="20"/>
                <w:color w:val="auto"/>
              </w:rPr>
            </w:pPr>
            <w:r>
              <w:rPr>
                <w:rFonts w:ascii="Arial" w:cs="Arial" w:eastAsia="Arial" w:hAnsi="Arial"/>
                <w:sz w:val="12"/>
                <w:szCs w:val="12"/>
                <w:color w:val="auto"/>
              </w:rPr>
              <w:t>Park</w:t>
            </w: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00" w:type="dxa"/>
            <w:vAlign w:val="bottom"/>
          </w:tcPr>
          <w:p>
            <w:pPr>
              <w:ind w:left="200"/>
              <w:spacing w:after="0"/>
              <w:rPr>
                <w:sz w:val="20"/>
                <w:szCs w:val="20"/>
                <w:color w:val="auto"/>
              </w:rPr>
            </w:pPr>
            <w:r>
              <w:rPr>
                <w:rFonts w:ascii="Arial" w:cs="Arial" w:eastAsia="Arial" w:hAnsi="Arial"/>
                <w:sz w:val="12"/>
                <w:szCs w:val="12"/>
                <w:color w:val="auto"/>
              </w:rPr>
              <w:t>Casino</w:t>
            </w:r>
          </w:p>
        </w:tc>
        <w:tc>
          <w:tcPr>
            <w:tcW w:w="1000" w:type="dxa"/>
            <w:vAlign w:val="bottom"/>
            <w:gridSpan w:val="2"/>
          </w:tcPr>
          <w:p>
            <w:pPr>
              <w:ind w:left="100"/>
              <w:spacing w:after="0"/>
              <w:rPr>
                <w:sz w:val="20"/>
                <w:szCs w:val="20"/>
                <w:color w:val="auto"/>
              </w:rPr>
            </w:pPr>
            <w:r>
              <w:rPr>
                <w:rFonts w:ascii="Arial" w:cs="Arial" w:eastAsia="Arial" w:hAnsi="Arial"/>
                <w:sz w:val="12"/>
                <w:szCs w:val="12"/>
                <w:color w:val="auto"/>
              </w:rPr>
              <w:t>Plainridge, MA</w:t>
            </w:r>
          </w:p>
        </w:tc>
        <w:tc>
          <w:tcPr>
            <w:tcW w:w="360" w:type="dxa"/>
            <w:vAlign w:val="bottom"/>
          </w:tcPr>
          <w:p>
            <w:pPr>
              <w:spacing w:after="0"/>
              <w:rPr>
                <w:sz w:val="12"/>
                <w:szCs w:val="12"/>
                <w:color w:val="auto"/>
              </w:rPr>
            </w:pPr>
          </w:p>
        </w:tc>
        <w:tc>
          <w:tcPr>
            <w:tcW w:w="64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127,068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123,850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127,068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123,850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250,918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832</w:t>
            </w:r>
          </w:p>
        </w:tc>
        <w:tc>
          <w:tcPr>
            <w:tcW w:w="920" w:type="dxa"/>
            <w:vAlign w:val="bottom"/>
          </w:tcPr>
          <w:p>
            <w:pPr>
              <w:jc w:val="center"/>
              <w:ind w:left="62"/>
              <w:spacing w:after="0"/>
              <w:rPr>
                <w:sz w:val="20"/>
                <w:szCs w:val="20"/>
                <w:color w:val="auto"/>
              </w:rPr>
            </w:pPr>
            <w:r>
              <w:rPr>
                <w:rFonts w:ascii="Arial" w:cs="Arial" w:eastAsia="Arial" w:hAnsi="Arial"/>
                <w:sz w:val="12"/>
                <w:szCs w:val="12"/>
                <w:color w:val="auto"/>
                <w:w w:val="89"/>
              </w:rPr>
              <w:t>2015</w:t>
            </w:r>
          </w:p>
        </w:tc>
        <w:tc>
          <w:tcPr>
            <w:tcW w:w="1080" w:type="dxa"/>
            <w:vAlign w:val="bottom"/>
          </w:tcPr>
          <w:p>
            <w:pPr>
              <w:jc w:val="center"/>
              <w:ind w:right="142"/>
              <w:spacing w:after="0"/>
              <w:rPr>
                <w:sz w:val="20"/>
                <w:szCs w:val="20"/>
                <w:color w:val="auto"/>
              </w:rPr>
            </w:pPr>
            <w:r>
              <w:rPr>
                <w:rFonts w:ascii="Arial" w:cs="Arial" w:eastAsia="Arial" w:hAnsi="Arial"/>
                <w:sz w:val="12"/>
                <w:szCs w:val="12"/>
                <w:color w:val="auto"/>
                <w:w w:val="86"/>
              </w:rPr>
              <w:t>10/15/2018</w:t>
            </w:r>
          </w:p>
        </w:tc>
        <w:tc>
          <w:tcPr>
            <w:tcW w:w="600" w:type="dxa"/>
            <w:vAlign w:val="bottom"/>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 w:type="dxa"/>
            <w:vAlign w:val="bottom"/>
            <w:shd w:val="clear" w:color="auto" w:fill="CCEEFF"/>
          </w:tcPr>
          <w:p>
            <w:pPr>
              <w:ind w:left="40"/>
              <w:spacing w:after="0"/>
              <w:rPr>
                <w:sz w:val="20"/>
                <w:szCs w:val="20"/>
                <w:color w:val="auto"/>
              </w:rPr>
            </w:pPr>
            <w:r>
              <w:rPr>
                <w:rFonts w:ascii="Arial" w:cs="Arial" w:eastAsia="Arial" w:hAnsi="Arial"/>
                <w:sz w:val="12"/>
                <w:szCs w:val="12"/>
                <w:color w:val="auto"/>
                <w:w w:val="98"/>
              </w:rPr>
              <w:t>The Meadows</w:t>
            </w: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0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Racetrack</w:t>
            </w: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w w:val="95"/>
              </w:rPr>
              <w:t>and Casino</w:t>
            </w:r>
          </w:p>
        </w:tc>
        <w:tc>
          <w:tcPr>
            <w:tcW w:w="10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Washington, PA</w:t>
            </w:r>
          </w:p>
        </w:tc>
        <w:tc>
          <w:tcPr>
            <w:tcW w:w="3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181,532</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141,370</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386</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181,918</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141,370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323,288</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12,971</w:t>
            </w:r>
          </w:p>
        </w:tc>
        <w:tc>
          <w:tcPr>
            <w:tcW w:w="920" w:type="dxa"/>
            <w:vAlign w:val="bottom"/>
            <w:tcBorders>
              <w:bottom w:val="single" w:sz="8" w:color="CCEEFF"/>
            </w:tcBorders>
            <w:shd w:val="clear" w:color="auto" w:fill="CCEEFF"/>
          </w:tcPr>
          <w:p>
            <w:pPr>
              <w:jc w:val="center"/>
              <w:ind w:left="62"/>
              <w:spacing w:after="0"/>
              <w:rPr>
                <w:sz w:val="20"/>
                <w:szCs w:val="20"/>
                <w:color w:val="auto"/>
              </w:rPr>
            </w:pPr>
            <w:r>
              <w:rPr>
                <w:rFonts w:ascii="Arial" w:cs="Arial" w:eastAsia="Arial" w:hAnsi="Arial"/>
                <w:sz w:val="12"/>
                <w:szCs w:val="12"/>
                <w:color w:val="auto"/>
                <w:w w:val="89"/>
              </w:rPr>
              <w:t>2006</w:t>
            </w:r>
          </w:p>
        </w:tc>
        <w:tc>
          <w:tcPr>
            <w:tcW w:w="1080" w:type="dxa"/>
            <w:vAlign w:val="bottom"/>
            <w:tcBorders>
              <w:bottom w:val="single" w:sz="8" w:color="CCEEFF"/>
            </w:tcBorders>
            <w:shd w:val="clear" w:color="auto" w:fill="CCEEFF"/>
          </w:tcPr>
          <w:p>
            <w:pPr>
              <w:jc w:val="center"/>
              <w:ind w:right="162"/>
              <w:spacing w:after="0"/>
              <w:rPr>
                <w:sz w:val="20"/>
                <w:szCs w:val="20"/>
                <w:color w:val="auto"/>
              </w:rPr>
            </w:pPr>
            <w:r>
              <w:rPr>
                <w:rFonts w:ascii="Arial" w:cs="Arial" w:eastAsia="Arial" w:hAnsi="Arial"/>
                <w:sz w:val="12"/>
                <w:szCs w:val="12"/>
                <w:color w:val="auto"/>
                <w:w w:val="89"/>
              </w:rPr>
              <w:t>9/9/2016</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000" w:type="dxa"/>
            <w:vAlign w:val="bottom"/>
            <w:gridSpan w:val="2"/>
          </w:tcPr>
          <w:p>
            <w:pPr>
              <w:ind w:left="100"/>
              <w:spacing w:after="0"/>
              <w:rPr>
                <w:sz w:val="20"/>
                <w:szCs w:val="20"/>
                <w:color w:val="auto"/>
              </w:rPr>
            </w:pPr>
            <w:r>
              <w:rPr>
                <w:rFonts w:ascii="Arial" w:cs="Arial" w:eastAsia="Arial" w:hAnsi="Arial"/>
                <w:sz w:val="12"/>
                <w:szCs w:val="12"/>
                <w:color w:val="auto"/>
              </w:rPr>
              <w:t>East St. Louis,</w:t>
            </w: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0" w:type="dxa"/>
            <w:vAlign w:val="bottom"/>
          </w:tcPr>
          <w:p>
            <w:pPr>
              <w:ind w:left="40"/>
              <w:spacing w:after="0"/>
              <w:rPr>
                <w:sz w:val="20"/>
                <w:szCs w:val="20"/>
                <w:color w:val="auto"/>
              </w:rPr>
            </w:pPr>
            <w:r>
              <w:rPr>
                <w:rFonts w:ascii="Arial" w:cs="Arial" w:eastAsia="Arial" w:hAnsi="Arial"/>
                <w:sz w:val="12"/>
                <w:szCs w:val="12"/>
                <w:color w:val="auto"/>
                <w:w w:val="96"/>
              </w:rPr>
              <w:t>Casino Queen</w:t>
            </w:r>
          </w:p>
        </w:tc>
        <w:tc>
          <w:tcPr>
            <w:tcW w:w="1000" w:type="dxa"/>
            <w:vAlign w:val="bottom"/>
            <w:gridSpan w:val="2"/>
          </w:tcPr>
          <w:p>
            <w:pPr>
              <w:ind w:left="100"/>
              <w:spacing w:after="0"/>
              <w:rPr>
                <w:sz w:val="20"/>
                <w:szCs w:val="20"/>
                <w:color w:val="auto"/>
              </w:rPr>
            </w:pPr>
            <w:r>
              <w:rPr>
                <w:rFonts w:ascii="Arial" w:cs="Arial" w:eastAsia="Arial" w:hAnsi="Arial"/>
                <w:sz w:val="12"/>
                <w:szCs w:val="12"/>
                <w:color w:val="auto"/>
              </w:rPr>
              <w:t>IL</w:t>
            </w:r>
          </w:p>
        </w:tc>
        <w:tc>
          <w:tcPr>
            <w:tcW w:w="360" w:type="dxa"/>
            <w:vAlign w:val="bottom"/>
          </w:tcPr>
          <w:p>
            <w:pPr>
              <w:spacing w:after="0"/>
              <w:rPr>
                <w:sz w:val="12"/>
                <w:szCs w:val="12"/>
                <w:color w:val="auto"/>
              </w:rPr>
            </w:pPr>
          </w:p>
        </w:tc>
        <w:tc>
          <w:tcPr>
            <w:tcW w:w="64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70,716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70,014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70,716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70,014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140,730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14,348</w:t>
            </w:r>
          </w:p>
        </w:tc>
        <w:tc>
          <w:tcPr>
            <w:tcW w:w="920" w:type="dxa"/>
            <w:vAlign w:val="bottom"/>
          </w:tcPr>
          <w:p>
            <w:pPr>
              <w:jc w:val="center"/>
              <w:ind w:left="62"/>
              <w:spacing w:after="0"/>
              <w:rPr>
                <w:sz w:val="20"/>
                <w:szCs w:val="20"/>
                <w:color w:val="auto"/>
              </w:rPr>
            </w:pPr>
            <w:r>
              <w:rPr>
                <w:rFonts w:ascii="Arial" w:cs="Arial" w:eastAsia="Arial" w:hAnsi="Arial"/>
                <w:sz w:val="12"/>
                <w:szCs w:val="12"/>
                <w:color w:val="auto"/>
                <w:w w:val="89"/>
              </w:rPr>
              <w:t>1999</w:t>
            </w:r>
          </w:p>
        </w:tc>
        <w:tc>
          <w:tcPr>
            <w:tcW w:w="1080" w:type="dxa"/>
            <w:vAlign w:val="bottom"/>
          </w:tcPr>
          <w:p>
            <w:pPr>
              <w:jc w:val="center"/>
              <w:ind w:right="142"/>
              <w:spacing w:after="0"/>
              <w:rPr>
                <w:sz w:val="20"/>
                <w:szCs w:val="20"/>
                <w:color w:val="auto"/>
              </w:rPr>
            </w:pPr>
            <w:r>
              <w:rPr>
                <w:rFonts w:ascii="Arial" w:cs="Arial" w:eastAsia="Arial" w:hAnsi="Arial"/>
                <w:sz w:val="12"/>
                <w:szCs w:val="12"/>
                <w:color w:val="auto"/>
                <w:w w:val="89"/>
              </w:rPr>
              <w:t>1/23/2014</w:t>
            </w:r>
          </w:p>
        </w:tc>
        <w:tc>
          <w:tcPr>
            <w:tcW w:w="600" w:type="dxa"/>
            <w:vAlign w:val="bottom"/>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 w:type="dxa"/>
            <w:vAlign w:val="bottom"/>
            <w:shd w:val="clear" w:color="auto" w:fill="CCEEFF"/>
          </w:tcPr>
          <w:p>
            <w:pPr>
              <w:ind w:left="40"/>
              <w:spacing w:after="0"/>
              <w:rPr>
                <w:sz w:val="20"/>
                <w:szCs w:val="20"/>
                <w:color w:val="auto"/>
              </w:rPr>
            </w:pPr>
            <w:r>
              <w:rPr>
                <w:rFonts w:ascii="Arial" w:cs="Arial" w:eastAsia="Arial" w:hAnsi="Arial"/>
                <w:sz w:val="12"/>
                <w:szCs w:val="12"/>
                <w:color w:val="auto"/>
              </w:rPr>
              <w:t>Tropicana</w:t>
            </w: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0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Atlantic</w:t>
            </w:r>
          </w:p>
        </w:tc>
        <w:tc>
          <w:tcPr>
            <w:tcW w:w="10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Atlantic City,</w:t>
            </w: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City</w:t>
            </w:r>
          </w:p>
        </w:tc>
        <w:tc>
          <w:tcPr>
            <w:tcW w:w="10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NJ</w:t>
            </w:r>
          </w:p>
        </w:tc>
        <w:tc>
          <w:tcPr>
            <w:tcW w:w="3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166,974</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392,923</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166,974</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392,923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559,897</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2,711</w:t>
            </w:r>
          </w:p>
        </w:tc>
        <w:tc>
          <w:tcPr>
            <w:tcW w:w="920" w:type="dxa"/>
            <w:vAlign w:val="bottom"/>
            <w:tcBorders>
              <w:bottom w:val="single" w:sz="8" w:color="CCEEFF"/>
            </w:tcBorders>
            <w:shd w:val="clear" w:color="auto" w:fill="CCEEFF"/>
          </w:tcPr>
          <w:p>
            <w:pPr>
              <w:jc w:val="center"/>
              <w:ind w:left="62"/>
              <w:spacing w:after="0"/>
              <w:rPr>
                <w:sz w:val="20"/>
                <w:szCs w:val="20"/>
                <w:color w:val="auto"/>
              </w:rPr>
            </w:pPr>
            <w:r>
              <w:rPr>
                <w:rFonts w:ascii="Arial" w:cs="Arial" w:eastAsia="Arial" w:hAnsi="Arial"/>
                <w:sz w:val="12"/>
                <w:szCs w:val="12"/>
                <w:color w:val="auto"/>
                <w:w w:val="89"/>
              </w:rPr>
              <w:t>1981</w:t>
            </w:r>
          </w:p>
        </w:tc>
        <w:tc>
          <w:tcPr>
            <w:tcW w:w="1080" w:type="dxa"/>
            <w:vAlign w:val="bottom"/>
            <w:tcBorders>
              <w:bottom w:val="single" w:sz="8" w:color="CCEEFF"/>
            </w:tcBorders>
            <w:shd w:val="clear" w:color="auto" w:fill="CCEEFF"/>
          </w:tcPr>
          <w:p>
            <w:pPr>
              <w:jc w:val="center"/>
              <w:ind w:right="142"/>
              <w:spacing w:after="0"/>
              <w:rPr>
                <w:sz w:val="20"/>
                <w:szCs w:val="20"/>
                <w:color w:val="auto"/>
              </w:rPr>
            </w:pPr>
            <w:r>
              <w:rPr>
                <w:rFonts w:ascii="Arial" w:cs="Arial" w:eastAsia="Arial" w:hAnsi="Arial"/>
                <w:sz w:val="12"/>
                <w:szCs w:val="12"/>
                <w:color w:val="auto"/>
                <w:w w:val="89"/>
              </w:rPr>
              <w:t>10/1/2018</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800" w:type="dxa"/>
            <w:vAlign w:val="bottom"/>
          </w:tcPr>
          <w:p>
            <w:pPr>
              <w:ind w:left="40"/>
              <w:spacing w:after="0"/>
              <w:rPr>
                <w:sz w:val="20"/>
                <w:szCs w:val="20"/>
                <w:color w:val="auto"/>
              </w:rPr>
            </w:pPr>
            <w:r>
              <w:rPr>
                <w:rFonts w:ascii="Arial" w:cs="Arial" w:eastAsia="Arial" w:hAnsi="Arial"/>
                <w:sz w:val="12"/>
                <w:szCs w:val="12"/>
                <w:color w:val="auto"/>
              </w:rPr>
              <w:t>Tropicana</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0" w:type="dxa"/>
            <w:vAlign w:val="bottom"/>
          </w:tcPr>
          <w:p>
            <w:pPr>
              <w:ind w:left="200"/>
              <w:spacing w:after="0"/>
              <w:rPr>
                <w:sz w:val="20"/>
                <w:szCs w:val="20"/>
                <w:color w:val="auto"/>
              </w:rPr>
            </w:pPr>
            <w:r>
              <w:rPr>
                <w:rFonts w:ascii="Arial" w:cs="Arial" w:eastAsia="Arial" w:hAnsi="Arial"/>
                <w:sz w:val="12"/>
                <w:szCs w:val="12"/>
                <w:color w:val="auto"/>
              </w:rPr>
              <w:t>Evansville</w:t>
            </w:r>
          </w:p>
        </w:tc>
        <w:tc>
          <w:tcPr>
            <w:tcW w:w="1000" w:type="dxa"/>
            <w:vAlign w:val="bottom"/>
            <w:gridSpan w:val="2"/>
          </w:tcPr>
          <w:p>
            <w:pPr>
              <w:ind w:left="100"/>
              <w:spacing w:after="0"/>
              <w:rPr>
                <w:sz w:val="20"/>
                <w:szCs w:val="20"/>
                <w:color w:val="auto"/>
              </w:rPr>
            </w:pPr>
            <w:r>
              <w:rPr>
                <w:rFonts w:ascii="Arial" w:cs="Arial" w:eastAsia="Arial" w:hAnsi="Arial"/>
                <w:sz w:val="12"/>
                <w:szCs w:val="12"/>
                <w:color w:val="auto"/>
              </w:rPr>
              <w:t>Evansville, IN</w:t>
            </w:r>
          </w:p>
        </w:tc>
        <w:tc>
          <w:tcPr>
            <w:tcW w:w="360" w:type="dxa"/>
            <w:vAlign w:val="bottom"/>
          </w:tcPr>
          <w:p>
            <w:pPr>
              <w:spacing w:after="0"/>
              <w:rPr>
                <w:sz w:val="12"/>
                <w:szCs w:val="12"/>
                <w:color w:val="auto"/>
              </w:rPr>
            </w:pPr>
          </w:p>
        </w:tc>
        <w:tc>
          <w:tcPr>
            <w:tcW w:w="64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47,439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146,930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47,439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146,930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194,369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987</w:t>
            </w:r>
          </w:p>
        </w:tc>
        <w:tc>
          <w:tcPr>
            <w:tcW w:w="920" w:type="dxa"/>
            <w:vAlign w:val="bottom"/>
          </w:tcPr>
          <w:p>
            <w:pPr>
              <w:jc w:val="center"/>
              <w:ind w:left="62"/>
              <w:spacing w:after="0"/>
              <w:rPr>
                <w:sz w:val="20"/>
                <w:szCs w:val="20"/>
                <w:color w:val="auto"/>
              </w:rPr>
            </w:pPr>
            <w:r>
              <w:rPr>
                <w:rFonts w:ascii="Arial" w:cs="Arial" w:eastAsia="Arial" w:hAnsi="Arial"/>
                <w:sz w:val="12"/>
                <w:szCs w:val="12"/>
                <w:color w:val="auto"/>
                <w:w w:val="89"/>
              </w:rPr>
              <w:t>1995</w:t>
            </w:r>
          </w:p>
        </w:tc>
        <w:tc>
          <w:tcPr>
            <w:tcW w:w="1080" w:type="dxa"/>
            <w:vAlign w:val="bottom"/>
          </w:tcPr>
          <w:p>
            <w:pPr>
              <w:jc w:val="center"/>
              <w:ind w:right="142"/>
              <w:spacing w:after="0"/>
              <w:rPr>
                <w:sz w:val="20"/>
                <w:szCs w:val="20"/>
                <w:color w:val="auto"/>
              </w:rPr>
            </w:pPr>
            <w:r>
              <w:rPr>
                <w:rFonts w:ascii="Arial" w:cs="Arial" w:eastAsia="Arial" w:hAnsi="Arial"/>
                <w:sz w:val="12"/>
                <w:szCs w:val="12"/>
                <w:color w:val="auto"/>
                <w:w w:val="89"/>
              </w:rPr>
              <w:t>10/1/2018</w:t>
            </w:r>
          </w:p>
        </w:tc>
        <w:tc>
          <w:tcPr>
            <w:tcW w:w="600" w:type="dxa"/>
            <w:vAlign w:val="bottom"/>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 w:type="dxa"/>
            <w:vAlign w:val="bottom"/>
            <w:shd w:val="clear" w:color="auto" w:fill="CCEEFF"/>
          </w:tcPr>
          <w:p>
            <w:pPr>
              <w:ind w:left="40"/>
              <w:spacing w:after="0"/>
              <w:rPr>
                <w:sz w:val="20"/>
                <w:szCs w:val="20"/>
                <w:color w:val="auto"/>
              </w:rPr>
            </w:pPr>
            <w:r>
              <w:rPr>
                <w:rFonts w:ascii="Arial" w:cs="Arial" w:eastAsia="Arial" w:hAnsi="Arial"/>
                <w:sz w:val="12"/>
                <w:szCs w:val="12"/>
                <w:color w:val="auto"/>
              </w:rPr>
              <w:t>Tropicana</w:t>
            </w: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Laughlin</w:t>
            </w:r>
          </w:p>
        </w:tc>
        <w:tc>
          <w:tcPr>
            <w:tcW w:w="10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Laughlin, NV</w:t>
            </w:r>
          </w:p>
        </w:tc>
        <w:tc>
          <w:tcPr>
            <w:tcW w:w="3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20,671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80,530</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20,671</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80,530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101,201</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606</w:t>
            </w:r>
          </w:p>
        </w:tc>
        <w:tc>
          <w:tcPr>
            <w:tcW w:w="920" w:type="dxa"/>
            <w:vAlign w:val="bottom"/>
            <w:tcBorders>
              <w:bottom w:val="single" w:sz="8" w:color="CCEEFF"/>
            </w:tcBorders>
            <w:shd w:val="clear" w:color="auto" w:fill="CCEEFF"/>
          </w:tcPr>
          <w:p>
            <w:pPr>
              <w:jc w:val="center"/>
              <w:ind w:left="62"/>
              <w:spacing w:after="0"/>
              <w:rPr>
                <w:sz w:val="20"/>
                <w:szCs w:val="20"/>
                <w:color w:val="auto"/>
              </w:rPr>
            </w:pPr>
            <w:r>
              <w:rPr>
                <w:rFonts w:ascii="Arial" w:cs="Arial" w:eastAsia="Arial" w:hAnsi="Arial"/>
                <w:sz w:val="12"/>
                <w:szCs w:val="12"/>
                <w:color w:val="auto"/>
                <w:w w:val="89"/>
              </w:rPr>
              <w:t>1988</w:t>
            </w:r>
          </w:p>
        </w:tc>
        <w:tc>
          <w:tcPr>
            <w:tcW w:w="1080" w:type="dxa"/>
            <w:vAlign w:val="bottom"/>
            <w:tcBorders>
              <w:bottom w:val="single" w:sz="8" w:color="CCEEFF"/>
            </w:tcBorders>
            <w:shd w:val="clear" w:color="auto" w:fill="CCEEFF"/>
          </w:tcPr>
          <w:p>
            <w:pPr>
              <w:jc w:val="center"/>
              <w:ind w:right="142"/>
              <w:spacing w:after="0"/>
              <w:rPr>
                <w:sz w:val="20"/>
                <w:szCs w:val="20"/>
                <w:color w:val="auto"/>
              </w:rPr>
            </w:pPr>
            <w:r>
              <w:rPr>
                <w:rFonts w:ascii="Arial" w:cs="Arial" w:eastAsia="Arial" w:hAnsi="Arial"/>
                <w:sz w:val="12"/>
                <w:szCs w:val="12"/>
                <w:color w:val="auto"/>
                <w:w w:val="89"/>
              </w:rPr>
              <w:t>10/1/2018</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56"/>
        </w:trPr>
        <w:tc>
          <w:tcPr>
            <w:tcW w:w="800" w:type="dxa"/>
            <w:vAlign w:val="bottom"/>
          </w:tcPr>
          <w:p>
            <w:pPr>
              <w:ind w:left="40"/>
              <w:spacing w:after="0"/>
              <w:rPr>
                <w:sz w:val="20"/>
                <w:szCs w:val="20"/>
                <w:color w:val="auto"/>
              </w:rPr>
            </w:pPr>
            <w:r>
              <w:rPr>
                <w:rFonts w:ascii="Arial" w:cs="Arial" w:eastAsia="Arial" w:hAnsi="Arial"/>
                <w:sz w:val="12"/>
                <w:szCs w:val="12"/>
                <w:color w:val="auto"/>
              </w:rPr>
              <w:t>Trop Casino</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0" w:type="dxa"/>
            <w:vAlign w:val="bottom"/>
          </w:tcPr>
          <w:p>
            <w:pPr>
              <w:ind w:left="200"/>
              <w:spacing w:after="0"/>
              <w:rPr>
                <w:sz w:val="20"/>
                <w:szCs w:val="20"/>
                <w:color w:val="auto"/>
              </w:rPr>
            </w:pPr>
            <w:r>
              <w:rPr>
                <w:rFonts w:ascii="Arial" w:cs="Arial" w:eastAsia="Arial" w:hAnsi="Arial"/>
                <w:sz w:val="12"/>
                <w:szCs w:val="12"/>
                <w:color w:val="auto"/>
              </w:rPr>
              <w:t>Greenville</w:t>
            </w:r>
          </w:p>
        </w:tc>
        <w:tc>
          <w:tcPr>
            <w:tcW w:w="1000" w:type="dxa"/>
            <w:vAlign w:val="bottom"/>
            <w:gridSpan w:val="2"/>
          </w:tcPr>
          <w:p>
            <w:pPr>
              <w:ind w:left="100"/>
              <w:spacing w:after="0"/>
              <w:rPr>
                <w:sz w:val="20"/>
                <w:szCs w:val="20"/>
                <w:color w:val="auto"/>
              </w:rPr>
            </w:pPr>
            <w:r>
              <w:rPr>
                <w:rFonts w:ascii="Arial" w:cs="Arial" w:eastAsia="Arial" w:hAnsi="Arial"/>
                <w:sz w:val="12"/>
                <w:szCs w:val="12"/>
                <w:color w:val="auto"/>
              </w:rPr>
              <w:t>Greenville, MS</w:t>
            </w:r>
          </w:p>
        </w:tc>
        <w:tc>
          <w:tcPr>
            <w:tcW w:w="360" w:type="dxa"/>
            <w:vAlign w:val="bottom"/>
          </w:tcPr>
          <w:p>
            <w:pPr>
              <w:spacing w:after="0"/>
              <w:rPr>
                <w:sz w:val="12"/>
                <w:szCs w:val="12"/>
                <w:color w:val="auto"/>
              </w:rPr>
            </w:pPr>
          </w:p>
        </w:tc>
        <w:tc>
          <w:tcPr>
            <w:tcW w:w="64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21,680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21,680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21,680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146</w:t>
            </w:r>
          </w:p>
        </w:tc>
        <w:tc>
          <w:tcPr>
            <w:tcW w:w="920" w:type="dxa"/>
            <w:vAlign w:val="bottom"/>
          </w:tcPr>
          <w:p>
            <w:pPr>
              <w:jc w:val="center"/>
              <w:ind w:left="62"/>
              <w:spacing w:after="0"/>
              <w:rPr>
                <w:sz w:val="20"/>
                <w:szCs w:val="20"/>
                <w:color w:val="auto"/>
              </w:rPr>
            </w:pPr>
            <w:r>
              <w:rPr>
                <w:rFonts w:ascii="Arial" w:cs="Arial" w:eastAsia="Arial" w:hAnsi="Arial"/>
                <w:sz w:val="12"/>
                <w:szCs w:val="12"/>
                <w:color w:val="auto"/>
                <w:w w:val="89"/>
              </w:rPr>
              <w:t>2012</w:t>
            </w:r>
          </w:p>
        </w:tc>
        <w:tc>
          <w:tcPr>
            <w:tcW w:w="1080" w:type="dxa"/>
            <w:vAlign w:val="bottom"/>
          </w:tcPr>
          <w:p>
            <w:pPr>
              <w:jc w:val="center"/>
              <w:ind w:right="142"/>
              <w:spacing w:after="0"/>
              <w:rPr>
                <w:sz w:val="20"/>
                <w:szCs w:val="20"/>
                <w:color w:val="auto"/>
              </w:rPr>
            </w:pPr>
            <w:r>
              <w:rPr>
                <w:rFonts w:ascii="Arial" w:cs="Arial" w:eastAsia="Arial" w:hAnsi="Arial"/>
                <w:sz w:val="12"/>
                <w:szCs w:val="12"/>
                <w:color w:val="auto"/>
                <w:w w:val="89"/>
              </w:rPr>
              <w:t>10/1/2018</w:t>
            </w:r>
          </w:p>
        </w:tc>
        <w:tc>
          <w:tcPr>
            <w:tcW w:w="600" w:type="dxa"/>
            <w:vAlign w:val="bottom"/>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 w:type="dxa"/>
            <w:vAlign w:val="bottom"/>
            <w:shd w:val="clear" w:color="auto" w:fill="CCEEFF"/>
          </w:tcPr>
          <w:p>
            <w:pPr>
              <w:ind w:left="40"/>
              <w:spacing w:after="0"/>
              <w:rPr>
                <w:sz w:val="20"/>
                <w:szCs w:val="20"/>
                <w:color w:val="auto"/>
              </w:rPr>
            </w:pPr>
            <w:r>
              <w:rPr>
                <w:rFonts w:ascii="Arial" w:cs="Arial" w:eastAsia="Arial" w:hAnsi="Arial"/>
                <w:sz w:val="12"/>
                <w:szCs w:val="12"/>
                <w:color w:val="auto"/>
                <w:w w:val="98"/>
              </w:rPr>
              <w:t>Belle of Baton</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Baton Rouge,</w:t>
            </w:r>
          </w:p>
        </w:tc>
        <w:tc>
          <w:tcPr>
            <w:tcW w:w="3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Rouge</w:t>
            </w:r>
          </w:p>
        </w:tc>
        <w:tc>
          <w:tcPr>
            <w:tcW w:w="10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LA</w:t>
            </w:r>
          </w:p>
        </w:tc>
        <w:tc>
          <w:tcPr>
            <w:tcW w:w="3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11,873</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52,400</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11,873</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52,400</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64,273</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545</w:t>
            </w:r>
          </w:p>
        </w:tc>
        <w:tc>
          <w:tcPr>
            <w:tcW w:w="920" w:type="dxa"/>
            <w:vAlign w:val="bottom"/>
            <w:tcBorders>
              <w:bottom w:val="single" w:sz="8" w:color="CCEEFF"/>
            </w:tcBorders>
            <w:shd w:val="clear" w:color="auto" w:fill="CCEEFF"/>
          </w:tcPr>
          <w:p>
            <w:pPr>
              <w:jc w:val="center"/>
              <w:ind w:left="62"/>
              <w:spacing w:after="0"/>
              <w:rPr>
                <w:sz w:val="20"/>
                <w:szCs w:val="20"/>
                <w:color w:val="auto"/>
              </w:rPr>
            </w:pPr>
            <w:r>
              <w:rPr>
                <w:rFonts w:ascii="Arial" w:cs="Arial" w:eastAsia="Arial" w:hAnsi="Arial"/>
                <w:sz w:val="12"/>
                <w:szCs w:val="12"/>
                <w:color w:val="auto"/>
                <w:w w:val="89"/>
              </w:rPr>
              <w:t>1994</w:t>
            </w:r>
          </w:p>
        </w:tc>
        <w:tc>
          <w:tcPr>
            <w:tcW w:w="1080" w:type="dxa"/>
            <w:vAlign w:val="bottom"/>
            <w:tcBorders>
              <w:bottom w:val="single" w:sz="8" w:color="CCEEFF"/>
            </w:tcBorders>
            <w:shd w:val="clear" w:color="auto" w:fill="CCEEFF"/>
          </w:tcPr>
          <w:p>
            <w:pPr>
              <w:jc w:val="center"/>
              <w:ind w:right="142"/>
              <w:spacing w:after="0"/>
              <w:rPr>
                <w:sz w:val="20"/>
                <w:szCs w:val="20"/>
                <w:color w:val="auto"/>
              </w:rPr>
            </w:pPr>
            <w:r>
              <w:rPr>
                <w:rFonts w:ascii="Arial" w:cs="Arial" w:eastAsia="Arial" w:hAnsi="Arial"/>
                <w:sz w:val="12"/>
                <w:szCs w:val="12"/>
                <w:color w:val="auto"/>
                <w:w w:val="89"/>
              </w:rPr>
              <w:t>10/1/2018</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top w:val="single" w:sz="8" w:color="auto"/>
            </w:tcBorders>
          </w:tcPr>
          <w:p>
            <w:pPr>
              <w:jc w:val="right"/>
              <w:ind w:right="222"/>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tcBorders>
          </w:tcPr>
          <w:p>
            <w:pPr>
              <w:ind w:left="3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w w:val="93"/>
              </w:rPr>
              <w:t>2,548,529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w w:val="97"/>
              </w:rPr>
              <w:t>5,573,416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176,531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w w:val="93"/>
              </w:rPr>
              <w:t>2,544,928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w w:val="97"/>
              </w:rPr>
              <w:t>5,753,547</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w w:val="86"/>
              </w:rPr>
              <w:t>8,298,475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982,203</w:t>
            </w:r>
          </w:p>
        </w:tc>
        <w:tc>
          <w:tcPr>
            <w:tcW w:w="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 w:type="dxa"/>
            <w:vAlign w:val="bottom"/>
            <w:shd w:val="clear" w:color="auto" w:fill="CCEEFF"/>
          </w:tcPr>
          <w:p>
            <w:pPr>
              <w:ind w:left="40"/>
              <w:spacing w:after="0"/>
              <w:rPr>
                <w:sz w:val="20"/>
                <w:szCs w:val="20"/>
                <w:color w:val="auto"/>
              </w:rPr>
            </w:pPr>
            <w:r>
              <w:rPr>
                <w:rFonts w:ascii="Arial" w:cs="Arial" w:eastAsia="Arial" w:hAnsi="Arial"/>
                <w:sz w:val="12"/>
                <w:szCs w:val="12"/>
                <w:b w:val="1"/>
                <w:bCs w:val="1"/>
                <w:i w:val="1"/>
                <w:iCs w:val="1"/>
                <w:color w:val="auto"/>
                <w:w w:val="95"/>
              </w:rPr>
              <w:t>Headquarters</w:t>
            </w: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i w:val="1"/>
                <w:iCs w:val="1"/>
                <w:color w:val="auto"/>
              </w:rPr>
              <w:t>Property:</w:t>
            </w:r>
          </w:p>
        </w:tc>
        <w:tc>
          <w:tcPr>
            <w:tcW w:w="8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00" w:type="dxa"/>
            <w:vAlign w:val="bottom"/>
          </w:tcPr>
          <w:p>
            <w:pPr>
              <w:ind w:left="40"/>
              <w:spacing w:after="0"/>
              <w:rPr>
                <w:sz w:val="20"/>
                <w:szCs w:val="20"/>
                <w:color w:val="auto"/>
              </w:rPr>
            </w:pPr>
            <w:r>
              <w:rPr>
                <w:rFonts w:ascii="Arial" w:cs="Arial" w:eastAsia="Arial" w:hAnsi="Arial"/>
                <w:sz w:val="12"/>
                <w:szCs w:val="12"/>
                <w:color w:val="auto"/>
              </w:rPr>
              <w:t>GLPI</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800" w:type="dxa"/>
            <w:vAlign w:val="bottom"/>
          </w:tcPr>
          <w:p>
            <w:pPr>
              <w:ind w:left="40"/>
              <w:spacing w:after="0" w:line="128" w:lineRule="exact"/>
              <w:rPr>
                <w:sz w:val="20"/>
                <w:szCs w:val="20"/>
                <w:color w:val="auto"/>
              </w:rPr>
            </w:pPr>
            <w:r>
              <w:rPr>
                <w:rFonts w:ascii="Arial" w:cs="Arial" w:eastAsia="Arial" w:hAnsi="Arial"/>
                <w:sz w:val="12"/>
                <w:szCs w:val="12"/>
                <w:color w:val="auto"/>
              </w:rPr>
              <w:t>Corporate</w:t>
            </w:r>
          </w:p>
        </w:tc>
        <w:tc>
          <w:tcPr>
            <w:tcW w:w="1000" w:type="dxa"/>
            <w:vAlign w:val="bottom"/>
            <w:gridSpan w:val="2"/>
          </w:tcPr>
          <w:p>
            <w:pPr>
              <w:ind w:left="100"/>
              <w:spacing w:after="0" w:line="128" w:lineRule="exact"/>
              <w:rPr>
                <w:sz w:val="20"/>
                <w:szCs w:val="20"/>
                <w:color w:val="auto"/>
              </w:rPr>
            </w:pPr>
            <w:r>
              <w:rPr>
                <w:rFonts w:ascii="Arial" w:cs="Arial" w:eastAsia="Arial" w:hAnsi="Arial"/>
                <w:sz w:val="12"/>
                <w:szCs w:val="12"/>
                <w:color w:val="auto"/>
              </w:rPr>
              <w:t>Wyomissing,</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800" w:type="dxa"/>
            <w:vAlign w:val="bottom"/>
          </w:tcPr>
          <w:p>
            <w:pPr>
              <w:ind w:left="40"/>
              <w:spacing w:after="0" w:line="176" w:lineRule="exact"/>
              <w:rPr>
                <w:sz w:val="20"/>
                <w:szCs w:val="20"/>
                <w:color w:val="auto"/>
              </w:rPr>
            </w:pPr>
            <w:r>
              <w:rPr>
                <w:rFonts w:ascii="Arial" w:cs="Arial" w:eastAsia="Arial" w:hAnsi="Arial"/>
                <w:sz w:val="12"/>
                <w:szCs w:val="12"/>
                <w:color w:val="auto"/>
              </w:rPr>
              <w:t xml:space="preserve">Office </w:t>
            </w:r>
            <w:r>
              <w:rPr>
                <w:rFonts w:ascii="Arial" w:cs="Arial" w:eastAsia="Arial" w:hAnsi="Arial"/>
                <w:sz w:val="19"/>
                <w:szCs w:val="19"/>
                <w:color w:val="auto"/>
                <w:vertAlign w:val="superscript"/>
              </w:rPr>
              <w:t>(3)</w:t>
            </w:r>
          </w:p>
        </w:tc>
        <w:tc>
          <w:tcPr>
            <w:tcW w:w="1000" w:type="dxa"/>
            <w:vAlign w:val="bottom"/>
            <w:gridSpan w:val="2"/>
          </w:tcPr>
          <w:p>
            <w:pPr>
              <w:ind w:left="100"/>
              <w:spacing w:after="0"/>
              <w:rPr>
                <w:sz w:val="20"/>
                <w:szCs w:val="20"/>
                <w:color w:val="auto"/>
              </w:rPr>
            </w:pPr>
            <w:r>
              <w:rPr>
                <w:rFonts w:ascii="Arial" w:cs="Arial" w:eastAsia="Arial" w:hAnsi="Arial"/>
                <w:sz w:val="12"/>
                <w:szCs w:val="12"/>
                <w:color w:val="auto"/>
              </w:rPr>
              <w:t>PA</w:t>
            </w:r>
          </w:p>
        </w:tc>
        <w:tc>
          <w:tcPr>
            <w:tcW w:w="360" w:type="dxa"/>
            <w:vAlign w:val="bottom"/>
          </w:tcPr>
          <w:p>
            <w:pPr>
              <w:jc w:val="right"/>
              <w:ind w:right="222"/>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750</w:t>
            </w:r>
          </w:p>
        </w:tc>
        <w:tc>
          <w:tcPr>
            <w:tcW w:w="100" w:type="dxa"/>
            <w:vAlign w:val="bottom"/>
          </w:tcPr>
          <w:p>
            <w:pPr>
              <w:spacing w:after="0"/>
              <w:rPr>
                <w:sz w:val="15"/>
                <w:szCs w:val="15"/>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8,465</w:t>
            </w:r>
          </w:p>
        </w:tc>
        <w:tc>
          <w:tcPr>
            <w:tcW w:w="120" w:type="dxa"/>
            <w:vAlign w:val="bottom"/>
          </w:tcPr>
          <w:p>
            <w:pPr>
              <w:spacing w:after="0"/>
              <w:rPr>
                <w:sz w:val="15"/>
                <w:szCs w:val="15"/>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58</w:t>
            </w:r>
          </w:p>
        </w:tc>
        <w:tc>
          <w:tcPr>
            <w:tcW w:w="100" w:type="dxa"/>
            <w:vAlign w:val="bottom"/>
          </w:tcPr>
          <w:p>
            <w:pPr>
              <w:spacing w:after="0"/>
              <w:rPr>
                <w:sz w:val="15"/>
                <w:szCs w:val="15"/>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750</w:t>
            </w:r>
          </w:p>
        </w:tc>
        <w:tc>
          <w:tcPr>
            <w:tcW w:w="120" w:type="dxa"/>
            <w:vAlign w:val="bottom"/>
          </w:tcPr>
          <w:p>
            <w:pPr>
              <w:spacing w:after="0"/>
              <w:rPr>
                <w:sz w:val="15"/>
                <w:szCs w:val="15"/>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8,523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9,273</w:t>
            </w:r>
          </w:p>
        </w:tc>
        <w:tc>
          <w:tcPr>
            <w:tcW w:w="100" w:type="dxa"/>
            <w:vAlign w:val="bottom"/>
          </w:tcPr>
          <w:p>
            <w:pPr>
              <w:spacing w:after="0"/>
              <w:rPr>
                <w:sz w:val="15"/>
                <w:szCs w:val="15"/>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883</w:t>
            </w:r>
          </w:p>
        </w:tc>
        <w:tc>
          <w:tcPr>
            <w:tcW w:w="920" w:type="dxa"/>
            <w:vAlign w:val="bottom"/>
          </w:tcPr>
          <w:p>
            <w:pPr>
              <w:jc w:val="center"/>
              <w:ind w:left="42"/>
              <w:spacing w:after="0"/>
              <w:rPr>
                <w:sz w:val="20"/>
                <w:szCs w:val="20"/>
                <w:color w:val="auto"/>
              </w:rPr>
            </w:pPr>
            <w:r>
              <w:rPr>
                <w:rFonts w:ascii="Arial" w:cs="Arial" w:eastAsia="Arial" w:hAnsi="Arial"/>
                <w:sz w:val="12"/>
                <w:szCs w:val="12"/>
                <w:color w:val="auto"/>
                <w:w w:val="88"/>
              </w:rPr>
              <w:t>2014/2015</w:t>
            </w:r>
          </w:p>
        </w:tc>
        <w:tc>
          <w:tcPr>
            <w:tcW w:w="1080" w:type="dxa"/>
            <w:vAlign w:val="bottom"/>
          </w:tcPr>
          <w:p>
            <w:pPr>
              <w:jc w:val="center"/>
              <w:ind w:right="142"/>
              <w:spacing w:after="0"/>
              <w:rPr>
                <w:sz w:val="20"/>
                <w:szCs w:val="20"/>
                <w:color w:val="auto"/>
              </w:rPr>
            </w:pPr>
            <w:r>
              <w:rPr>
                <w:rFonts w:ascii="Arial" w:cs="Arial" w:eastAsia="Arial" w:hAnsi="Arial"/>
                <w:sz w:val="12"/>
                <w:szCs w:val="12"/>
                <w:color w:val="auto"/>
                <w:w w:val="89"/>
              </w:rPr>
              <w:t>9/19/2014</w:t>
            </w:r>
          </w:p>
        </w:tc>
        <w:tc>
          <w:tcPr>
            <w:tcW w:w="600" w:type="dxa"/>
            <w:vAlign w:val="bottom"/>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800" w:type="dxa"/>
            <w:vAlign w:val="bottom"/>
            <w:shd w:val="clear" w:color="auto" w:fill="CCEEFF"/>
          </w:tcPr>
          <w:p>
            <w:pPr>
              <w:ind w:left="40"/>
              <w:spacing w:after="0"/>
              <w:rPr>
                <w:sz w:val="20"/>
                <w:szCs w:val="20"/>
                <w:color w:val="auto"/>
              </w:rPr>
            </w:pPr>
            <w:r>
              <w:rPr>
                <w:rFonts w:ascii="Arial" w:cs="Arial" w:eastAsia="Arial" w:hAnsi="Arial"/>
                <w:sz w:val="12"/>
                <w:szCs w:val="12"/>
                <w:b w:val="1"/>
                <w:bCs w:val="1"/>
                <w:i w:val="1"/>
                <w:iCs w:val="1"/>
                <w:color w:val="auto"/>
              </w:rPr>
              <w:t>Other</w:t>
            </w: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i w:val="1"/>
                <w:iCs w:val="1"/>
                <w:color w:val="auto"/>
              </w:rPr>
              <w:t>Properties</w:t>
            </w:r>
          </w:p>
        </w:tc>
        <w:tc>
          <w:tcPr>
            <w:tcW w:w="8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 w:type="dxa"/>
            <w:vAlign w:val="bottom"/>
          </w:tcPr>
          <w:p>
            <w:pPr>
              <w:ind w:left="40"/>
              <w:spacing w:after="0"/>
              <w:rPr>
                <w:sz w:val="20"/>
                <w:szCs w:val="20"/>
                <w:color w:val="auto"/>
              </w:rPr>
            </w:pPr>
            <w:r>
              <w:rPr>
                <w:rFonts w:ascii="Arial" w:cs="Arial" w:eastAsia="Arial" w:hAnsi="Arial"/>
                <w:sz w:val="12"/>
                <w:szCs w:val="12"/>
                <w:color w:val="auto"/>
              </w:rPr>
              <w:t>Other owned</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00" w:type="dxa"/>
            <w:vAlign w:val="bottom"/>
            <w:tcBorders>
              <w:bottom w:val="single" w:sz="8" w:color="CCEEFF"/>
            </w:tcBorders>
          </w:tcPr>
          <w:p>
            <w:pPr>
              <w:ind w:left="40"/>
              <w:spacing w:after="0" w:line="176" w:lineRule="exact"/>
              <w:rPr>
                <w:sz w:val="20"/>
                <w:szCs w:val="20"/>
                <w:color w:val="auto"/>
              </w:rPr>
            </w:pPr>
            <w:r>
              <w:rPr>
                <w:rFonts w:ascii="Arial" w:cs="Arial" w:eastAsia="Arial" w:hAnsi="Arial"/>
                <w:sz w:val="12"/>
                <w:szCs w:val="12"/>
                <w:color w:val="auto"/>
              </w:rPr>
              <w:t xml:space="preserve">land </w:t>
            </w:r>
            <w:r>
              <w:rPr>
                <w:rFonts w:ascii="Arial" w:cs="Arial" w:eastAsia="Arial" w:hAnsi="Arial"/>
                <w:sz w:val="19"/>
                <w:szCs w:val="19"/>
                <w:color w:val="auto"/>
                <w:vertAlign w:val="superscript"/>
              </w:rPr>
              <w:t>(4)</w:t>
            </w:r>
          </w:p>
        </w:tc>
        <w:tc>
          <w:tcPr>
            <w:tcW w:w="1000" w:type="dxa"/>
            <w:vAlign w:val="bottom"/>
            <w:tcBorders>
              <w:bottom w:val="single" w:sz="8" w:color="CCEEFF"/>
            </w:tcBorders>
            <w:gridSpan w:val="2"/>
          </w:tcPr>
          <w:p>
            <w:pPr>
              <w:ind w:left="100"/>
              <w:spacing w:after="0"/>
              <w:rPr>
                <w:sz w:val="20"/>
                <w:szCs w:val="20"/>
                <w:color w:val="auto"/>
              </w:rPr>
            </w:pPr>
            <w:r>
              <w:rPr>
                <w:rFonts w:ascii="Arial" w:cs="Arial" w:eastAsia="Arial" w:hAnsi="Arial"/>
                <w:sz w:val="12"/>
                <w:szCs w:val="12"/>
                <w:color w:val="auto"/>
              </w:rPr>
              <w:t>various</w:t>
            </w:r>
          </w:p>
        </w:tc>
        <w:tc>
          <w:tcPr>
            <w:tcW w:w="36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6,798</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6,798</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6,798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jc w:val="center"/>
              <w:ind w:right="142"/>
              <w:spacing w:after="0"/>
              <w:rPr>
                <w:sz w:val="20"/>
                <w:szCs w:val="20"/>
                <w:color w:val="auto"/>
              </w:rPr>
            </w:pPr>
            <w:r>
              <w:rPr>
                <w:rFonts w:ascii="Arial" w:cs="Arial" w:eastAsia="Arial" w:hAnsi="Arial"/>
                <w:sz w:val="12"/>
                <w:szCs w:val="12"/>
                <w:color w:val="auto"/>
                <w:w w:val="89"/>
              </w:rPr>
              <w:t>10/1/18</w:t>
            </w: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242"/>
        </w:trPr>
        <w:tc>
          <w:tcPr>
            <w:tcW w:w="8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93"/>
              </w:rPr>
              <w:t>2,556,077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97"/>
              </w:rPr>
              <w:t>5,581,881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176,589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93"/>
              </w:rPr>
              <w:t>2,552,476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97"/>
              </w:rPr>
              <w:t>5,762,070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6"/>
              </w:rPr>
              <w:t>8,314,546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983,086</w:t>
            </w:r>
          </w:p>
        </w:tc>
        <w:tc>
          <w:tcPr>
            <w:tcW w:w="9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60" w:firstLine="8"/>
        <w:spacing w:after="0" w:line="304" w:lineRule="auto"/>
        <w:tabs>
          <w:tab w:leader="none" w:pos="858"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During April 2016, the Company acquired substantially all of the real estate assets of Pinnacle and subsequently leased the assets back to Pinnacle. As discussed further in the footnotes to the consolidated financial statements, the Pinnacle Master Lease was originally bifurcated between an operating lease and a direct financing lease, resulting in the land that was subject to operating lease treatment being recorded as a real estate asset on the Company's consolidated balance sheet, while the building assets that triggered direct financing lease treatment were recorded as an investment in direct financing lease on the Company's consolidated balance sheet.</w:t>
      </w:r>
    </w:p>
    <w:p>
      <w:pPr>
        <w:spacing w:after="0" w:line="16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conjunction with the Penn-Pinnacle Merger, on October 15, 2018, the Pinnacle Master Lease was amended via the fourth amendment to such lease to allow for the sale of the operating assets of Ameristar Casino Hotel Kansas City, Ameristar Casino Resort Spa St. Charles and Belterra Casino Resort from Pinnacle to Boyd. As a result of this amendment, the Company reassessed the lease's classification and determined the new lease agreement qualified for operating lease treatment under ASC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30" w:right="239" w:bottom="1440" w:gutter="0" w:footer="0" w:header="0"/>
        </w:sectPr>
      </w:pPr>
    </w:p>
    <w:bookmarkStart w:id="115" w:name="page116"/>
    <w:bookmarkEnd w:id="1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right="140" w:firstLine="8"/>
        <w:spacing w:after="0" w:line="264" w:lineRule="auto"/>
        <w:tabs>
          <w:tab w:leader="none" w:pos="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Therefore, subsequent to the Penn-Pinnacle Merger, the Amended Pinnacle Master Lease is treated as an operating lease in its entirety and the building assets previously recorded as an investment in direct financing lease on the Company's consolidated balance sheet were recorded as real estate assets on the Company's consolidated balance sheet.</w:t>
      </w:r>
    </w:p>
    <w:p>
      <w:pPr>
        <w:spacing w:after="0" w:line="181" w:lineRule="exact"/>
        <w:rPr>
          <w:sz w:val="20"/>
          <w:szCs w:val="20"/>
          <w:color w:val="auto"/>
        </w:rPr>
      </w:pPr>
    </w:p>
    <w:p>
      <w:pPr>
        <w:ind w:firstLine="8"/>
        <w:spacing w:after="0" w:line="238" w:lineRule="auto"/>
        <w:tabs>
          <w:tab w:leader="none" w:pos="304" w:val="left"/>
        </w:tabs>
        <w:numPr>
          <w:ilvl w:val="0"/>
          <w:numId w:val="54"/>
        </w:numPr>
        <w:rPr>
          <w:rFonts w:ascii="Arial" w:cs="Arial" w:eastAsia="Arial" w:hAnsi="Arial"/>
          <w:sz w:val="24"/>
          <w:szCs w:val="24"/>
          <w:color w:val="auto"/>
          <w:vertAlign w:val="superscript"/>
        </w:rPr>
      </w:pPr>
      <w:r>
        <w:rPr>
          <w:rFonts w:ascii="Arial" w:cs="Arial" w:eastAsia="Arial" w:hAnsi="Arial"/>
          <w:sz w:val="17"/>
          <w:szCs w:val="17"/>
          <w:color w:val="auto"/>
        </w:rPr>
        <w:t>Hollywood Casino at Dayton Raceway and Hollywood Casino at Mahoning Valley Race Course were jointly developed with Penn National Gaming, Inc. The costs capitalized subsequent to acquisition represent the capital expenditures incurred by the Company subsequent to the transfer of the development properties at Spin-Off. Both properties commenced operations and began paying rent during the year ended December 31, 2014.</w:t>
      </w:r>
    </w:p>
    <w:p>
      <w:pPr>
        <w:spacing w:after="0" w:line="202" w:lineRule="exact"/>
        <w:rPr>
          <w:rFonts w:ascii="Arial" w:cs="Arial" w:eastAsia="Arial" w:hAnsi="Arial"/>
          <w:sz w:val="24"/>
          <w:szCs w:val="24"/>
          <w:color w:val="auto"/>
          <w:vertAlign w:val="superscript"/>
        </w:rPr>
      </w:pPr>
    </w:p>
    <w:p>
      <w:pPr>
        <w:ind w:right="40" w:firstLine="8"/>
        <w:spacing w:after="0" w:line="216" w:lineRule="auto"/>
        <w:tabs>
          <w:tab w:leader="none" w:pos="273"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auto"/>
        </w:rPr>
        <w:t>The Company's corporate headquarters building was completed in October 2015. The land was purchased on September 19, 2014 and construction on the building occurred through October 2015.</w:t>
      </w:r>
    </w:p>
    <w:p>
      <w:pPr>
        <w:spacing w:after="0" w:line="254" w:lineRule="exact"/>
        <w:rPr>
          <w:rFonts w:ascii="Arial" w:cs="Arial" w:eastAsia="Arial" w:hAnsi="Arial"/>
          <w:sz w:val="25"/>
          <w:szCs w:val="25"/>
          <w:color w:val="auto"/>
          <w:vertAlign w:val="superscript"/>
        </w:rPr>
      </w:pPr>
    </w:p>
    <w:p>
      <w:pPr>
        <w:ind w:left="280" w:hanging="272"/>
        <w:spacing w:after="0"/>
        <w:tabs>
          <w:tab w:leader="none" w:pos="28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auto"/>
        </w:rPr>
        <w:t>This includes undeveloped land the Company owns at locations other than its tenant occupied properties.</w:t>
      </w:r>
    </w:p>
    <w:p>
      <w:pPr>
        <w:spacing w:after="0" w:line="147" w:lineRule="exact"/>
        <w:rPr>
          <w:rFonts w:ascii="Arial" w:cs="Arial" w:eastAsia="Arial" w:hAnsi="Arial"/>
          <w:sz w:val="25"/>
          <w:szCs w:val="25"/>
          <w:color w:val="auto"/>
          <w:vertAlign w:val="superscript"/>
        </w:rPr>
      </w:pPr>
    </w:p>
    <w:p>
      <w:pPr>
        <w:ind w:right="180" w:firstLine="8"/>
        <w:spacing w:after="0" w:line="216" w:lineRule="auto"/>
        <w:tabs>
          <w:tab w:leader="none" w:pos="273"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auto"/>
        </w:rPr>
        <w:t>The aggregate cost for federal income tax purposes of the properties listed above was $7.96 billion at December 31, 2018. This amount includes the tax basis of all real property assets acquired from Pinnacle, including building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130" w:right="279" w:bottom="1440" w:gutter="0" w:footer="0" w:header="0"/>
        </w:sectPr>
      </w:pPr>
    </w:p>
    <w:bookmarkStart w:id="116" w:name="page117"/>
    <w:bookmarkEnd w:id="11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summary of activity for real estate and accumulated depreciation for the years ended December 31, 2018, 2017 and 2016 is as follows:</w:t>
      </w: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center"/>
              <w:ind w:left="593"/>
              <w:spacing w:after="0"/>
              <w:rPr>
                <w:sz w:val="20"/>
                <w:szCs w:val="20"/>
                <w:color w:val="auto"/>
              </w:rPr>
            </w:pPr>
            <w:r>
              <w:rPr>
                <w:rFonts w:ascii="Arial" w:cs="Arial" w:eastAsia="Arial" w:hAnsi="Arial"/>
                <w:sz w:val="14"/>
                <w:szCs w:val="14"/>
                <w:b w:val="1"/>
                <w:bCs w:val="1"/>
                <w:color w:val="auto"/>
                <w:w w:val="93"/>
              </w:rPr>
              <w:t>Year Ended 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0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Real Estate:</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40" w:type="dxa"/>
            <w:vAlign w:val="bottom"/>
          </w:tcPr>
          <w:p>
            <w:pPr>
              <w:ind w:left="160"/>
              <w:spacing w:after="0"/>
              <w:rPr>
                <w:sz w:val="20"/>
                <w:szCs w:val="20"/>
                <w:color w:val="auto"/>
              </w:rPr>
            </w:pPr>
            <w:r>
              <w:rPr>
                <w:rFonts w:ascii="Arial" w:cs="Arial" w:eastAsia="Arial" w:hAnsi="Arial"/>
                <w:sz w:val="18"/>
                <w:szCs w:val="18"/>
                <w:color w:val="auto"/>
              </w:rPr>
              <w:t>Balance at the beginning of the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w w:val="92"/>
              </w:rPr>
              <w:t>4,519,501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4,495,972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w w:val="87"/>
              </w:rPr>
              <w:t>2,750,867</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Acquisitions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2"/>
              </w:rPr>
              <w:t>1,199,135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1,745,449</w:t>
            </w:r>
          </w:p>
        </w:tc>
        <w:tc>
          <w:tcPr>
            <w:tcW w:w="0" w:type="dxa"/>
            <w:vAlign w:val="bottom"/>
          </w:tcPr>
          <w:p>
            <w:pPr>
              <w:spacing w:after="0"/>
              <w:rPr>
                <w:sz w:val="1"/>
                <w:szCs w:val="1"/>
                <w:color w:val="auto"/>
              </w:rPr>
            </w:pPr>
          </w:p>
        </w:tc>
      </w:tr>
      <w:tr>
        <w:trPr>
          <w:trHeight w:val="270"/>
        </w:trPr>
        <w:tc>
          <w:tcPr>
            <w:tcW w:w="804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Reclass of assets from investment in direct financing lease to real estate investments </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w w:val="92"/>
              </w:rPr>
              <w:t>2,599,180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Capital expenditures and assets placed in service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8040" w:type="dxa"/>
            <w:vAlign w:val="bottom"/>
          </w:tcPr>
          <w:p>
            <w:pPr>
              <w:ind w:left="160"/>
              <w:spacing w:after="0"/>
              <w:rPr>
                <w:sz w:val="20"/>
                <w:szCs w:val="20"/>
                <w:color w:val="auto"/>
              </w:rPr>
            </w:pPr>
            <w:r>
              <w:rPr>
                <w:rFonts w:ascii="Arial" w:cs="Arial" w:eastAsia="Arial" w:hAnsi="Arial"/>
                <w:sz w:val="18"/>
                <w:szCs w:val="18"/>
                <w:color w:val="auto"/>
              </w:rPr>
              <w:t>Dispositions</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Balance at the end of the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2"/>
              </w:rPr>
              <w:t>8,314,546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4,519,501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4,495,972</w:t>
            </w:r>
          </w:p>
        </w:tc>
        <w:tc>
          <w:tcPr>
            <w:tcW w:w="0" w:type="dxa"/>
            <w:vAlign w:val="bottom"/>
          </w:tcPr>
          <w:p>
            <w:pPr>
              <w:spacing w:after="0"/>
              <w:rPr>
                <w:sz w:val="1"/>
                <w:szCs w:val="1"/>
                <w:color w:val="auto"/>
              </w:rPr>
            </w:pPr>
          </w:p>
        </w:tc>
      </w:tr>
      <w:tr>
        <w:trPr>
          <w:trHeight w:val="20"/>
        </w:trPr>
        <w:tc>
          <w:tcPr>
            <w:tcW w:w="8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Accumulated Depreciation:</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Balance at the beginning of the period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(857,456)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(756,881)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(660,808)</w:t>
            </w:r>
          </w:p>
        </w:tc>
        <w:tc>
          <w:tcPr>
            <w:tcW w:w="0" w:type="dxa"/>
            <w:vAlign w:val="bottom"/>
          </w:tcPr>
          <w:p>
            <w:pPr>
              <w:spacing w:after="0"/>
              <w:rPr>
                <w:sz w:val="1"/>
                <w:szCs w:val="1"/>
                <w:color w:val="auto"/>
              </w:rPr>
            </w:pPr>
          </w:p>
        </w:tc>
      </w:tr>
      <w:tr>
        <w:trPr>
          <w:trHeight w:val="243"/>
        </w:trPr>
        <w:tc>
          <w:tcPr>
            <w:tcW w:w="8040" w:type="dxa"/>
            <w:vAlign w:val="bottom"/>
          </w:tcPr>
          <w:p>
            <w:pPr>
              <w:ind w:left="160"/>
              <w:spacing w:after="0"/>
              <w:rPr>
                <w:sz w:val="20"/>
                <w:szCs w:val="20"/>
                <w:color w:val="auto"/>
              </w:rPr>
            </w:pPr>
            <w:r>
              <w:rPr>
                <w:rFonts w:ascii="Arial" w:cs="Arial" w:eastAsia="Arial" w:hAnsi="Arial"/>
                <w:sz w:val="18"/>
                <w:szCs w:val="18"/>
                <w:color w:val="auto"/>
              </w:rPr>
              <w:t>Depreciation expense</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(125,630)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(100,576)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(96,073)</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Dispositions</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040" w:type="dxa"/>
            <w:vAlign w:val="bottom"/>
          </w:tcPr>
          <w:p>
            <w:pPr>
              <w:ind w:left="160"/>
              <w:spacing w:after="0"/>
              <w:rPr>
                <w:sz w:val="20"/>
                <w:szCs w:val="20"/>
                <w:color w:val="auto"/>
              </w:rPr>
            </w:pPr>
            <w:r>
              <w:rPr>
                <w:rFonts w:ascii="Arial" w:cs="Arial" w:eastAsia="Arial" w:hAnsi="Arial"/>
                <w:sz w:val="18"/>
                <w:szCs w:val="18"/>
                <w:color w:val="auto"/>
              </w:rPr>
              <w:t>Balance at the end of the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(983,086)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(857,456)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(756,881)</w:t>
            </w:r>
          </w:p>
        </w:tc>
        <w:tc>
          <w:tcPr>
            <w:tcW w:w="0" w:type="dxa"/>
            <w:vAlign w:val="bottom"/>
          </w:tcPr>
          <w:p>
            <w:pPr>
              <w:spacing w:after="0"/>
              <w:rPr>
                <w:sz w:val="1"/>
                <w:szCs w:val="1"/>
                <w:color w:val="auto"/>
              </w:rPr>
            </w:pPr>
          </w:p>
        </w:tc>
      </w:tr>
      <w:tr>
        <w:trPr>
          <w:trHeight w:val="20"/>
        </w:trPr>
        <w:tc>
          <w:tcPr>
            <w:tcW w:w="8040" w:type="dxa"/>
            <w:vAlign w:val="bottom"/>
            <w:vMerge w:val="restart"/>
          </w:tcPr>
          <w:p>
            <w:pPr>
              <w:ind w:left="5520"/>
              <w:spacing w:after="0"/>
              <w:rPr>
                <w:sz w:val="20"/>
                <w:szCs w:val="20"/>
                <w:color w:val="auto"/>
              </w:rPr>
            </w:pPr>
            <w:r>
              <w:rPr>
                <w:rFonts w:ascii="Arial" w:cs="Arial" w:eastAsia="Arial" w:hAnsi="Arial"/>
                <w:sz w:val="18"/>
                <w:szCs w:val="18"/>
                <w:color w:val="auto"/>
              </w:rPr>
              <w:t>116</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30" w:right="279" w:bottom="1440" w:gutter="0" w:footer="0" w:header="0"/>
        </w:sectPr>
      </w:pPr>
    </w:p>
    <w:bookmarkStart w:id="117" w:name="page118"/>
    <w:bookmarkEnd w:id="11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SCHEDULE IV</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MORTGAGE LOANS ON REAL ESTATE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Amount of</w:t>
            </w: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Final</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Periodic</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Carrying</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9"/>
              </w:rPr>
              <w:t>Loans Subject to</w:t>
            </w: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Interest</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Maturity</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Payment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b w:val="1"/>
                <w:bCs w:val="1"/>
                <w:color w:val="auto"/>
              </w:rPr>
              <w:t>Face Amount</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 of</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2"/>
              </w:rPr>
              <w:t>Delinquent Principal or</w:t>
            </w:r>
          </w:p>
        </w:tc>
      </w:tr>
      <w:tr>
        <w:trPr>
          <w:trHeight w:val="261"/>
        </w:trPr>
        <w:tc>
          <w:tcPr>
            <w:tcW w:w="192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Terms</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9"/>
              </w:rPr>
              <w:t>Prior Liens</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of Mortgage</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b w:val="1"/>
                <w:bCs w:val="1"/>
                <w:color w:val="auto"/>
                <w:w w:val="88"/>
              </w:rPr>
              <w:t xml:space="preserve">Mortgage </w:t>
            </w:r>
            <w:r>
              <w:rPr>
                <w:rFonts w:ascii="Arial" w:cs="Arial" w:eastAsia="Arial" w:hAnsi="Arial"/>
                <w:sz w:val="25"/>
                <w:szCs w:val="25"/>
                <w:b w:val="1"/>
                <w:bCs w:val="1"/>
                <w:color w:val="auto"/>
                <w:w w:val="88"/>
                <w:vertAlign w:val="superscript"/>
              </w:rPr>
              <w:t>(3)</w:t>
            </w:r>
          </w:p>
        </w:tc>
        <w:tc>
          <w:tcPr>
            <w:tcW w:w="120" w:type="dxa"/>
            <w:vAlign w:val="bottom"/>
            <w:tcBorders>
              <w:bottom w:val="single" w:sz="8" w:color="CCEEFF"/>
            </w:tcBorders>
          </w:tcPr>
          <w:p>
            <w:pPr>
              <w:spacing w:after="0"/>
              <w:rPr>
                <w:sz w:val="22"/>
                <w:szCs w:val="22"/>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Interest</w:t>
            </w:r>
          </w:p>
        </w:tc>
      </w:tr>
      <w:tr>
        <w:trPr>
          <w:trHeight w:val="222"/>
        </w:trPr>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57"/>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Lumière Place Loan</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ind w:left="20"/>
              <w:spacing w:after="0" w:line="257" w:lineRule="exact"/>
              <w:rPr>
                <w:sz w:val="20"/>
                <w:szCs w:val="20"/>
                <w:color w:val="auto"/>
              </w:rPr>
            </w:pPr>
            <w:r>
              <w:rPr>
                <w:rFonts w:ascii="Arial" w:cs="Arial" w:eastAsia="Arial" w:hAnsi="Arial"/>
                <w:sz w:val="18"/>
                <w:szCs w:val="18"/>
                <w:color w:val="auto"/>
              </w:rPr>
              <w:t xml:space="preserve">10/1/2020 </w:t>
            </w:r>
            <w:r>
              <w:rPr>
                <w:rFonts w:ascii="Arial" w:cs="Arial" w:eastAsia="Arial" w:hAnsi="Arial"/>
                <w:sz w:val="25"/>
                <w:szCs w:val="25"/>
                <w:color w:val="auto"/>
                <w:vertAlign w:val="superscript"/>
              </w:rPr>
              <w:t>(1)</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monthly</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246,000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246,000</w:t>
            </w:r>
          </w:p>
        </w:tc>
        <w:tc>
          <w:tcPr>
            <w:tcW w:w="120" w:type="dxa"/>
            <w:vAlign w:val="bottom"/>
            <w:shd w:val="clear" w:color="auto" w:fill="CCEEFF"/>
          </w:tcPr>
          <w:p>
            <w:pPr>
              <w:spacing w:after="0"/>
              <w:rPr>
                <w:sz w:val="22"/>
                <w:szCs w:val="22"/>
                <w:color w:val="auto"/>
              </w:rPr>
            </w:pPr>
          </w:p>
        </w:tc>
        <w:tc>
          <w:tcPr>
            <w:tcW w:w="20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w:t>
            </w:r>
          </w:p>
        </w:tc>
      </w:tr>
      <w:tr>
        <w:trPr>
          <w:trHeight w:val="229"/>
        </w:trPr>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interest paid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57"/>
        </w:trPr>
        <w:tc>
          <w:tcPr>
            <w:tcW w:w="2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Belterra Park Loan</w:t>
            </w:r>
          </w:p>
        </w:tc>
        <w:tc>
          <w:tcPr>
            <w:tcW w:w="80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11.11%</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ind w:left="20"/>
              <w:spacing w:after="0" w:line="257" w:lineRule="exact"/>
              <w:rPr>
                <w:sz w:val="20"/>
                <w:szCs w:val="20"/>
                <w:color w:val="auto"/>
              </w:rPr>
            </w:pPr>
            <w:r>
              <w:rPr>
                <w:rFonts w:ascii="Arial" w:cs="Arial" w:eastAsia="Arial" w:hAnsi="Arial"/>
                <w:sz w:val="18"/>
                <w:szCs w:val="18"/>
                <w:color w:val="auto"/>
              </w:rPr>
              <w:t xml:space="preserve">4/3/2051 </w:t>
            </w:r>
            <w:r>
              <w:rPr>
                <w:rFonts w:ascii="Arial" w:cs="Arial" w:eastAsia="Arial" w:hAnsi="Arial"/>
                <w:sz w:val="25"/>
                <w:szCs w:val="25"/>
                <w:color w:val="auto"/>
                <w:vertAlign w:val="superscript"/>
              </w:rPr>
              <w:t>(2)</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monthly</w:t>
            </w:r>
          </w:p>
        </w:tc>
        <w:tc>
          <w:tcPr>
            <w:tcW w:w="1100" w:type="dxa"/>
            <w:vAlign w:val="bottom"/>
            <w:tcBorders>
              <w:bottom w:val="single" w:sz="8" w:color="CCEEFF"/>
            </w:tcBorders>
            <w:gridSpan w:val="2"/>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57,684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57,684</w:t>
            </w:r>
          </w:p>
        </w:tc>
        <w:tc>
          <w:tcPr>
            <w:tcW w:w="120" w:type="dxa"/>
            <w:vAlign w:val="bottom"/>
            <w:tcBorders>
              <w:bottom w:val="single" w:sz="8" w:color="CCEEFF"/>
            </w:tcBorders>
          </w:tcPr>
          <w:p>
            <w:pPr>
              <w:spacing w:after="0"/>
              <w:rPr>
                <w:sz w:val="22"/>
                <w:szCs w:val="22"/>
                <w:color w:val="auto"/>
              </w:rPr>
            </w:pPr>
          </w:p>
        </w:tc>
        <w:tc>
          <w:tcPr>
            <w:tcW w:w="200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w:t>
            </w:r>
          </w:p>
        </w:tc>
      </w:tr>
      <w:tr>
        <w:trPr>
          <w:trHeight w:val="237"/>
        </w:trPr>
        <w:tc>
          <w:tcPr>
            <w:tcW w:w="1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303,684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303,684</w:t>
            </w:r>
          </w:p>
        </w:tc>
        <w:tc>
          <w:tcPr>
            <w:tcW w:w="120" w:type="dxa"/>
            <w:vAlign w:val="bottom"/>
            <w:shd w:val="clear" w:color="auto" w:fill="CCEEFF"/>
          </w:tcPr>
          <w:p>
            <w:pPr>
              <w:spacing w:after="0"/>
              <w:rPr>
                <w:sz w:val="20"/>
                <w:szCs w:val="20"/>
                <w:color w:val="auto"/>
              </w:rPr>
            </w:pPr>
          </w:p>
        </w:tc>
        <w:tc>
          <w:tcPr>
            <w:tcW w:w="20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w:t>
            </w:r>
          </w:p>
        </w:tc>
      </w:tr>
      <w:tr>
        <w:trPr>
          <w:trHeight w:val="27"/>
        </w:trPr>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r>
    </w:tbl>
    <w:p>
      <w:pPr>
        <w:spacing w:after="0" w:line="191"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21"/>
          <w:szCs w:val="21"/>
          <w:color w:val="auto"/>
          <w:vertAlign w:val="superscript"/>
        </w:rPr>
      </w:pPr>
      <w:r>
        <w:rPr>
          <w:rFonts w:ascii="Arial" w:cs="Arial" w:eastAsia="Arial" w:hAnsi="Arial"/>
          <w:sz w:val="15"/>
          <w:szCs w:val="15"/>
          <w:color w:val="auto"/>
        </w:rPr>
        <w:t>The Lumière Loan has a final maturity date of October 1, 2020, however, the loan may be extinguished prior to this date.</w:t>
      </w:r>
    </w:p>
    <w:p>
      <w:pPr>
        <w:spacing w:after="0" w:line="190"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55"/>
        </w:numPr>
        <w:rPr>
          <w:rFonts w:ascii="Arial" w:cs="Arial" w:eastAsia="Arial" w:hAnsi="Arial"/>
          <w:sz w:val="21"/>
          <w:szCs w:val="21"/>
          <w:color w:val="auto"/>
          <w:vertAlign w:val="superscript"/>
        </w:rPr>
      </w:pPr>
      <w:r>
        <w:rPr>
          <w:rFonts w:ascii="Arial" w:cs="Arial" w:eastAsia="Arial" w:hAnsi="Arial"/>
          <w:sz w:val="15"/>
          <w:szCs w:val="15"/>
          <w:color w:val="auto"/>
        </w:rPr>
        <w:t>The Belterra Park Loan matures in connection with the expiration of the Boyd Master Lease (as may be extended at the tenant's option to April 30, 2051).</w:t>
      </w:r>
    </w:p>
    <w:p>
      <w:pPr>
        <w:spacing w:after="0" w:line="167" w:lineRule="exact"/>
        <w:rPr>
          <w:rFonts w:ascii="Arial" w:cs="Arial" w:eastAsia="Arial" w:hAnsi="Arial"/>
          <w:sz w:val="21"/>
          <w:szCs w:val="21"/>
          <w:color w:val="auto"/>
          <w:vertAlign w:val="superscript"/>
        </w:rPr>
      </w:pPr>
    </w:p>
    <w:p>
      <w:pPr>
        <w:ind w:left="200" w:hanging="192"/>
        <w:spacing w:after="0"/>
        <w:tabs>
          <w:tab w:leader="none" w:pos="200" w:val="left"/>
        </w:tabs>
        <w:numPr>
          <w:ilvl w:val="0"/>
          <w:numId w:val="55"/>
        </w:numPr>
        <w:rPr>
          <w:rFonts w:ascii="Arial" w:cs="Arial" w:eastAsia="Arial" w:hAnsi="Arial"/>
          <w:sz w:val="23"/>
          <w:szCs w:val="23"/>
          <w:color w:val="auto"/>
          <w:vertAlign w:val="superscript"/>
        </w:rPr>
      </w:pPr>
      <w:r>
        <w:rPr>
          <w:rFonts w:ascii="Arial" w:cs="Arial" w:eastAsia="Arial" w:hAnsi="Arial"/>
          <w:sz w:val="17"/>
          <w:szCs w:val="17"/>
          <w:color w:val="auto"/>
        </w:rPr>
        <w:t>The aggregate cost for federal income tax purposes of the mortgage loans listed above was approximately $304 million at December 31, 2018.</w:t>
      </w:r>
    </w:p>
    <w:p>
      <w:pPr>
        <w:spacing w:after="0" w:line="127"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 Ended December</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1"/>
              </w:rPr>
              <w:t>31, 2018</w:t>
            </w: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tcPr>
          <w:p>
            <w:pPr>
              <w:spacing w:after="0"/>
              <w:rPr>
                <w:sz w:val="21"/>
                <w:szCs w:val="21"/>
                <w:color w:val="auto"/>
              </w:rPr>
            </w:pPr>
          </w:p>
        </w:tc>
        <w:tc>
          <w:tcPr>
            <w:tcW w:w="3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Mortgage Loans:</w:t>
            </w:r>
          </w:p>
        </w:tc>
        <w:tc>
          <w:tcPr>
            <w:tcW w:w="3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160"/>
              <w:spacing w:after="0"/>
              <w:rPr>
                <w:sz w:val="20"/>
                <w:szCs w:val="20"/>
                <w:color w:val="auto"/>
              </w:rPr>
            </w:pPr>
            <w:r>
              <w:rPr>
                <w:rFonts w:ascii="Arial" w:cs="Arial" w:eastAsia="Arial" w:hAnsi="Arial"/>
                <w:sz w:val="18"/>
                <w:szCs w:val="18"/>
                <w:color w:val="auto"/>
              </w:rPr>
              <w:t>Balance at the beginning of the period</w:t>
            </w:r>
          </w:p>
        </w:tc>
        <w:tc>
          <w:tcPr>
            <w:tcW w:w="33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Additions during the period:</w:t>
            </w:r>
          </w:p>
        </w:tc>
        <w:tc>
          <w:tcPr>
            <w:tcW w:w="3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20"/>
              <w:spacing w:after="0"/>
              <w:rPr>
                <w:sz w:val="20"/>
                <w:szCs w:val="20"/>
                <w:color w:val="auto"/>
              </w:rPr>
            </w:pPr>
            <w:r>
              <w:rPr>
                <w:rFonts w:ascii="Arial" w:cs="Arial" w:eastAsia="Arial" w:hAnsi="Arial"/>
                <w:sz w:val="18"/>
                <w:szCs w:val="18"/>
                <w:color w:val="auto"/>
              </w:rPr>
              <w:t>New mortgage loans</w:t>
            </w:r>
          </w:p>
        </w:tc>
        <w:tc>
          <w:tcPr>
            <w:tcW w:w="3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303,684</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Deductions during the period:</w:t>
            </w:r>
          </w:p>
        </w:tc>
        <w:tc>
          <w:tcPr>
            <w:tcW w:w="3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20"/>
              <w:spacing w:after="0"/>
              <w:rPr>
                <w:sz w:val="20"/>
                <w:szCs w:val="20"/>
                <w:color w:val="auto"/>
              </w:rPr>
            </w:pPr>
            <w:r>
              <w:rPr>
                <w:rFonts w:ascii="Arial" w:cs="Arial" w:eastAsia="Arial" w:hAnsi="Arial"/>
                <w:sz w:val="18"/>
                <w:szCs w:val="18"/>
                <w:color w:val="auto"/>
              </w:rPr>
              <w:t>Collections of principal</w:t>
            </w:r>
          </w:p>
        </w:tc>
        <w:tc>
          <w:tcPr>
            <w:tcW w:w="3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at the end of the period</w:t>
            </w:r>
          </w:p>
        </w:tc>
        <w:tc>
          <w:tcPr>
            <w:tcW w:w="3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303,684</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bottom w:val="single" w:sz="8" w:color="CCEEFF"/>
            </w:tcBorders>
            <w:vMerge w:val="restart"/>
          </w:tcPr>
          <w:p>
            <w:pPr>
              <w:jc w:val="right"/>
              <w:ind w:right="2310"/>
              <w:spacing w:after="0"/>
              <w:rPr>
                <w:sz w:val="20"/>
                <w:szCs w:val="20"/>
                <w:color w:val="auto"/>
              </w:rPr>
            </w:pPr>
            <w:r>
              <w:rPr>
                <w:rFonts w:ascii="Arial" w:cs="Arial" w:eastAsia="Arial" w:hAnsi="Arial"/>
                <w:sz w:val="18"/>
                <w:szCs w:val="18"/>
                <w:color w:val="auto"/>
              </w:rPr>
              <w:t>117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2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130" w:right="339" w:bottom="1440" w:gutter="0" w:footer="0" w:header="0"/>
        </w:sectPr>
      </w:pPr>
    </w:p>
    <w:bookmarkStart w:id="118" w:name="page119"/>
    <w:bookmarkEnd w:id="11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8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Company's management, under the supervision and with the participation of the principal executive officer and principal financial officer, has evaluated the effectiveness of the Company's disclosure controls and procedures, as such term is defined under Rule 13a-15(e) promulgated under the Securities Exchange Act of 1934, as amended (the "Exchange Act"), as of December 31, 2018, which is the end of the period covered by this Annual Report on Form 10-K.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as of December 31, 2018 the Company's disclosure controls and procedures were effective to ensure that information required to be disclosed by the Company in reports it files or submits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83" w:lineRule="exact"/>
        <w:rPr>
          <w:sz w:val="20"/>
          <w:szCs w:val="20"/>
          <w:color w:val="auto"/>
        </w:rPr>
      </w:pPr>
    </w:p>
    <w:p>
      <w:pPr>
        <w:jc w:val="both"/>
        <w:ind w:right="480" w:firstLine="648"/>
        <w:spacing w:after="0" w:line="302" w:lineRule="auto"/>
        <w:rPr>
          <w:sz w:val="20"/>
          <w:szCs w:val="20"/>
          <w:color w:val="auto"/>
        </w:rPr>
      </w:pPr>
      <w:r>
        <w:rPr>
          <w:rFonts w:ascii="Arial" w:cs="Arial" w:eastAsia="Arial" w:hAnsi="Arial"/>
          <w:sz w:val="16"/>
          <w:szCs w:val="16"/>
          <w:color w:val="auto"/>
        </w:rPr>
        <w:t xml:space="preserve">The Company's management is responsible for establishing and maintaining an adequate system of internal control over financial reporting, as defined in Exchange Act Rules 13a-15(f) and 15d-15(f). The Company's management conducted an assessment of the Company's internal control over financial reporting and concluded it was effective as of December 31, 2018. In making this assessment, management used the criteria established by the Committee of Sponsoring Organizations of the Treadway Commission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w:t>
      </w:r>
    </w:p>
    <w:p>
      <w:pPr>
        <w:spacing w:after="0" w:line="208"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Deloitte &amp; Touche LLP, the Company's independent registered accounting firm, issued an audit report on the effectiveness of the Company's internal control over financial reporting as of December 31, 2018, which is included on the following page of this Annual Report on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83"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There have been no changes in the Company's internal control over financial reporting (as defined in Exchange Act Rules 13a-15(f) and 15d-15(f)) that occurred during the fiscal quarter ended December 31, 2018, that have materially affected, or are reasonably likely to materially affect, the Company's internal control over financial reporting. During the year ended December 31, 2018, we implemented controls to ensure we had identified all of the Company's lease agreements and properly assessed the impact of ASU 2016-02 on our financial statements to facilitate the adoption of this new guidance on January 1, 2019. We do not expect significant changes to our internal control over financial reporting due to the adoption of the new standard.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130" w:right="239" w:bottom="1440" w:gutter="0" w:footer="0" w:header="0"/>
        </w:sectPr>
      </w:pPr>
    </w:p>
    <w:bookmarkStart w:id="119" w:name="page120"/>
    <w:bookmarkEnd w:id="11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Gaming and Leisure Properties, Inc. and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Gaming and Leisure Properties, Inc. and Subsidiaries (the "Company") as of December 31, 2018,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2018,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7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and financial statement schedules as of and for the year ended December 31, 2018, of the Company and our report dated February 13, 2019, expressed an unqualified opinion on those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30" w:right="239" w:bottom="1440" w:gutter="0" w:footer="0" w:header="0"/>
        </w:sectPr>
      </w:pPr>
    </w:p>
    <w:bookmarkStart w:id="120" w:name="page121"/>
    <w:bookmarkEnd w:id="12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219"/>
          </w:cols>
          <w:pgMar w:left="240" w:top="130" w:right="1440" w:bottom="1440" w:gutter="0" w:footer="0" w:header="0"/>
        </w:sectPr>
      </w:pPr>
    </w:p>
    <w:bookmarkStart w:id="121" w:name="page122"/>
    <w:bookmarkEnd w:id="12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9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8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information required by this item concerning directors is hereby incorporated by reference to the Company's definitive proxy statement for its 2019 Annual Meeting of Shareholders (the "2019 Proxy Statement"), to be filed with the U.S. Securities and Exchange Commission within 120 days after December 31, 2018, pursuant to Regulation 14A under the Securities Exchange Act of 1934, as amended. Information required by this item concerning executive officers is included in Part I of this Annual Report on Form 10-K.</w:t>
      </w:r>
    </w:p>
    <w:p>
      <w:pPr>
        <w:spacing w:after="0" w:line="23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called for in this item is hereby incorporated by reference to the 2019 Proxy Statement.</w:t>
      </w:r>
    </w:p>
    <w:p>
      <w:pPr>
        <w:spacing w:after="0" w:line="200" w:lineRule="exact"/>
        <w:rPr>
          <w:sz w:val="20"/>
          <w:szCs w:val="20"/>
          <w:color w:val="auto"/>
        </w:rPr>
      </w:pPr>
    </w:p>
    <w:p>
      <w:pPr>
        <w:spacing w:after="0" w:line="237" w:lineRule="exact"/>
        <w:rPr>
          <w:sz w:val="20"/>
          <w:szCs w:val="20"/>
          <w:color w:val="auto"/>
        </w:rPr>
      </w:pPr>
    </w:p>
    <w:p>
      <w:pPr>
        <w:ind w:left="900" w:right="260" w:hanging="890"/>
        <w:spacing w:after="0" w:line="282" w:lineRule="auto"/>
        <w:tabs>
          <w:tab w:leader="none" w:pos="88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STOCKHOLDERS MATTERS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called for in this item is hereby incorporated by reference to the 2019 Proxy Statement.</w:t>
      </w:r>
    </w:p>
    <w:p>
      <w:pPr>
        <w:spacing w:after="0" w:line="200" w:lineRule="exact"/>
        <w:rPr>
          <w:sz w:val="20"/>
          <w:szCs w:val="20"/>
          <w:color w:val="auto"/>
        </w:rPr>
      </w:pPr>
    </w:p>
    <w:p>
      <w:pPr>
        <w:spacing w:after="0" w:line="23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called for in this item is hereby incorporated by reference to the 2019 Proxy Statement.</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called for in this item is hereby incorporated by reference to the 2019 Proxy Statement.</w:t>
      </w:r>
    </w:p>
    <w:p>
      <w:pPr>
        <w:spacing w:after="0" w:line="33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80"/>
          </w:cols>
          <w:pgMar w:left="240" w:top="130" w:right="479" w:bottom="1440" w:gutter="0" w:footer="0" w:header="0"/>
        </w:sectPr>
      </w:pPr>
    </w:p>
    <w:bookmarkStart w:id="122" w:name="page123"/>
    <w:bookmarkEnd w:id="12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148" w:lineRule="exact"/>
        <w:rPr>
          <w:sz w:val="20"/>
          <w:szCs w:val="20"/>
          <w:color w:val="auto"/>
        </w:rPr>
      </w:pPr>
    </w:p>
    <w:p>
      <w:pPr>
        <w:ind w:firstLine="8"/>
        <w:spacing w:after="0" w:line="277" w:lineRule="auto"/>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 Financial Statements. The following is a list of the Consolidated Financial Statements of the Company and its subsidiaries and supplementary data filed as part of Item 8 hereof:</w:t>
      </w:r>
    </w:p>
    <w:p>
      <w:pPr>
        <w:spacing w:after="0" w:line="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Balance Sheets as of December 31, 2018 and 2017</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Income for the years ended December 31, 2018, 2017 and 2016</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Consolidated Statements of Changes in Shareholders' Equity (Deficit) for the years ended December 31, 2018, 2017 and 2016</w:t>
      </w:r>
    </w:p>
    <w:p>
      <w:pPr>
        <w:spacing w:after="0" w:line="2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Cash Flows for the years ended December 31, 2018, 2017 and 2016</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Financial Statement Schedules: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 III. Real Estate and Accumulated Depreciation as of December 31, 2018</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 IV. Mortgage Loans on Real Estate as of December 31, 2018</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Exhibits, Including Those Incorporated by Reference.</w:t>
      </w:r>
    </w:p>
    <w:p>
      <w:pPr>
        <w:spacing w:after="0" w:line="14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exhibits to this Report are listed on the accompanying index to exhibits and are incorporated herein by reference or are filed as part of this annual report on Form 10-K.</w:t>
      </w:r>
    </w:p>
    <w:p>
      <w:pPr>
        <w:spacing w:after="0" w:line="30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240" w:top="130" w:right="539" w:bottom="1440" w:gutter="0" w:footer="0" w:header="0"/>
        </w:sectPr>
      </w:pPr>
    </w:p>
    <w:bookmarkStart w:id="123" w:name="page124"/>
    <w:bookmarkEnd w:id="12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360"/>
          </w:cols>
          <w:pgMar w:left="240" w:top="130" w:right="299" w:bottom="1440" w:gutter="0" w:footer="0" w:header="0"/>
        </w:sectPr>
      </w:pPr>
    </w:p>
    <w:p>
      <w:pPr>
        <w:spacing w:after="0" w:line="234"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91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65862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43" w:lineRule="exact"/>
        <w:rPr>
          <w:sz w:val="20"/>
          <w:szCs w:val="20"/>
          <w:color w:val="auto"/>
        </w:rPr>
      </w:pPr>
    </w:p>
    <w:p>
      <w:pPr>
        <w:ind w:right="480"/>
        <w:spacing w:after="0" w:line="342" w:lineRule="auto"/>
        <w:rPr>
          <w:rFonts w:ascii="Arial" w:cs="Arial" w:eastAsia="Arial" w:hAnsi="Arial"/>
          <w:sz w:val="16"/>
          <w:szCs w:val="16"/>
          <w:u w:val="single" w:color="auto"/>
          <w:color w:val="0000FF"/>
        </w:rPr>
      </w:pPr>
      <w:hyperlink r:id="rId20">
        <w:r>
          <w:rPr>
            <w:rFonts w:ascii="Arial" w:cs="Arial" w:eastAsia="Arial" w:hAnsi="Arial"/>
            <w:sz w:val="16"/>
            <w:szCs w:val="16"/>
            <w:u w:val="single" w:color="auto"/>
            <w:color w:val="0000FF"/>
          </w:rPr>
          <w:t>Separation and Distribution Agreement, dated November 1, 2013, by and between Penn National Gaming, Inc. and Gaming and Leisure</w:t>
        </w:r>
      </w:hyperlink>
      <w:r>
        <w:rPr>
          <w:rFonts w:ascii="Arial" w:cs="Arial" w:eastAsia="Arial" w:hAnsi="Arial"/>
          <w:sz w:val="16"/>
          <w:szCs w:val="16"/>
          <w:u w:val="single" w:color="auto"/>
          <w:color w:val="0000FF"/>
        </w:rPr>
        <w:t xml:space="preserve"> </w:t>
      </w:r>
      <w:hyperlink r:id="rId20">
        <w:r>
          <w:rPr>
            <w:rFonts w:ascii="Arial" w:cs="Arial" w:eastAsia="Arial" w:hAnsi="Arial"/>
            <w:sz w:val="16"/>
            <w:szCs w:val="16"/>
            <w:u w:val="single" w:color="auto"/>
            <w:color w:val="0000FF"/>
          </w:rPr>
          <w:t>Properties, Inc. (Incorporated by reference to Exhibit 2.1 to the Company's current report on Form 8-K filed on November 7, 2013).</w:t>
        </w:r>
      </w:hyperlink>
    </w:p>
    <w:p>
      <w:pPr>
        <w:spacing w:after="0" w:line="272" w:lineRule="exact"/>
        <w:rPr>
          <w:sz w:val="20"/>
          <w:szCs w:val="20"/>
          <w:color w:val="auto"/>
        </w:rPr>
      </w:pPr>
    </w:p>
    <w:p>
      <w:pPr>
        <w:spacing w:after="0"/>
        <w:rPr>
          <w:rFonts w:ascii="Arial" w:cs="Arial" w:eastAsia="Arial" w:hAnsi="Arial"/>
          <w:sz w:val="16"/>
          <w:szCs w:val="16"/>
          <w:u w:val="single" w:color="auto"/>
          <w:color w:val="0000FF"/>
        </w:rPr>
      </w:pPr>
      <w:hyperlink r:id="rId21">
        <w:r>
          <w:rPr>
            <w:rFonts w:ascii="Arial" w:cs="Arial" w:eastAsia="Arial" w:hAnsi="Arial"/>
            <w:sz w:val="16"/>
            <w:szCs w:val="16"/>
            <w:u w:val="single" w:color="auto"/>
            <w:color w:val="0000FF"/>
          </w:rPr>
          <w:t>Agreement and Plan of Merger, dated as of July 20, 2015, by and among Pinnacle Entertainment, Inc., Gaming and Leisure Properties, Inc.</w:t>
        </w:r>
      </w:hyperlink>
    </w:p>
    <w:p>
      <w:pPr>
        <w:spacing w:after="0" w:line="46" w:lineRule="exact"/>
        <w:rPr>
          <w:sz w:val="20"/>
          <w:szCs w:val="20"/>
          <w:color w:val="auto"/>
        </w:rPr>
      </w:pPr>
    </w:p>
    <w:p>
      <w:pPr>
        <w:spacing w:after="0"/>
        <w:rPr>
          <w:rFonts w:ascii="Arial" w:cs="Arial" w:eastAsia="Arial" w:hAnsi="Arial"/>
          <w:sz w:val="16"/>
          <w:szCs w:val="16"/>
          <w:u w:val="single" w:color="auto"/>
          <w:color w:val="0000FF"/>
        </w:rPr>
      </w:pPr>
      <w:hyperlink r:id="rId21">
        <w:r>
          <w:rPr>
            <w:rFonts w:ascii="Arial" w:cs="Arial" w:eastAsia="Arial" w:hAnsi="Arial"/>
            <w:sz w:val="16"/>
            <w:szCs w:val="16"/>
            <w:u w:val="single" w:color="auto"/>
            <w:color w:val="0000FF"/>
          </w:rPr>
          <w:t>and Gold Merger Sub, LLC. (Incorporated by reference to Exhibit 2.1 to the Company's current report on Form 8-K filed on July 22, 2015).</w:t>
        </w:r>
      </w:hyperlink>
    </w:p>
    <w:p>
      <w:pPr>
        <w:spacing w:after="0" w:line="382" w:lineRule="exact"/>
        <w:rPr>
          <w:sz w:val="20"/>
          <w:szCs w:val="20"/>
          <w:color w:val="auto"/>
        </w:rPr>
      </w:pPr>
    </w:p>
    <w:p>
      <w:pPr>
        <w:ind w:right="540"/>
        <w:spacing w:after="0" w:line="264" w:lineRule="auto"/>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Amendment No. 1, dated as of March 25, 2016, to Agreement and Plan of Merger, dated as of July 20, 2015, by and among Pinnacle</w:t>
        </w:r>
      </w:hyperlink>
      <w:r>
        <w:rPr>
          <w:rFonts w:ascii="Arial" w:cs="Arial" w:eastAsia="Arial" w:hAnsi="Arial"/>
          <w:sz w:val="18"/>
          <w:szCs w:val="18"/>
          <w:u w:val="single" w:color="auto"/>
          <w:color w:val="0000FF"/>
        </w:rPr>
        <w:t xml:space="preserve"> </w:t>
      </w:r>
      <w:hyperlink r:id="rId22">
        <w:r>
          <w:rPr>
            <w:rFonts w:ascii="Arial" w:cs="Arial" w:eastAsia="Arial" w:hAnsi="Arial"/>
            <w:sz w:val="18"/>
            <w:szCs w:val="18"/>
            <w:u w:val="single" w:color="auto"/>
            <w:color w:val="0000FF"/>
          </w:rPr>
          <w:t>Entertainment, Inc., Gaming and Leisure Properties, Inc. and Golder Merger Sub, LLC. (Incorporated by reference to Exhibit 2.1 to the</w:t>
        </w:r>
      </w:hyperlink>
      <w:r>
        <w:rPr>
          <w:rFonts w:ascii="Arial" w:cs="Arial" w:eastAsia="Arial" w:hAnsi="Arial"/>
          <w:sz w:val="18"/>
          <w:szCs w:val="18"/>
          <w:u w:val="single" w:color="auto"/>
          <w:color w:val="0000FF"/>
        </w:rPr>
        <w:t xml:space="preserve"> </w:t>
      </w:r>
      <w:hyperlink r:id="rId22">
        <w:r>
          <w:rPr>
            <w:rFonts w:ascii="Arial" w:cs="Arial" w:eastAsia="Arial" w:hAnsi="Arial"/>
            <w:sz w:val="18"/>
            <w:szCs w:val="18"/>
            <w:u w:val="single" w:color="auto"/>
            <w:color w:val="0000FF"/>
          </w:rPr>
          <w:t>Company's current report on Form 8-K filed on March 28, 2016).</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820" w:space="260"/>
            <w:col w:w="10280"/>
          </w:cols>
          <w:pgMar w:left="240" w:top="130" w:right="299" w:bottom="1440" w:gutter="0" w:footer="0" w:header="0"/>
          <w:type w:val="continuous"/>
        </w:sectPr>
      </w:pPr>
    </w:p>
    <w:p>
      <w:pPr>
        <w:spacing w:after="0" w:line="49" w:lineRule="exact"/>
        <w:rPr>
          <w:rFonts w:ascii="Arial" w:cs="Arial" w:eastAsia="Arial" w:hAnsi="Arial"/>
          <w:sz w:val="18"/>
          <w:szCs w:val="18"/>
          <w:u w:val="single" w:color="auto"/>
          <w:color w:val="0000FF"/>
        </w:rPr>
      </w:pPr>
    </w:p>
    <w:p>
      <w:pPr>
        <w:ind w:left="1080" w:right="60" w:hanging="481"/>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2.4</w:t>
      </w:r>
      <w:r>
        <w:rPr>
          <w:sz w:val="20"/>
          <w:szCs w:val="20"/>
          <w:color w:val="auto"/>
        </w:rPr>
        <w:tab/>
      </w:r>
      <w:hyperlink r:id="rId23">
        <w:r>
          <w:rPr>
            <w:rFonts w:ascii="Arial" w:cs="Arial" w:eastAsia="Arial" w:hAnsi="Arial"/>
            <w:sz w:val="18"/>
            <w:szCs w:val="18"/>
            <w:u w:val="single" w:color="auto"/>
            <w:color w:val="0000FF"/>
          </w:rPr>
          <w:t>Separation and Distribution Agreement, dated April 28, 2016, by and between PNK Entertainment, Inc., Gold Merger Sub, LLC (as successor</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to Pinnacle Entertainment, Inc.) and solely with respect to Article VIII, Gaming and Leisure Properties, Inc. (Incorporated by reference to</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Exhibit 2.4 to the Company's current report on Form 8-K filed on April 28, 2016).</w:t>
        </w:r>
      </w:hyperlink>
    </w:p>
    <w:p>
      <w:pPr>
        <w:spacing w:after="0" w:line="249" w:lineRule="exact"/>
        <w:rPr>
          <w:rFonts w:ascii="Arial" w:cs="Arial" w:eastAsia="Arial" w:hAnsi="Arial"/>
          <w:sz w:val="18"/>
          <w:szCs w:val="18"/>
          <w:u w:val="single" w:color="auto"/>
          <w:color w:val="0000FF"/>
        </w:rPr>
      </w:pPr>
    </w:p>
    <w:p>
      <w:pPr>
        <w:jc w:val="both"/>
        <w:ind w:left="1080" w:right="220" w:hanging="481"/>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2.5</w:t>
      </w:r>
      <w:r>
        <w:rPr>
          <w:sz w:val="20"/>
          <w:szCs w:val="20"/>
          <w:color w:val="auto"/>
        </w:rPr>
        <w:tab/>
      </w:r>
      <w:hyperlink r:id="rId24">
        <w:r>
          <w:rPr>
            <w:rFonts w:ascii="Arial" w:cs="Arial" w:eastAsia="Arial" w:hAnsi="Arial"/>
            <w:sz w:val="18"/>
            <w:szCs w:val="18"/>
            <w:u w:val="single" w:color="auto"/>
            <w:color w:val="0000FF"/>
          </w:rPr>
          <w:t>Agreement and Plan of Merger, dated as of April 15, 2018, by and among Eldorado Resorts, Inc., Delta Merger Sub, Inc., GLP Capital, L.P.</w:t>
        </w:r>
      </w:hyperlink>
      <w:r>
        <w:rPr>
          <w:rFonts w:ascii="Arial" w:cs="Arial" w:eastAsia="Arial" w:hAnsi="Arial"/>
          <w:sz w:val="18"/>
          <w:szCs w:val="18"/>
          <w:u w:val="single" w:color="auto"/>
          <w:color w:val="0000FF"/>
        </w:rPr>
        <w:t xml:space="preserve"> </w:t>
      </w:r>
      <w:hyperlink r:id="rId24">
        <w:r>
          <w:rPr>
            <w:rFonts w:ascii="Arial" w:cs="Arial" w:eastAsia="Arial" w:hAnsi="Arial"/>
            <w:sz w:val="18"/>
            <w:szCs w:val="18"/>
            <w:u w:val="single" w:color="auto"/>
            <w:color w:val="0000FF"/>
          </w:rPr>
          <w:t>and Tropicana Entertainment Inc. (Incorporated by reference to Exhibit 2.1 to the Company's current report on Form 8-K, filed on April 16,</w:t>
        </w:r>
      </w:hyperlink>
      <w:r>
        <w:rPr>
          <w:rFonts w:ascii="Arial" w:cs="Arial" w:eastAsia="Arial" w:hAnsi="Arial"/>
          <w:sz w:val="18"/>
          <w:szCs w:val="18"/>
          <w:u w:val="single" w:color="auto"/>
          <w:color w:val="0000FF"/>
        </w:rPr>
        <w:t xml:space="preserve"> </w:t>
      </w:r>
      <w:hyperlink r:id="rId24">
        <w:r>
          <w:rPr>
            <w:rFonts w:ascii="Arial" w:cs="Arial" w:eastAsia="Arial" w:hAnsi="Arial"/>
            <w:sz w:val="18"/>
            <w:szCs w:val="18"/>
            <w:u w:val="single" w:color="auto"/>
            <w:color w:val="0000FF"/>
          </w:rPr>
          <w:t>2018).</w:t>
        </w:r>
      </w:hyperlink>
    </w:p>
    <w:p>
      <w:pPr>
        <w:spacing w:after="0" w:line="235" w:lineRule="exact"/>
        <w:rPr>
          <w:rFonts w:ascii="Arial" w:cs="Arial" w:eastAsia="Arial" w:hAnsi="Arial"/>
          <w:sz w:val="18"/>
          <w:szCs w:val="18"/>
          <w:u w:val="single" w:color="auto"/>
          <w:color w:val="0000FF"/>
        </w:rPr>
      </w:pPr>
    </w:p>
    <w:p>
      <w:pPr>
        <w:ind w:left="60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2.6</w:t>
      </w:r>
      <w:r>
        <w:rPr>
          <w:sz w:val="20"/>
          <w:szCs w:val="20"/>
          <w:color w:val="auto"/>
        </w:rPr>
        <w:tab/>
      </w:r>
      <w:hyperlink r:id="rId25">
        <w:r>
          <w:rPr>
            <w:rFonts w:ascii="Arial" w:cs="Arial" w:eastAsia="Arial" w:hAnsi="Arial"/>
            <w:sz w:val="16"/>
            <w:szCs w:val="16"/>
            <w:u w:val="single" w:color="auto"/>
            <w:color w:val="0000FF"/>
          </w:rPr>
          <w:t>Real Estate Purchase and Sale Agreement, dated as of April 15, 2018, by and between Tropicana Entertainment Inc. and GLP Capital, L.P.</w:t>
        </w:r>
      </w:hyperlink>
    </w:p>
    <w:p>
      <w:pPr>
        <w:spacing w:after="0" w:line="23" w:lineRule="exact"/>
        <w:rPr>
          <w:rFonts w:ascii="Arial" w:cs="Arial" w:eastAsia="Arial" w:hAnsi="Arial"/>
          <w:sz w:val="18"/>
          <w:szCs w:val="18"/>
          <w:u w:val="single" w:color="auto"/>
          <w:color w:val="0000FF"/>
        </w:rPr>
      </w:pPr>
    </w:p>
    <w:p>
      <w:pPr>
        <w:ind w:left="1080"/>
        <w:spacing w:after="0"/>
        <w:rPr>
          <w:rFonts w:ascii="Arial" w:cs="Arial" w:eastAsia="Arial" w:hAnsi="Arial"/>
          <w:sz w:val="18"/>
          <w:szCs w:val="18"/>
          <w:u w:val="single" w:color="auto"/>
          <w:color w:val="0000FF"/>
        </w:rPr>
      </w:pPr>
      <w:hyperlink r:id="rId25">
        <w:r>
          <w:rPr>
            <w:rFonts w:ascii="Arial" w:cs="Arial" w:eastAsia="Arial" w:hAnsi="Arial"/>
            <w:sz w:val="18"/>
            <w:szCs w:val="18"/>
            <w:u w:val="single" w:color="auto"/>
            <w:color w:val="0000FF"/>
          </w:rPr>
          <w:t>(Incorporated by reference to Exhibit 2.2 to the Company's current report on Form 8-K, filed on April 16, 2018).</w:t>
        </w:r>
      </w:hyperlink>
    </w:p>
    <w:p>
      <w:pPr>
        <w:spacing w:after="0" w:line="278" w:lineRule="exact"/>
        <w:rPr>
          <w:rFonts w:ascii="Arial" w:cs="Arial" w:eastAsia="Arial" w:hAnsi="Arial"/>
          <w:sz w:val="18"/>
          <w:szCs w:val="18"/>
          <w:u w:val="single" w:color="auto"/>
          <w:color w:val="0000FF"/>
        </w:rPr>
      </w:pPr>
    </w:p>
    <w:p>
      <w:pPr>
        <w:ind w:left="1080" w:right="40" w:hanging="481"/>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2.7</w:t>
      </w:r>
      <w:r>
        <w:rPr>
          <w:sz w:val="20"/>
          <w:szCs w:val="20"/>
          <w:color w:val="auto"/>
        </w:rPr>
        <w:tab/>
      </w:r>
      <w:hyperlink r:id="rId26">
        <w:r>
          <w:rPr>
            <w:rFonts w:ascii="Arial" w:cs="Arial" w:eastAsia="Arial" w:hAnsi="Arial"/>
            <w:sz w:val="18"/>
            <w:szCs w:val="18"/>
            <w:u w:val="single" w:color="auto"/>
            <w:color w:val="0000FF"/>
          </w:rPr>
          <w:t>Amendment No. 1 and Joinder to Real Estate Purchase and Sale Agreement, dated as of October 1, 2018, by and among Tropicana</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Entertainment, Inc., Eldorado Resorts, Inc. and GLP Capital, L.P. (Incorporated by reference to Exhibit 2.3 to the Company's current report on</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Form 8-K, filed on October 1, 2018).</w:t>
        </w:r>
      </w:hyperlink>
    </w:p>
    <w:p>
      <w:pPr>
        <w:spacing w:after="0" w:line="249" w:lineRule="exact"/>
        <w:rPr>
          <w:rFonts w:ascii="Arial" w:cs="Arial" w:eastAsia="Arial" w:hAnsi="Arial"/>
          <w:sz w:val="18"/>
          <w:szCs w:val="18"/>
          <w:u w:val="single" w:color="auto"/>
          <w:color w:val="0000FF"/>
        </w:rPr>
      </w:pPr>
    </w:p>
    <w:p>
      <w:pPr>
        <w:ind w:left="1080" w:right="480" w:hanging="481"/>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27">
        <w:r>
          <w:rPr>
            <w:rFonts w:ascii="Arial" w:cs="Arial" w:eastAsia="Arial" w:hAnsi="Arial"/>
            <w:sz w:val="18"/>
            <w:szCs w:val="18"/>
            <w:u w:val="single" w:color="auto"/>
            <w:color w:val="0000FF"/>
          </w:rPr>
          <w:t>Amended and Restated Articles of Incorporation of Gaming and Leisure Properties, Inc. (Incorporated by reference to Exhibit 3.1 to the</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Company's current report on Form 8-K filed on June 15, 2018).</w:t>
        </w:r>
      </w:hyperlink>
    </w:p>
    <w:p>
      <w:pPr>
        <w:spacing w:after="0" w:line="238" w:lineRule="exact"/>
        <w:rPr>
          <w:sz w:val="20"/>
          <w:szCs w:val="20"/>
          <w:color w:val="auto"/>
        </w:rPr>
      </w:pPr>
    </w:p>
    <w:p>
      <w:pPr>
        <w:ind w:left="1080" w:right="340" w:hanging="481"/>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28">
        <w:r>
          <w:rPr>
            <w:rFonts w:ascii="Arial" w:cs="Arial" w:eastAsia="Arial" w:hAnsi="Arial"/>
            <w:sz w:val="18"/>
            <w:szCs w:val="18"/>
            <w:u w:val="single" w:color="auto"/>
            <w:color w:val="0000FF"/>
          </w:rPr>
          <w:t>Amended and Restated Bylaws of Gaming and Leisure Properties, Inc. (Incorporated by reference to Exhibit 3.2 to the Company's current</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report on Form 8-K filed on June 15, 2018).</w:t>
        </w:r>
      </w:hyperlink>
    </w:p>
    <w:p>
      <w:pPr>
        <w:spacing w:after="0" w:line="238" w:lineRule="exact"/>
        <w:rPr>
          <w:sz w:val="20"/>
          <w:szCs w:val="20"/>
          <w:color w:val="auto"/>
        </w:rPr>
      </w:pPr>
    </w:p>
    <w:p>
      <w:pPr>
        <w:ind w:left="1080" w:right="20" w:hanging="481"/>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29">
        <w:r>
          <w:rPr>
            <w:rFonts w:ascii="Arial" w:cs="Arial" w:eastAsia="Arial" w:hAnsi="Arial"/>
            <w:sz w:val="18"/>
            <w:szCs w:val="18"/>
            <w:u w:val="single" w:color="auto"/>
            <w:color w:val="0000FF"/>
          </w:rPr>
          <w:t>Indenture, dated as of October 30, 2013, among GLP Capital, L.P. and GLP Financing II, Inc., as Issuers, Gaming and Leisure Properties, Inc.,</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as Parent Guarantor, and Wells Fargo Bank, National Association, as Trustee. (Incorporated by reference to Exhibit 4.1 to the Company's</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current report on Form 8-K filed on November 1, 2013).</w:t>
        </w:r>
      </w:hyperlink>
    </w:p>
    <w:p>
      <w:pPr>
        <w:spacing w:after="0" w:line="249" w:lineRule="exact"/>
        <w:rPr>
          <w:rFonts w:ascii="Arial" w:cs="Arial" w:eastAsia="Arial" w:hAnsi="Arial"/>
          <w:sz w:val="18"/>
          <w:szCs w:val="18"/>
          <w:u w:val="single" w:color="auto"/>
          <w:color w:val="0000FF"/>
        </w:rPr>
      </w:pPr>
    </w:p>
    <w:p>
      <w:pPr>
        <w:ind w:left="1080" w:right="140" w:hanging="481"/>
        <w:spacing w:after="0" w:line="34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4.2</w:t>
      </w:r>
      <w:r>
        <w:rPr>
          <w:sz w:val="20"/>
          <w:szCs w:val="20"/>
          <w:color w:val="auto"/>
        </w:rPr>
        <w:tab/>
      </w:r>
      <w:hyperlink r:id="rId30">
        <w:r>
          <w:rPr>
            <w:rFonts w:ascii="Arial" w:cs="Arial" w:eastAsia="Arial" w:hAnsi="Arial"/>
            <w:sz w:val="16"/>
            <w:szCs w:val="16"/>
            <w:u w:val="single" w:color="auto"/>
            <w:color w:val="0000FF"/>
          </w:rPr>
          <w:t>First Supplemental Indenture, dated as of March 28, 2016, among GLP Capital, L.P., GLP Financing II, Inc. and Wells Fargo Bank, National</w:t>
        </w:r>
      </w:hyperlink>
      <w:r>
        <w:rPr>
          <w:rFonts w:ascii="Arial" w:cs="Arial" w:eastAsia="Arial" w:hAnsi="Arial"/>
          <w:sz w:val="16"/>
          <w:szCs w:val="16"/>
          <w:u w:val="single" w:color="auto"/>
          <w:color w:val="0000FF"/>
        </w:rPr>
        <w:t xml:space="preserve"> </w:t>
      </w:r>
      <w:hyperlink r:id="rId30">
        <w:r>
          <w:rPr>
            <w:rFonts w:ascii="Arial" w:cs="Arial" w:eastAsia="Arial" w:hAnsi="Arial"/>
            <w:sz w:val="16"/>
            <w:szCs w:val="16"/>
            <w:u w:val="single" w:color="auto"/>
            <w:color w:val="0000FF"/>
          </w:rPr>
          <w:t>Association, as Trustee. (Incorporated by reference to Exhibit 4.1 to the Company's current report on Form 8-K filed on March 28, 2016).</w:t>
        </w:r>
      </w:hyperlink>
    </w:p>
    <w:p>
      <w:pPr>
        <w:spacing w:after="0" w:line="191" w:lineRule="exact"/>
        <w:rPr>
          <w:sz w:val="20"/>
          <w:szCs w:val="20"/>
          <w:color w:val="auto"/>
        </w:rPr>
      </w:pPr>
    </w:p>
    <w:p>
      <w:pPr>
        <w:ind w:left="1080" w:hanging="481"/>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hyperlink r:id="rId31">
        <w:r>
          <w:rPr>
            <w:rFonts w:ascii="Arial" w:cs="Arial" w:eastAsia="Arial" w:hAnsi="Arial"/>
            <w:sz w:val="18"/>
            <w:szCs w:val="18"/>
            <w:u w:val="single" w:color="auto"/>
            <w:color w:val="0000FF"/>
          </w:rPr>
          <w:t>Second Supplemental Indenture, dated as of April 28, 2016, by and among GLP Capital, L.P., GLP Financing II, Inc. as Issuers and Gaming</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and Leisure Properties, Inc, as Parent Guarantor and Wells Fargo Bank, National Association, as Trustee. (Incorporated by reference to Exhibit</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4.3 to the Company's current report on Form 8-K filed on April 28, 2016).</w:t>
        </w:r>
      </w:hyperlink>
    </w:p>
    <w:p>
      <w:pPr>
        <w:spacing w:after="0" w:line="249" w:lineRule="exact"/>
        <w:rPr>
          <w:rFonts w:ascii="Arial" w:cs="Arial" w:eastAsia="Arial" w:hAnsi="Arial"/>
          <w:sz w:val="18"/>
          <w:szCs w:val="18"/>
          <w:u w:val="single" w:color="auto"/>
          <w:color w:val="0000FF"/>
        </w:rPr>
      </w:pPr>
    </w:p>
    <w:p>
      <w:pPr>
        <w:jc w:val="both"/>
        <w:ind w:left="1080" w:right="20" w:hanging="481"/>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4.4</w:t>
      </w:r>
      <w:r>
        <w:rPr>
          <w:sz w:val="20"/>
          <w:szCs w:val="20"/>
          <w:color w:val="auto"/>
        </w:rPr>
        <w:tab/>
      </w:r>
      <w:hyperlink r:id="rId32">
        <w:r>
          <w:rPr>
            <w:rFonts w:ascii="Arial" w:cs="Arial" w:eastAsia="Arial" w:hAnsi="Arial"/>
            <w:sz w:val="18"/>
            <w:szCs w:val="18"/>
            <w:u w:val="single" w:color="auto"/>
            <w:color w:val="0000FF"/>
          </w:rPr>
          <w:t>Third Supplemental Indenture, dated as of April 28, 2016, by and among GLP Capital, L.P., GLP Financing II, Inc. as Issuers and Gaming and</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Leisure Properties, Inc. as Parent Guarantor and Wells Fargo Bank, National Association, as Trustee. (Incorporated by reference to Exhibit 4.4</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to the Company's current report on Form 8-K filed on April 28, 2016).</w:t>
        </w:r>
      </w:hyperlink>
    </w:p>
    <w:p>
      <w:pPr>
        <w:spacing w:after="0" w:line="249" w:lineRule="exact"/>
        <w:rPr>
          <w:rFonts w:ascii="Arial" w:cs="Arial" w:eastAsia="Arial" w:hAnsi="Arial"/>
          <w:sz w:val="18"/>
          <w:szCs w:val="18"/>
          <w:u w:val="single" w:color="auto"/>
          <w:color w:val="0000FF"/>
        </w:rPr>
      </w:pPr>
    </w:p>
    <w:p>
      <w:pPr>
        <w:ind w:left="1080" w:right="20" w:hanging="481"/>
        <w:spacing w:after="0" w:line="286" w:lineRule="auto"/>
        <w:tabs>
          <w:tab w:leader="none" w:pos="1060" w:val="left"/>
        </w:tabs>
        <w:rPr>
          <w:rFonts w:ascii="Arial" w:cs="Arial" w:eastAsia="Arial" w:hAnsi="Arial"/>
          <w:sz w:val="17"/>
          <w:szCs w:val="17"/>
          <w:u w:val="single" w:color="auto"/>
          <w:color w:val="0000FF"/>
        </w:rPr>
      </w:pPr>
      <w:r>
        <w:rPr>
          <w:rFonts w:ascii="Arial" w:cs="Arial" w:eastAsia="Arial" w:hAnsi="Arial"/>
          <w:sz w:val="18"/>
          <w:szCs w:val="18"/>
          <w:color w:val="auto"/>
        </w:rPr>
        <w:t>4.5</w:t>
      </w:r>
      <w:r>
        <w:rPr>
          <w:sz w:val="20"/>
          <w:szCs w:val="20"/>
          <w:color w:val="auto"/>
        </w:rPr>
        <w:tab/>
      </w:r>
      <w:hyperlink r:id="rId33">
        <w:r>
          <w:rPr>
            <w:rFonts w:ascii="Arial" w:cs="Arial" w:eastAsia="Arial" w:hAnsi="Arial"/>
            <w:sz w:val="17"/>
            <w:szCs w:val="17"/>
            <w:u w:val="single" w:color="auto"/>
            <w:color w:val="0000FF"/>
          </w:rPr>
          <w:t>Fourth Supplemental Indenture, dated May 21, 2018, among GLP Capital, L.P. and GLP Financing II, Inc. as Issuers, Gaming and Leisure</w:t>
        </w:r>
      </w:hyperlink>
      <w:r>
        <w:rPr>
          <w:rFonts w:ascii="Arial" w:cs="Arial" w:eastAsia="Arial" w:hAnsi="Arial"/>
          <w:sz w:val="17"/>
          <w:szCs w:val="17"/>
          <w:u w:val="single" w:color="auto"/>
          <w:color w:val="0000FF"/>
        </w:rPr>
        <w:t xml:space="preserve"> </w:t>
      </w:r>
      <w:hyperlink r:id="rId33">
        <w:r>
          <w:rPr>
            <w:rFonts w:ascii="Arial" w:cs="Arial" w:eastAsia="Arial" w:hAnsi="Arial"/>
            <w:sz w:val="17"/>
            <w:szCs w:val="17"/>
            <w:u w:val="single" w:color="auto"/>
            <w:color w:val="0000FF"/>
          </w:rPr>
          <w:t>Properties, Inc., as Parent Guarantor, and Wells Fargo Bank, National Association, as Trustee, relating to the Issuers' 4.375% Senior Notes due</w:t>
        </w:r>
      </w:hyperlink>
      <w:r>
        <w:rPr>
          <w:rFonts w:ascii="Arial" w:cs="Arial" w:eastAsia="Arial" w:hAnsi="Arial"/>
          <w:sz w:val="17"/>
          <w:szCs w:val="17"/>
          <w:u w:val="single" w:color="auto"/>
          <w:color w:val="0000FF"/>
        </w:rPr>
        <w:t xml:space="preserve"> </w:t>
      </w:r>
      <w:hyperlink r:id="rId33">
        <w:r>
          <w:rPr>
            <w:rFonts w:ascii="Arial" w:cs="Arial" w:eastAsia="Arial" w:hAnsi="Arial"/>
            <w:sz w:val="17"/>
            <w:szCs w:val="17"/>
            <w:u w:val="single" w:color="auto"/>
            <w:color w:val="0000FF"/>
          </w:rPr>
          <w:t>2018. (Incorporated by reference to Exhibit 4.3 to the Company's current report on Form 8-K, filed on May 22, 2018).</w:t>
        </w:r>
      </w:hyperlink>
    </w:p>
    <w:p>
      <w:pPr>
        <w:sectPr>
          <w:pgSz w:w="11900" w:h="16838" w:orient="portrait"/>
          <w:cols w:equalWidth="0" w:num="1">
            <w:col w:w="11360"/>
          </w:cols>
          <w:pgMar w:left="240" w:top="130" w:right="299" w:bottom="1440" w:gutter="0" w:footer="0" w:header="0"/>
          <w:type w:val="continuous"/>
        </w:sect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57" w:lineRule="exact"/>
        <w:rPr>
          <w:rFonts w:ascii="Arial" w:cs="Arial" w:eastAsia="Arial" w:hAnsi="Arial"/>
          <w:sz w:val="17"/>
          <w:szCs w:val="17"/>
          <w:u w:val="single" w:color="auto"/>
          <w:color w:val="0000FF"/>
        </w:rPr>
      </w:pPr>
    </w:p>
    <w:p>
      <w:pPr>
        <w:jc w:val="center"/>
        <w:ind w:right="-59"/>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1360"/>
          </w:cols>
          <w:pgMar w:left="240" w:top="130" w:right="299" w:bottom="1440" w:gutter="0" w:footer="0" w:header="0"/>
          <w:type w:val="continuous"/>
        </w:sectPr>
      </w:pPr>
    </w:p>
    <w:bookmarkStart w:id="124" w:name="page125"/>
    <w:bookmarkEnd w:id="12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240"/>
        <w:spacing w:after="0"/>
        <w:tabs>
          <w:tab w:leader="none" w:pos="554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1080" w:right="40" w:hanging="481"/>
        <w:spacing w:after="0" w:line="286" w:lineRule="auto"/>
        <w:tabs>
          <w:tab w:leader="none" w:pos="1060" w:val="left"/>
        </w:tabs>
        <w:rPr>
          <w:rFonts w:ascii="Arial" w:cs="Arial" w:eastAsia="Arial" w:hAnsi="Arial"/>
          <w:sz w:val="17"/>
          <w:szCs w:val="17"/>
          <w:u w:val="single" w:color="auto"/>
          <w:color w:val="0000FF"/>
        </w:rPr>
      </w:pPr>
      <w:r>
        <w:rPr>
          <w:rFonts w:ascii="Arial" w:cs="Arial" w:eastAsia="Arial" w:hAnsi="Arial"/>
          <w:sz w:val="18"/>
          <w:szCs w:val="18"/>
          <w:color w:val="auto"/>
        </w:rPr>
        <w:t>4.6</w:t>
      </w:r>
      <w:r>
        <w:rPr>
          <w:sz w:val="20"/>
          <w:szCs w:val="20"/>
          <w:color w:val="auto"/>
        </w:rPr>
        <w:tab/>
      </w:r>
      <w:hyperlink r:id="rId35">
        <w:r>
          <w:rPr>
            <w:rFonts w:ascii="Arial" w:cs="Arial" w:eastAsia="Arial" w:hAnsi="Arial"/>
            <w:sz w:val="17"/>
            <w:szCs w:val="17"/>
            <w:u w:val="single" w:color="auto"/>
            <w:color w:val="0000FF"/>
          </w:rPr>
          <w:t>Fifth Supplemental Indenture, dated May 21, 2018, among GLP Capital, L.P. and GLP Financing II, Inc. as Issuers, Gaming and Leisure</w:t>
        </w:r>
      </w:hyperlink>
      <w:r>
        <w:rPr>
          <w:rFonts w:ascii="Arial" w:cs="Arial" w:eastAsia="Arial" w:hAnsi="Arial"/>
          <w:sz w:val="17"/>
          <w:szCs w:val="17"/>
          <w:u w:val="single" w:color="auto"/>
          <w:color w:val="0000FF"/>
        </w:rPr>
        <w:t xml:space="preserve"> </w:t>
      </w:r>
      <w:hyperlink r:id="rId35">
        <w:r>
          <w:rPr>
            <w:rFonts w:ascii="Arial" w:cs="Arial" w:eastAsia="Arial" w:hAnsi="Arial"/>
            <w:sz w:val="17"/>
            <w:szCs w:val="17"/>
            <w:u w:val="single" w:color="auto"/>
            <w:color w:val="0000FF"/>
          </w:rPr>
          <w:t>Properties, Inc., as Parent Guarantor, and Wells Fargo Bank, National Association, as Trustee, relating to the Issuers' 5.250% Senior Notes due</w:t>
        </w:r>
      </w:hyperlink>
      <w:r>
        <w:rPr>
          <w:rFonts w:ascii="Arial" w:cs="Arial" w:eastAsia="Arial" w:hAnsi="Arial"/>
          <w:sz w:val="17"/>
          <w:szCs w:val="17"/>
          <w:u w:val="single" w:color="auto"/>
          <w:color w:val="0000FF"/>
        </w:rPr>
        <w:t xml:space="preserve"> </w:t>
      </w:r>
      <w:hyperlink r:id="rId35">
        <w:r>
          <w:rPr>
            <w:rFonts w:ascii="Arial" w:cs="Arial" w:eastAsia="Arial" w:hAnsi="Arial"/>
            <w:sz w:val="17"/>
            <w:szCs w:val="17"/>
            <w:u w:val="single" w:color="auto"/>
            <w:color w:val="0000FF"/>
          </w:rPr>
          <w:t>2025. (Incorporated by reference to Exhibit 4.4 to the Company's current report on Form 8-K, filed on May 22, 2018).</w:t>
        </w:r>
      </w:hyperlink>
    </w:p>
    <w:p>
      <w:pPr>
        <w:spacing w:after="0" w:line="233" w:lineRule="exact"/>
        <w:rPr>
          <w:rFonts w:ascii="Arial" w:cs="Arial" w:eastAsia="Arial" w:hAnsi="Arial"/>
          <w:sz w:val="17"/>
          <w:szCs w:val="17"/>
          <w:u w:val="single" w:color="auto"/>
          <w:color w:val="0000FF"/>
        </w:rPr>
      </w:pPr>
    </w:p>
    <w:p>
      <w:pPr>
        <w:ind w:left="1080" w:right="40" w:hanging="481"/>
        <w:spacing w:after="0" w:line="286" w:lineRule="auto"/>
        <w:tabs>
          <w:tab w:leader="none" w:pos="1060" w:val="left"/>
        </w:tabs>
        <w:rPr>
          <w:rFonts w:ascii="Arial" w:cs="Arial" w:eastAsia="Arial" w:hAnsi="Arial"/>
          <w:sz w:val="17"/>
          <w:szCs w:val="17"/>
          <w:u w:val="single" w:color="auto"/>
          <w:color w:val="0000FF"/>
        </w:rPr>
      </w:pPr>
      <w:r>
        <w:rPr>
          <w:rFonts w:ascii="Arial" w:cs="Arial" w:eastAsia="Arial" w:hAnsi="Arial"/>
          <w:sz w:val="18"/>
          <w:szCs w:val="18"/>
          <w:color w:val="auto"/>
        </w:rPr>
        <w:t>4.7</w:t>
      </w:r>
      <w:r>
        <w:rPr>
          <w:sz w:val="20"/>
          <w:szCs w:val="20"/>
          <w:color w:val="auto"/>
        </w:rPr>
        <w:tab/>
      </w:r>
      <w:hyperlink r:id="rId36">
        <w:r>
          <w:rPr>
            <w:rFonts w:ascii="Arial" w:cs="Arial" w:eastAsia="Arial" w:hAnsi="Arial"/>
            <w:sz w:val="17"/>
            <w:szCs w:val="17"/>
            <w:u w:val="single" w:color="auto"/>
            <w:color w:val="0000FF"/>
          </w:rPr>
          <w:t>Sixth Supplemental Indenture, dated May 21, 2018, among GLP Capital, L.P. and GLP Financing II, Inc. as Issuers, Gaming and Leisure</w:t>
        </w:r>
      </w:hyperlink>
      <w:r>
        <w:rPr>
          <w:rFonts w:ascii="Arial" w:cs="Arial" w:eastAsia="Arial" w:hAnsi="Arial"/>
          <w:sz w:val="17"/>
          <w:szCs w:val="17"/>
          <w:u w:val="single" w:color="auto"/>
          <w:color w:val="0000FF"/>
        </w:rPr>
        <w:t xml:space="preserve"> </w:t>
      </w:r>
      <w:hyperlink r:id="rId36">
        <w:r>
          <w:rPr>
            <w:rFonts w:ascii="Arial" w:cs="Arial" w:eastAsia="Arial" w:hAnsi="Arial"/>
            <w:sz w:val="17"/>
            <w:szCs w:val="17"/>
            <w:u w:val="single" w:color="auto"/>
            <w:color w:val="0000FF"/>
          </w:rPr>
          <w:t>Properties, Inc., as Parent Guarantor, and Wells Fargo Bank, National Association, as Trustee, relating to the Issuers' 5.750% Senior Notes due</w:t>
        </w:r>
      </w:hyperlink>
      <w:r>
        <w:rPr>
          <w:rFonts w:ascii="Arial" w:cs="Arial" w:eastAsia="Arial" w:hAnsi="Arial"/>
          <w:sz w:val="17"/>
          <w:szCs w:val="17"/>
          <w:u w:val="single" w:color="auto"/>
          <w:color w:val="0000FF"/>
        </w:rPr>
        <w:t xml:space="preserve"> </w:t>
      </w:r>
      <w:hyperlink r:id="rId36">
        <w:r>
          <w:rPr>
            <w:rFonts w:ascii="Arial" w:cs="Arial" w:eastAsia="Arial" w:hAnsi="Arial"/>
            <w:sz w:val="17"/>
            <w:szCs w:val="17"/>
            <w:u w:val="single" w:color="auto"/>
            <w:color w:val="0000FF"/>
          </w:rPr>
          <w:t>2028. (Incorporated by reference to Exhibit 4.5 to the Company's current report on Form 8-K, filed on May 22, 2018).</w:t>
        </w:r>
      </w:hyperlink>
    </w:p>
    <w:p>
      <w:pPr>
        <w:spacing w:after="0" w:line="233" w:lineRule="exact"/>
        <w:rPr>
          <w:rFonts w:ascii="Arial" w:cs="Arial" w:eastAsia="Arial" w:hAnsi="Arial"/>
          <w:sz w:val="17"/>
          <w:szCs w:val="17"/>
          <w:u w:val="single" w:color="auto"/>
          <w:color w:val="0000FF"/>
        </w:rPr>
      </w:pPr>
    </w:p>
    <w:p>
      <w:pPr>
        <w:ind w:left="1080" w:hanging="481"/>
        <w:spacing w:after="0" w:line="31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4.8</w:t>
      </w:r>
      <w:r>
        <w:rPr>
          <w:sz w:val="20"/>
          <w:szCs w:val="20"/>
          <w:color w:val="auto"/>
        </w:rPr>
        <w:tab/>
      </w:r>
      <w:hyperlink r:id="rId37">
        <w:r>
          <w:rPr>
            <w:rFonts w:ascii="Arial" w:cs="Arial" w:eastAsia="Arial" w:hAnsi="Arial"/>
            <w:sz w:val="16"/>
            <w:szCs w:val="16"/>
            <w:u w:val="single" w:color="auto"/>
            <w:color w:val="0000FF"/>
          </w:rPr>
          <w:t>Seventh Supplemental Indenture, dated as of September 26, 2018, among GLP Capital, L.P. and GLP Financing II, Inc. as Issuers, Gaming and</w:t>
        </w:r>
      </w:hyperlink>
      <w:r>
        <w:rPr>
          <w:rFonts w:ascii="Arial" w:cs="Arial" w:eastAsia="Arial" w:hAnsi="Arial"/>
          <w:sz w:val="16"/>
          <w:szCs w:val="16"/>
          <w:u w:val="single" w:color="auto"/>
          <w:color w:val="0000FF"/>
        </w:rPr>
        <w:t xml:space="preserve"> </w:t>
      </w:r>
      <w:hyperlink r:id="rId37">
        <w:r>
          <w:rPr>
            <w:rFonts w:ascii="Arial" w:cs="Arial" w:eastAsia="Arial" w:hAnsi="Arial"/>
            <w:sz w:val="16"/>
            <w:szCs w:val="16"/>
            <w:u w:val="single" w:color="auto"/>
            <w:color w:val="0000FF"/>
          </w:rPr>
          <w:t>Leisure Properties, Inc., as Parent Guarantor, and Wells Fargo Bank, National Association, as Trustee, relating to the Issuers' 5.300% Senior</w:t>
        </w:r>
      </w:hyperlink>
      <w:r>
        <w:rPr>
          <w:rFonts w:ascii="Arial" w:cs="Arial" w:eastAsia="Arial" w:hAnsi="Arial"/>
          <w:sz w:val="16"/>
          <w:szCs w:val="16"/>
          <w:u w:val="single" w:color="auto"/>
          <w:color w:val="0000FF"/>
        </w:rPr>
        <w:t xml:space="preserve"> </w:t>
      </w:r>
      <w:hyperlink r:id="rId37">
        <w:r>
          <w:rPr>
            <w:rFonts w:ascii="Arial" w:cs="Arial" w:eastAsia="Arial" w:hAnsi="Arial"/>
            <w:sz w:val="16"/>
            <w:szCs w:val="16"/>
            <w:u w:val="single" w:color="auto"/>
            <w:color w:val="0000FF"/>
          </w:rPr>
          <w:t>Notes due 2029. (Incorporated by reference to Exhibit 4.4 to the Company's current report on Form 8-K, filed on September 26, 2018).</w:t>
        </w:r>
      </w:hyperlink>
    </w:p>
    <w:p>
      <w:pPr>
        <w:spacing w:after="0" w:line="214" w:lineRule="exact"/>
        <w:rPr>
          <w:rFonts w:ascii="Arial" w:cs="Arial" w:eastAsia="Arial" w:hAnsi="Arial"/>
          <w:sz w:val="16"/>
          <w:szCs w:val="16"/>
          <w:u w:val="single" w:color="auto"/>
          <w:color w:val="0000FF"/>
        </w:rPr>
      </w:pPr>
    </w:p>
    <w:p>
      <w:pPr>
        <w:ind w:left="1080" w:right="160" w:hanging="481"/>
        <w:spacing w:after="0" w:line="308" w:lineRule="auto"/>
        <w:tabs>
          <w:tab w:leader="none" w:pos="1060" w:val="left"/>
        </w:tabs>
        <w:rPr>
          <w:rFonts w:ascii="Arial" w:cs="Arial" w:eastAsia="Arial" w:hAnsi="Arial"/>
          <w:sz w:val="17"/>
          <w:szCs w:val="17"/>
          <w:u w:val="single" w:color="auto"/>
          <w:color w:val="0000FF"/>
        </w:rPr>
      </w:pPr>
      <w:r>
        <w:rPr>
          <w:rFonts w:ascii="Arial" w:cs="Arial" w:eastAsia="Arial" w:hAnsi="Arial"/>
          <w:sz w:val="18"/>
          <w:szCs w:val="18"/>
          <w:color w:val="auto"/>
        </w:rPr>
        <w:t>4.9</w:t>
      </w:r>
      <w:r>
        <w:rPr>
          <w:sz w:val="20"/>
          <w:szCs w:val="20"/>
          <w:color w:val="auto"/>
        </w:rPr>
        <w:tab/>
      </w:r>
      <w:hyperlink r:id="rId38">
        <w:r>
          <w:rPr>
            <w:rFonts w:ascii="Arial" w:cs="Arial" w:eastAsia="Arial" w:hAnsi="Arial"/>
            <w:sz w:val="17"/>
            <w:szCs w:val="17"/>
            <w:u w:val="single" w:color="auto"/>
            <w:color w:val="0000FF"/>
          </w:rPr>
          <w:t>Officer's Certificate of GLP Capital, L.P. and GLP Financing II, Inc., dated as of October 30, 2013, establishing the 2018 Notes and the 2023</w:t>
        </w:r>
      </w:hyperlink>
      <w:r>
        <w:rPr>
          <w:rFonts w:ascii="Arial" w:cs="Arial" w:eastAsia="Arial" w:hAnsi="Arial"/>
          <w:sz w:val="17"/>
          <w:szCs w:val="17"/>
          <w:u w:val="single" w:color="auto"/>
          <w:color w:val="0000FF"/>
        </w:rPr>
        <w:t xml:space="preserve"> </w:t>
      </w:r>
      <w:hyperlink r:id="rId38">
        <w:r>
          <w:rPr>
            <w:rFonts w:ascii="Arial" w:cs="Arial" w:eastAsia="Arial" w:hAnsi="Arial"/>
            <w:sz w:val="17"/>
            <w:szCs w:val="17"/>
            <w:u w:val="single" w:color="auto"/>
            <w:color w:val="0000FF"/>
          </w:rPr>
          <w:t>Notes. (Incorporated by reference to Exhibit 4.2 to the Company's current report on Form 8-K filed on November 1, 2013).</w:t>
        </w:r>
      </w:hyperlink>
    </w:p>
    <w:p>
      <w:pPr>
        <w:spacing w:after="0" w:line="214" w:lineRule="exact"/>
        <w:rPr>
          <w:sz w:val="20"/>
          <w:szCs w:val="20"/>
          <w:color w:val="auto"/>
        </w:rPr>
      </w:pPr>
    </w:p>
    <w:p>
      <w:pPr>
        <w:ind w:left="1080" w:right="60" w:hanging="57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4.10</w:t>
      </w:r>
      <w:r>
        <w:rPr>
          <w:sz w:val="20"/>
          <w:szCs w:val="20"/>
          <w:color w:val="auto"/>
        </w:rPr>
        <w:tab/>
      </w:r>
      <w:hyperlink r:id="rId39">
        <w:r>
          <w:rPr>
            <w:rFonts w:ascii="Arial" w:cs="Arial" w:eastAsia="Arial" w:hAnsi="Arial"/>
            <w:sz w:val="18"/>
            <w:szCs w:val="18"/>
            <w:u w:val="single" w:color="auto"/>
            <w:color w:val="0000FF"/>
          </w:rPr>
          <w:t>Officer's Certificate of GLP Capital, L.P. and GLP Financing II, Inc., dated as of October 31, 2013, establishing the 2020 Notes. (Incorporated</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by reference to Exhibit 4.3 to the Company's current report on Form 8-K filed on November 1, 2013).</w:t>
        </w:r>
      </w:hyperlink>
    </w:p>
    <w:p>
      <w:pPr>
        <w:spacing w:after="0" w:line="238" w:lineRule="exact"/>
        <w:rPr>
          <w:sz w:val="20"/>
          <w:szCs w:val="20"/>
          <w:color w:val="auto"/>
        </w:rPr>
      </w:pPr>
    </w:p>
    <w:p>
      <w:pPr>
        <w:ind w:left="1080" w:right="20" w:hanging="564"/>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4.11</w:t>
      </w:r>
      <w:r>
        <w:rPr>
          <w:sz w:val="20"/>
          <w:szCs w:val="20"/>
          <w:color w:val="auto"/>
        </w:rPr>
        <w:tab/>
      </w:r>
      <w:hyperlink r:id="rId31">
        <w:r>
          <w:rPr>
            <w:rFonts w:ascii="Arial" w:cs="Arial" w:eastAsia="Arial" w:hAnsi="Arial"/>
            <w:sz w:val="18"/>
            <w:szCs w:val="18"/>
            <w:u w:val="single" w:color="auto"/>
            <w:color w:val="0000FF"/>
          </w:rPr>
          <w:t>Form of 2021 Note (Incorporated by reference to Exhibit 4.5 and included in Exhibit 4.3 to the Company's current report on Form 8-K filed on</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April 28, 2016).</w:t>
        </w:r>
      </w:hyperlink>
    </w:p>
    <w:p>
      <w:pPr>
        <w:spacing w:after="0" w:line="238" w:lineRule="exact"/>
        <w:rPr>
          <w:sz w:val="20"/>
          <w:szCs w:val="20"/>
          <w:color w:val="auto"/>
        </w:rPr>
      </w:pPr>
    </w:p>
    <w:p>
      <w:pPr>
        <w:ind w:left="1080" w:right="20" w:hanging="57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4.12</w:t>
      </w:r>
      <w:r>
        <w:rPr>
          <w:sz w:val="20"/>
          <w:szCs w:val="20"/>
          <w:color w:val="auto"/>
        </w:rPr>
        <w:tab/>
      </w:r>
      <w:hyperlink r:id="rId32">
        <w:r>
          <w:rPr>
            <w:rFonts w:ascii="Arial" w:cs="Arial" w:eastAsia="Arial" w:hAnsi="Arial"/>
            <w:sz w:val="18"/>
            <w:szCs w:val="18"/>
            <w:u w:val="single" w:color="auto"/>
            <w:color w:val="0000FF"/>
          </w:rPr>
          <w:t>Form of 2026 Note (Incorporated by reference to Exhibit 4.6 and included in Exhibit 4.4 to the Company's current report on Form 8-K filed on</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April 28, 2016).</w:t>
        </w:r>
      </w:hyperlink>
    </w:p>
    <w:p>
      <w:pPr>
        <w:spacing w:after="0" w:line="238" w:lineRule="exact"/>
        <w:rPr>
          <w:sz w:val="20"/>
          <w:szCs w:val="20"/>
          <w:color w:val="auto"/>
        </w:rPr>
      </w:pPr>
    </w:p>
    <w:p>
      <w:pPr>
        <w:ind w:left="1080" w:right="200" w:hanging="57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4.13</w:t>
      </w:r>
      <w:r>
        <w:rPr>
          <w:sz w:val="20"/>
          <w:szCs w:val="20"/>
          <w:color w:val="auto"/>
        </w:rPr>
        <w:tab/>
      </w:r>
      <w:hyperlink r:id="rId35">
        <w:r>
          <w:rPr>
            <w:rFonts w:ascii="Arial" w:cs="Arial" w:eastAsia="Arial" w:hAnsi="Arial"/>
            <w:sz w:val="18"/>
            <w:szCs w:val="18"/>
            <w:u w:val="single" w:color="auto"/>
            <w:color w:val="0000FF"/>
          </w:rPr>
          <w:t>Form of 2025 Note (Incorporated by reference to Exhibit 4.6 and included in Exhibit 4.4 to the Company's current report on Form 8-K, filed</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on May 22, 2018).</w:t>
        </w:r>
      </w:hyperlink>
    </w:p>
    <w:p>
      <w:pPr>
        <w:spacing w:after="0" w:line="238" w:lineRule="exact"/>
        <w:rPr>
          <w:sz w:val="20"/>
          <w:szCs w:val="20"/>
          <w:color w:val="auto"/>
        </w:rPr>
      </w:pPr>
    </w:p>
    <w:p>
      <w:pPr>
        <w:ind w:left="1080" w:right="200" w:hanging="57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4.14</w:t>
      </w:r>
      <w:r>
        <w:rPr>
          <w:sz w:val="20"/>
          <w:szCs w:val="20"/>
          <w:color w:val="auto"/>
        </w:rPr>
        <w:tab/>
      </w:r>
      <w:hyperlink r:id="rId36">
        <w:r>
          <w:rPr>
            <w:rFonts w:ascii="Arial" w:cs="Arial" w:eastAsia="Arial" w:hAnsi="Arial"/>
            <w:sz w:val="18"/>
            <w:szCs w:val="18"/>
            <w:u w:val="single" w:color="auto"/>
            <w:color w:val="0000FF"/>
          </w:rPr>
          <w:t>Form of 2028 Note (Incorporated by reference to Exhibit 4.7 and included in Exhibit 4.5 to the Company's current report on Form 8-K, filed</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on May 22, 2018).</w:t>
        </w:r>
      </w:hyperlink>
    </w:p>
    <w:p>
      <w:pPr>
        <w:spacing w:after="0" w:line="238" w:lineRule="exact"/>
        <w:rPr>
          <w:sz w:val="20"/>
          <w:szCs w:val="20"/>
          <w:color w:val="auto"/>
        </w:rPr>
      </w:pPr>
    </w:p>
    <w:p>
      <w:pPr>
        <w:ind w:left="1080" w:right="200" w:hanging="57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4.15</w:t>
      </w:r>
      <w:r>
        <w:rPr>
          <w:sz w:val="20"/>
          <w:szCs w:val="20"/>
          <w:color w:val="auto"/>
        </w:rPr>
        <w:tab/>
      </w:r>
      <w:hyperlink r:id="rId37">
        <w:r>
          <w:rPr>
            <w:rFonts w:ascii="Arial" w:cs="Arial" w:eastAsia="Arial" w:hAnsi="Arial"/>
            <w:sz w:val="18"/>
            <w:szCs w:val="18"/>
            <w:u w:val="single" w:color="auto"/>
            <w:color w:val="0000FF"/>
          </w:rPr>
          <w:t>Form of 2029 Note (Incorporated by reference to Exhibit 4.6 and included in Exhibit 4.4 to the Company's current report on Form 8-K, filed</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on September 26, 2018).</w:t>
        </w:r>
      </w:hyperlink>
    </w:p>
    <w:p>
      <w:pPr>
        <w:spacing w:after="0" w:line="238" w:lineRule="exact"/>
        <w:rPr>
          <w:sz w:val="20"/>
          <w:szCs w:val="20"/>
          <w:color w:val="auto"/>
        </w:rPr>
      </w:pPr>
    </w:p>
    <w:p>
      <w:pPr>
        <w:ind w:left="1080" w:right="180" w:hanging="570"/>
        <w:spacing w:after="0" w:line="31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r:id="rId40">
        <w:r>
          <w:rPr>
            <w:rFonts w:ascii="Arial" w:cs="Arial" w:eastAsia="Arial" w:hAnsi="Arial"/>
            <w:sz w:val="16"/>
            <w:szCs w:val="16"/>
            <w:u w:val="single" w:color="auto"/>
            <w:color w:val="0000FF"/>
          </w:rPr>
          <w:t>Registration Rights Agreement, dated as of October 30, 2013, by and among GLP Capital, L.P., GLP Financing II, Inc., Gaming and Leisure</w:t>
        </w:r>
      </w:hyperlink>
      <w:r>
        <w:rPr>
          <w:rFonts w:ascii="Arial" w:cs="Arial" w:eastAsia="Arial" w:hAnsi="Arial"/>
          <w:sz w:val="16"/>
          <w:szCs w:val="16"/>
          <w:u w:val="single" w:color="auto"/>
          <w:color w:val="0000FF"/>
        </w:rPr>
        <w:t xml:space="preserve"> </w:t>
      </w:r>
      <w:hyperlink r:id="rId40">
        <w:r>
          <w:rPr>
            <w:rFonts w:ascii="Arial" w:cs="Arial" w:eastAsia="Arial" w:hAnsi="Arial"/>
            <w:sz w:val="16"/>
            <w:szCs w:val="16"/>
            <w:u w:val="single" w:color="auto"/>
            <w:color w:val="0000FF"/>
          </w:rPr>
          <w:t>Properties, Inc. and Merrill Lynch, Pierce, Fenner &amp; Smith Incorporated and the other initial purchasers named therein, with respect to the</w:t>
        </w:r>
      </w:hyperlink>
      <w:r>
        <w:rPr>
          <w:rFonts w:ascii="Arial" w:cs="Arial" w:eastAsia="Arial" w:hAnsi="Arial"/>
          <w:sz w:val="16"/>
          <w:szCs w:val="16"/>
          <w:u w:val="single" w:color="auto"/>
          <w:color w:val="0000FF"/>
        </w:rPr>
        <w:t xml:space="preserve"> </w:t>
      </w:r>
      <w:hyperlink r:id="rId40">
        <w:r>
          <w:rPr>
            <w:rFonts w:ascii="Arial" w:cs="Arial" w:eastAsia="Arial" w:hAnsi="Arial"/>
            <w:sz w:val="16"/>
            <w:szCs w:val="16"/>
            <w:u w:val="single" w:color="auto"/>
            <w:color w:val="0000FF"/>
          </w:rPr>
          <w:t>2018 Notes. (Incorporated by reference to Exhibit 10.1 to the Company's current report on Form 8-K filed on November 1, 2013).</w:t>
        </w:r>
      </w:hyperlink>
    </w:p>
    <w:p>
      <w:pPr>
        <w:spacing w:after="0" w:line="255" w:lineRule="exact"/>
        <w:rPr>
          <w:rFonts w:ascii="Arial" w:cs="Arial" w:eastAsia="Arial" w:hAnsi="Arial"/>
          <w:sz w:val="16"/>
          <w:szCs w:val="16"/>
          <w:u w:val="single" w:color="auto"/>
          <w:color w:val="0000FF"/>
        </w:rPr>
      </w:pPr>
    </w:p>
    <w:p>
      <w:pPr>
        <w:ind w:left="1080" w:right="180" w:hanging="570"/>
        <w:spacing w:after="0" w:line="31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10.2</w:t>
      </w:r>
      <w:r>
        <w:rPr>
          <w:sz w:val="20"/>
          <w:szCs w:val="20"/>
          <w:color w:val="auto"/>
        </w:rPr>
        <w:tab/>
      </w:r>
      <w:hyperlink r:id="rId41">
        <w:r>
          <w:rPr>
            <w:rFonts w:ascii="Arial" w:cs="Arial" w:eastAsia="Arial" w:hAnsi="Arial"/>
            <w:sz w:val="16"/>
            <w:szCs w:val="16"/>
            <w:u w:val="single" w:color="auto"/>
            <w:color w:val="0000FF"/>
          </w:rPr>
          <w:t>Registration Rights Agreement, dated as of October 30, 2013, by and among GLP Capital, L.P., GLP Financing II, Inc., Gaming and Leisure</w:t>
        </w:r>
      </w:hyperlink>
      <w:r>
        <w:rPr>
          <w:rFonts w:ascii="Arial" w:cs="Arial" w:eastAsia="Arial" w:hAnsi="Arial"/>
          <w:sz w:val="16"/>
          <w:szCs w:val="16"/>
          <w:u w:val="single" w:color="auto"/>
          <w:color w:val="0000FF"/>
        </w:rPr>
        <w:t xml:space="preserve"> </w:t>
      </w:r>
      <w:hyperlink r:id="rId41">
        <w:r>
          <w:rPr>
            <w:rFonts w:ascii="Arial" w:cs="Arial" w:eastAsia="Arial" w:hAnsi="Arial"/>
            <w:sz w:val="16"/>
            <w:szCs w:val="16"/>
            <w:u w:val="single" w:color="auto"/>
            <w:color w:val="0000FF"/>
          </w:rPr>
          <w:t>Properties, Inc. and Merrill Lynch, Pierce, Fenner &amp; Smith Incorporated and the other initial purchasers named therein, with respect to the</w:t>
        </w:r>
      </w:hyperlink>
      <w:r>
        <w:rPr>
          <w:rFonts w:ascii="Arial" w:cs="Arial" w:eastAsia="Arial" w:hAnsi="Arial"/>
          <w:sz w:val="16"/>
          <w:szCs w:val="16"/>
          <w:u w:val="single" w:color="auto"/>
          <w:color w:val="0000FF"/>
        </w:rPr>
        <w:t xml:space="preserve"> </w:t>
      </w:r>
      <w:hyperlink r:id="rId41">
        <w:r>
          <w:rPr>
            <w:rFonts w:ascii="Arial" w:cs="Arial" w:eastAsia="Arial" w:hAnsi="Arial"/>
            <w:sz w:val="16"/>
            <w:szCs w:val="16"/>
            <w:u w:val="single" w:color="auto"/>
            <w:color w:val="0000FF"/>
          </w:rPr>
          <w:t>2023 Notes. (Incorporated by reference to Exhibit 10.2 to the Company's current report on Form 8-K filed on November 1, 2013).</w:t>
        </w:r>
      </w:hyperlink>
    </w:p>
    <w:p>
      <w:pPr>
        <w:spacing w:after="0" w:line="214" w:lineRule="exact"/>
        <w:rPr>
          <w:rFonts w:ascii="Arial" w:cs="Arial" w:eastAsia="Arial" w:hAnsi="Arial"/>
          <w:sz w:val="16"/>
          <w:szCs w:val="16"/>
          <w:u w:val="single" w:color="auto"/>
          <w:color w:val="0000FF"/>
        </w:rPr>
      </w:pPr>
    </w:p>
    <w:p>
      <w:pPr>
        <w:ind w:left="1080" w:right="180" w:hanging="570"/>
        <w:spacing w:after="0" w:line="31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10.3</w:t>
      </w:r>
      <w:r>
        <w:rPr>
          <w:sz w:val="20"/>
          <w:szCs w:val="20"/>
          <w:color w:val="auto"/>
        </w:rPr>
        <w:tab/>
      </w:r>
      <w:hyperlink r:id="rId42">
        <w:r>
          <w:rPr>
            <w:rFonts w:ascii="Arial" w:cs="Arial" w:eastAsia="Arial" w:hAnsi="Arial"/>
            <w:sz w:val="16"/>
            <w:szCs w:val="16"/>
            <w:u w:val="single" w:color="auto"/>
            <w:color w:val="0000FF"/>
          </w:rPr>
          <w:t>Registration Rights Agreement, dated as of October 31, 2013, by and among GLP Capital, L.P., GLP Financing II, Inc., Gaming and Leisure</w:t>
        </w:r>
      </w:hyperlink>
      <w:r>
        <w:rPr>
          <w:rFonts w:ascii="Arial" w:cs="Arial" w:eastAsia="Arial" w:hAnsi="Arial"/>
          <w:sz w:val="16"/>
          <w:szCs w:val="16"/>
          <w:u w:val="single" w:color="auto"/>
          <w:color w:val="0000FF"/>
        </w:rPr>
        <w:t xml:space="preserve"> </w:t>
      </w:r>
      <w:hyperlink r:id="rId42">
        <w:r>
          <w:rPr>
            <w:rFonts w:ascii="Arial" w:cs="Arial" w:eastAsia="Arial" w:hAnsi="Arial"/>
            <w:sz w:val="16"/>
            <w:szCs w:val="16"/>
            <w:u w:val="single" w:color="auto"/>
            <w:color w:val="0000FF"/>
          </w:rPr>
          <w:t>Properties, Inc. and Merrill Lynch, Pierce, Fenner &amp; Smith Incorporated and the other initial purchasers named therein, with respect to the</w:t>
        </w:r>
      </w:hyperlink>
      <w:r>
        <w:rPr>
          <w:rFonts w:ascii="Arial" w:cs="Arial" w:eastAsia="Arial" w:hAnsi="Arial"/>
          <w:sz w:val="16"/>
          <w:szCs w:val="16"/>
          <w:u w:val="single" w:color="auto"/>
          <w:color w:val="0000FF"/>
        </w:rPr>
        <w:t xml:space="preserve"> </w:t>
      </w:r>
      <w:hyperlink r:id="rId42">
        <w:r>
          <w:rPr>
            <w:rFonts w:ascii="Arial" w:cs="Arial" w:eastAsia="Arial" w:hAnsi="Arial"/>
            <w:sz w:val="16"/>
            <w:szCs w:val="16"/>
            <w:u w:val="single" w:color="auto"/>
            <w:color w:val="0000FF"/>
          </w:rPr>
          <w:t>2020 Notes. (Incorporated by reference to Exhibit 10.3 to the Company's current report on Form 8-K filed on November 1, 2013).</w:t>
        </w:r>
      </w:hyperlink>
    </w:p>
    <w:p>
      <w:pPr>
        <w:spacing w:after="0" w:line="214" w:lineRule="exact"/>
        <w:rPr>
          <w:rFonts w:ascii="Arial" w:cs="Arial" w:eastAsia="Arial" w:hAnsi="Arial"/>
          <w:sz w:val="16"/>
          <w:szCs w:val="16"/>
          <w:u w:val="single" w:color="auto"/>
          <w:color w:val="0000FF"/>
        </w:rPr>
      </w:pPr>
    </w:p>
    <w:p>
      <w:pPr>
        <w:ind w:left="1080" w:right="80" w:hanging="570"/>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43">
        <w:r>
          <w:rPr>
            <w:rFonts w:ascii="Arial" w:cs="Arial" w:eastAsia="Arial" w:hAnsi="Arial"/>
            <w:sz w:val="18"/>
            <w:szCs w:val="18"/>
            <w:u w:val="single" w:color="auto"/>
            <w:color w:val="0000FF"/>
          </w:rPr>
          <w:t>Credit Agreement, dated as of October 28, 2013, among GLP Capital, L.P., as successor-by-merger to GLP Financing, LLC, each lender from</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time to time party thereto and JPMorgan Chase Bank, N.A., as administrative agent. (Incorporated by reference to Exhibit 10.4 to the</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Company's current report on Form 8-K filed on November 1, 2013).</w:t>
        </w:r>
      </w:hyperlink>
    </w:p>
    <w:p>
      <w:pPr>
        <w:spacing w:after="0" w:line="249" w:lineRule="exact"/>
        <w:rPr>
          <w:rFonts w:ascii="Arial" w:cs="Arial" w:eastAsia="Arial" w:hAnsi="Arial"/>
          <w:sz w:val="18"/>
          <w:szCs w:val="18"/>
          <w:u w:val="single" w:color="auto"/>
          <w:color w:val="0000FF"/>
        </w:rPr>
      </w:pPr>
    </w:p>
    <w:p>
      <w:pPr>
        <w:ind w:left="1080" w:right="400" w:hanging="570"/>
        <w:spacing w:after="0" w:line="31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10.5</w:t>
      </w:r>
      <w:r>
        <w:rPr>
          <w:sz w:val="20"/>
          <w:szCs w:val="20"/>
          <w:color w:val="auto"/>
        </w:rPr>
        <w:tab/>
      </w:r>
      <w:hyperlink r:id="rId44">
        <w:r>
          <w:rPr>
            <w:rFonts w:ascii="Arial" w:cs="Arial" w:eastAsia="Arial" w:hAnsi="Arial"/>
            <w:sz w:val="16"/>
            <w:szCs w:val="16"/>
            <w:u w:val="single" w:color="auto"/>
            <w:color w:val="0000FF"/>
          </w:rPr>
          <w:t>Amendment No. 1, dated as of July 31, 2015, to the Credit Agreement dated as of October 28, 2013 among GLP Capital, L.P., the several</w:t>
        </w:r>
      </w:hyperlink>
      <w:r>
        <w:rPr>
          <w:rFonts w:ascii="Arial" w:cs="Arial" w:eastAsia="Arial" w:hAnsi="Arial"/>
          <w:sz w:val="16"/>
          <w:szCs w:val="16"/>
          <w:u w:val="single" w:color="auto"/>
          <w:color w:val="0000FF"/>
        </w:rPr>
        <w:t xml:space="preserve"> </w:t>
      </w:r>
      <w:hyperlink r:id="rId44">
        <w:r>
          <w:rPr>
            <w:rFonts w:ascii="Arial" w:cs="Arial" w:eastAsia="Arial" w:hAnsi="Arial"/>
            <w:sz w:val="16"/>
            <w:szCs w:val="16"/>
            <w:u w:val="single" w:color="auto"/>
            <w:color w:val="0000FF"/>
          </w:rPr>
          <w:t>banks and other financial institutions party thereto, JPMorgan Chase Bank, N.A., as Administrative Agent and the various other parties</w:t>
        </w:r>
      </w:hyperlink>
      <w:r>
        <w:rPr>
          <w:rFonts w:ascii="Arial" w:cs="Arial" w:eastAsia="Arial" w:hAnsi="Arial"/>
          <w:sz w:val="16"/>
          <w:szCs w:val="16"/>
          <w:u w:val="single" w:color="auto"/>
          <w:color w:val="0000FF"/>
        </w:rPr>
        <w:t xml:space="preserve"> </w:t>
      </w:r>
      <w:hyperlink r:id="rId44">
        <w:r>
          <w:rPr>
            <w:rFonts w:ascii="Arial" w:cs="Arial" w:eastAsia="Arial" w:hAnsi="Arial"/>
            <w:sz w:val="16"/>
            <w:szCs w:val="16"/>
            <w:u w:val="single" w:color="auto"/>
            <w:color w:val="0000FF"/>
          </w:rPr>
          <w:t>thereto. (Incorporated by reference to Exhibit 10.2 to the Company's Registration Statement on S-4 filed on August 28, 2015).</w:t>
        </w:r>
      </w:hyperlink>
    </w:p>
    <w:p>
      <w:pPr>
        <w:sectPr>
          <w:pgSz w:w="11900" w:h="16838" w:orient="portrait"/>
          <w:cols w:equalWidth="0" w:num="1">
            <w:col w:w="11380"/>
          </w:cols>
          <w:pgMar w:left="240" w:top="130" w:right="279" w:bottom="1440" w:gutter="0" w:footer="0" w:header="0"/>
        </w:sectPr>
      </w:pPr>
    </w:p>
    <w:p>
      <w:pPr>
        <w:spacing w:after="0" w:line="200" w:lineRule="exact"/>
        <w:rPr>
          <w:rFonts w:ascii="Arial" w:cs="Arial" w:eastAsia="Arial" w:hAnsi="Arial"/>
          <w:sz w:val="16"/>
          <w:szCs w:val="16"/>
          <w:u w:val="single" w:color="auto"/>
          <w:color w:val="0000FF"/>
        </w:rPr>
      </w:pPr>
    </w:p>
    <w:p>
      <w:pPr>
        <w:spacing w:after="0" w:line="365" w:lineRule="exact"/>
        <w:rPr>
          <w:rFonts w:ascii="Arial" w:cs="Arial" w:eastAsia="Arial" w:hAnsi="Arial"/>
          <w:sz w:val="16"/>
          <w:szCs w:val="16"/>
          <w:u w:val="single" w:color="auto"/>
          <w:color w:val="0000FF"/>
        </w:rPr>
      </w:pPr>
    </w:p>
    <w:p>
      <w:pPr>
        <w:jc w:val="center"/>
        <w:ind w:right="-39"/>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1380"/>
          </w:cols>
          <w:pgMar w:left="240" w:top="130" w:right="279" w:bottom="1440" w:gutter="0" w:footer="0" w:header="0"/>
          <w:type w:val="continuous"/>
        </w:sectPr>
      </w:pPr>
    </w:p>
    <w:bookmarkStart w:id="125" w:name="page126"/>
    <w:bookmarkEnd w:id="12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240"/>
        <w:spacing w:after="0"/>
        <w:tabs>
          <w:tab w:leader="none" w:pos="554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1080" w:hanging="570"/>
        <w:spacing w:after="0" w:line="259"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46">
        <w:r>
          <w:rPr>
            <w:rFonts w:ascii="Arial" w:cs="Arial" w:eastAsia="Arial" w:hAnsi="Arial"/>
            <w:sz w:val="18"/>
            <w:szCs w:val="18"/>
            <w:u w:val="single" w:color="auto"/>
            <w:color w:val="0000FF"/>
          </w:rPr>
          <w:t>First Amendment, dated as of March 25, 2016, to Amendment No. 1, dated as of July 31, 2015, to the Credit Agreement dated as of October</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28, 2013 among GLP Capital, L.P., the several banks and other financial institutions party thereto, JPMorgan Chase Bank, N.A., as</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Administrative Agent and the various other parties thereto. (Incorporated by reference to Exhibit 10.1 to the Company's current report on Form</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8-K filed on March 28, 2016).</w:t>
        </w:r>
      </w:hyperlink>
    </w:p>
    <w:p>
      <w:pPr>
        <w:spacing w:after="0" w:line="254" w:lineRule="exact"/>
        <w:rPr>
          <w:rFonts w:ascii="Arial" w:cs="Arial" w:eastAsia="Arial" w:hAnsi="Arial"/>
          <w:sz w:val="18"/>
          <w:szCs w:val="18"/>
          <w:u w:val="single" w:color="auto"/>
          <w:color w:val="0000FF"/>
        </w:rPr>
      </w:pPr>
    </w:p>
    <w:p>
      <w:pPr>
        <w:ind w:left="1080" w:right="380" w:hanging="570"/>
        <w:spacing w:after="0" w:line="31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10.7</w:t>
      </w:r>
      <w:r>
        <w:rPr>
          <w:sz w:val="20"/>
          <w:szCs w:val="20"/>
          <w:color w:val="auto"/>
        </w:rPr>
        <w:tab/>
      </w:r>
      <w:hyperlink r:id="rId47">
        <w:r>
          <w:rPr>
            <w:rFonts w:ascii="Arial" w:cs="Arial" w:eastAsia="Arial" w:hAnsi="Arial"/>
            <w:sz w:val="16"/>
            <w:szCs w:val="16"/>
            <w:u w:val="single" w:color="auto"/>
            <w:color w:val="0000FF"/>
          </w:rPr>
          <w:t>Amendment No. 2, dated as of May 21, 2018, to the Credit Agreement dated as of October 28, 2013 among GLP Capital, L.P., the several</w:t>
        </w:r>
      </w:hyperlink>
      <w:r>
        <w:rPr>
          <w:rFonts w:ascii="Arial" w:cs="Arial" w:eastAsia="Arial" w:hAnsi="Arial"/>
          <w:sz w:val="16"/>
          <w:szCs w:val="16"/>
          <w:u w:val="single" w:color="auto"/>
          <w:color w:val="0000FF"/>
        </w:rPr>
        <w:t xml:space="preserve"> </w:t>
      </w:r>
      <w:hyperlink r:id="rId47">
        <w:r>
          <w:rPr>
            <w:rFonts w:ascii="Arial" w:cs="Arial" w:eastAsia="Arial" w:hAnsi="Arial"/>
            <w:sz w:val="16"/>
            <w:szCs w:val="16"/>
            <w:u w:val="single" w:color="auto"/>
            <w:color w:val="0000FF"/>
          </w:rPr>
          <w:t>banks and other financial institutions party thereto, JPMorgan Chase Bank, N.A., as Administrative Agent and the various other parties</w:t>
        </w:r>
      </w:hyperlink>
      <w:r>
        <w:rPr>
          <w:rFonts w:ascii="Arial" w:cs="Arial" w:eastAsia="Arial" w:hAnsi="Arial"/>
          <w:sz w:val="16"/>
          <w:szCs w:val="16"/>
          <w:u w:val="single" w:color="auto"/>
          <w:color w:val="0000FF"/>
        </w:rPr>
        <w:t xml:space="preserve"> </w:t>
      </w:r>
      <w:hyperlink r:id="rId47">
        <w:r>
          <w:rPr>
            <w:rFonts w:ascii="Arial" w:cs="Arial" w:eastAsia="Arial" w:hAnsi="Arial"/>
            <w:sz w:val="16"/>
            <w:szCs w:val="16"/>
            <w:u w:val="single" w:color="auto"/>
            <w:color w:val="0000FF"/>
          </w:rPr>
          <w:t>thereto. (Incorporated by reference to Exhibit 10.1 to the Company's current report on Form 8-K, filed on May 22, 2018).</w:t>
        </w:r>
      </w:hyperlink>
    </w:p>
    <w:p>
      <w:pPr>
        <w:spacing w:after="0" w:line="214" w:lineRule="exact"/>
        <w:rPr>
          <w:rFonts w:ascii="Arial" w:cs="Arial" w:eastAsia="Arial" w:hAnsi="Arial"/>
          <w:sz w:val="16"/>
          <w:szCs w:val="16"/>
          <w:u w:val="single" w:color="auto"/>
          <w:color w:val="0000FF"/>
        </w:rPr>
      </w:pPr>
    </w:p>
    <w:p>
      <w:pPr>
        <w:ind w:left="1080" w:right="120" w:hanging="570"/>
        <w:spacing w:after="0" w:line="286" w:lineRule="auto"/>
        <w:tabs>
          <w:tab w:leader="none" w:pos="1060" w:val="left"/>
        </w:tabs>
        <w:rPr>
          <w:rFonts w:ascii="Arial" w:cs="Arial" w:eastAsia="Arial" w:hAnsi="Arial"/>
          <w:sz w:val="17"/>
          <w:szCs w:val="17"/>
          <w:u w:val="single" w:color="auto"/>
          <w:color w:val="0000FF"/>
        </w:rPr>
      </w:pPr>
      <w:r>
        <w:rPr>
          <w:rFonts w:ascii="Arial" w:cs="Arial" w:eastAsia="Arial" w:hAnsi="Arial"/>
          <w:sz w:val="18"/>
          <w:szCs w:val="18"/>
          <w:color w:val="auto"/>
        </w:rPr>
        <w:t>10.8</w:t>
      </w:r>
      <w:r>
        <w:rPr>
          <w:sz w:val="20"/>
          <w:szCs w:val="20"/>
          <w:color w:val="auto"/>
        </w:rPr>
        <w:tab/>
      </w:r>
      <w:hyperlink r:id="rId48">
        <w:r>
          <w:rPr>
            <w:rFonts w:ascii="Arial" w:cs="Arial" w:eastAsia="Arial" w:hAnsi="Arial"/>
            <w:sz w:val="17"/>
            <w:szCs w:val="17"/>
            <w:u w:val="single" w:color="auto"/>
            <w:color w:val="0000FF"/>
          </w:rPr>
          <w:t>Amendment No. 3, dated as of October 10, 2018, to the Credit Agreement dated as of October 28, 2013 among GLP Capital, L.P., the several</w:t>
        </w:r>
      </w:hyperlink>
      <w:r>
        <w:rPr>
          <w:rFonts w:ascii="Arial" w:cs="Arial" w:eastAsia="Arial" w:hAnsi="Arial"/>
          <w:sz w:val="17"/>
          <w:szCs w:val="17"/>
          <w:u w:val="single" w:color="auto"/>
          <w:color w:val="0000FF"/>
        </w:rPr>
        <w:t xml:space="preserve"> </w:t>
      </w:r>
      <w:hyperlink r:id="rId48">
        <w:r>
          <w:rPr>
            <w:rFonts w:ascii="Arial" w:cs="Arial" w:eastAsia="Arial" w:hAnsi="Arial"/>
            <w:sz w:val="17"/>
            <w:szCs w:val="17"/>
            <w:u w:val="single" w:color="auto"/>
            <w:color w:val="0000FF"/>
          </w:rPr>
          <w:t>banks and other financial institutions party thereto, JPMorgan Chase Bank, N.A., as Administrative Agent and the various other parties</w:t>
        </w:r>
      </w:hyperlink>
      <w:r>
        <w:rPr>
          <w:rFonts w:ascii="Arial" w:cs="Arial" w:eastAsia="Arial" w:hAnsi="Arial"/>
          <w:sz w:val="17"/>
          <w:szCs w:val="17"/>
          <w:u w:val="single" w:color="auto"/>
          <w:color w:val="0000FF"/>
        </w:rPr>
        <w:t xml:space="preserve"> </w:t>
      </w:r>
      <w:hyperlink r:id="rId48">
        <w:r>
          <w:rPr>
            <w:rFonts w:ascii="Arial" w:cs="Arial" w:eastAsia="Arial" w:hAnsi="Arial"/>
            <w:sz w:val="17"/>
            <w:szCs w:val="17"/>
            <w:u w:val="single" w:color="auto"/>
            <w:color w:val="0000FF"/>
          </w:rPr>
          <w:t>thereto. (Incorporated by reference to Exhibit 10.5 to the Company's quarterly report on Form 10-Q filed on November 1, 2018).</w:t>
        </w:r>
      </w:hyperlink>
    </w:p>
    <w:p>
      <w:pPr>
        <w:spacing w:after="0" w:line="233" w:lineRule="exact"/>
        <w:rPr>
          <w:rFonts w:ascii="Arial" w:cs="Arial" w:eastAsia="Arial" w:hAnsi="Arial"/>
          <w:sz w:val="17"/>
          <w:szCs w:val="17"/>
          <w:u w:val="single" w:color="auto"/>
          <w:color w:val="0000FF"/>
        </w:rPr>
      </w:pPr>
    </w:p>
    <w:p>
      <w:pPr>
        <w:ind w:left="1080" w:right="100" w:hanging="57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49">
        <w:r>
          <w:rPr>
            <w:rFonts w:ascii="Arial" w:cs="Arial" w:eastAsia="Arial" w:hAnsi="Arial"/>
            <w:sz w:val="18"/>
            <w:szCs w:val="18"/>
            <w:u w:val="single" w:color="auto"/>
            <w:color w:val="0000FF"/>
          </w:rPr>
          <w:t>Master Lease, dated November 1, 2013, by and among GLP Capital L.P. and Penn Tenant, LLC. (Incorporated by reference to Exhibit 10.1 to</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the Company's current report on Form 8-K filed on November 7, 2013).</w:t>
        </w:r>
      </w:hyperlink>
    </w:p>
    <w:p>
      <w:pPr>
        <w:spacing w:after="0" w:line="238" w:lineRule="exact"/>
        <w:rPr>
          <w:sz w:val="20"/>
          <w:szCs w:val="20"/>
          <w:color w:val="auto"/>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10.10</w:t>
      </w:r>
      <w:r>
        <w:rPr>
          <w:sz w:val="20"/>
          <w:szCs w:val="20"/>
          <w:color w:val="auto"/>
        </w:rPr>
        <w:tab/>
      </w:r>
      <w:hyperlink r:id="rId50">
        <w:r>
          <w:rPr>
            <w:rFonts w:ascii="Arial" w:cs="Arial" w:eastAsia="Arial" w:hAnsi="Arial"/>
            <w:sz w:val="16"/>
            <w:szCs w:val="16"/>
            <w:u w:val="single" w:color="auto"/>
            <w:color w:val="0000FF"/>
          </w:rPr>
          <w:t>First Amendment to the Master Lease Agreement, dated as of March 5, 2014, by and among GLP Capital L.P. and Penn Tenant, LLC.</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50">
        <w:r>
          <w:rPr>
            <w:rFonts w:ascii="Arial" w:cs="Arial" w:eastAsia="Arial" w:hAnsi="Arial"/>
            <w:sz w:val="18"/>
            <w:szCs w:val="18"/>
            <w:u w:val="single" w:color="auto"/>
            <w:color w:val="0000FF"/>
          </w:rPr>
          <w:t>(Incorporated by reference to Exhibit 10.1 to the Company's quarterly report on Form 10-Q filed on May 12, 2014).</w:t>
        </w:r>
      </w:hyperlink>
    </w:p>
    <w:p>
      <w:pPr>
        <w:spacing w:after="0" w:line="278" w:lineRule="exact"/>
        <w:rPr>
          <w:sz w:val="20"/>
          <w:szCs w:val="20"/>
          <w:color w:val="auto"/>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10.11</w:t>
      </w:r>
      <w:r>
        <w:rPr>
          <w:sz w:val="20"/>
          <w:szCs w:val="20"/>
          <w:color w:val="auto"/>
        </w:rPr>
        <w:tab/>
      </w:r>
      <w:hyperlink r:id="rId51">
        <w:r>
          <w:rPr>
            <w:rFonts w:ascii="Arial" w:cs="Arial" w:eastAsia="Arial" w:hAnsi="Arial"/>
            <w:sz w:val="16"/>
            <w:szCs w:val="16"/>
            <w:u w:val="single" w:color="auto"/>
            <w:color w:val="0000FF"/>
          </w:rPr>
          <w:t>Second Amendment to the Master Lease Agreement, dated as of April 18, 2014, by and among GLP Capital L.P. and Penn Tenant, LLC.</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51">
        <w:r>
          <w:rPr>
            <w:rFonts w:ascii="Arial" w:cs="Arial" w:eastAsia="Arial" w:hAnsi="Arial"/>
            <w:sz w:val="18"/>
            <w:szCs w:val="18"/>
            <w:u w:val="single" w:color="auto"/>
            <w:color w:val="0000FF"/>
          </w:rPr>
          <w:t>(Incorporated by reference to Exhibit 10.1 to the Company's quarterly report on Form 10-Q filed on August 1, 2014).</w:t>
        </w:r>
      </w:hyperlink>
    </w:p>
    <w:p>
      <w:pPr>
        <w:spacing w:after="0" w:line="278" w:lineRule="exact"/>
        <w:rPr>
          <w:sz w:val="20"/>
          <w:szCs w:val="20"/>
          <w:color w:val="auto"/>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10.12</w:t>
      </w:r>
      <w:r>
        <w:rPr>
          <w:sz w:val="20"/>
          <w:szCs w:val="20"/>
          <w:color w:val="auto"/>
        </w:rPr>
        <w:tab/>
      </w:r>
      <w:hyperlink r:id="rId52">
        <w:r>
          <w:rPr>
            <w:rFonts w:ascii="Arial" w:cs="Arial" w:eastAsia="Arial" w:hAnsi="Arial"/>
            <w:sz w:val="16"/>
            <w:szCs w:val="16"/>
            <w:u w:val="single" w:color="auto"/>
            <w:color w:val="0000FF"/>
          </w:rPr>
          <w:t>Third Amendment to the Master Lease Agreement, dated as of September 20, 2016, by and among GLP Capital L.P. and Penn Tenant, LLC.</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52">
        <w:r>
          <w:rPr>
            <w:rFonts w:ascii="Arial" w:cs="Arial" w:eastAsia="Arial" w:hAnsi="Arial"/>
            <w:sz w:val="18"/>
            <w:szCs w:val="18"/>
            <w:u w:val="single" w:color="auto"/>
            <w:color w:val="0000FF"/>
          </w:rPr>
          <w:t>(Incorporated by reference to Exhibit 10.2 to the Company's quarterly report on Form 10-Q filed on November 9, 2016).</w:t>
        </w:r>
      </w:hyperlink>
    </w:p>
    <w:p>
      <w:pPr>
        <w:spacing w:after="0" w:line="278" w:lineRule="exact"/>
        <w:rPr>
          <w:sz w:val="20"/>
          <w:szCs w:val="20"/>
          <w:color w:val="auto"/>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10.13</w:t>
      </w:r>
      <w:r>
        <w:rPr>
          <w:sz w:val="20"/>
          <w:szCs w:val="20"/>
          <w:color w:val="auto"/>
        </w:rPr>
        <w:tab/>
      </w:r>
      <w:hyperlink r:id="rId53">
        <w:r>
          <w:rPr>
            <w:rFonts w:ascii="Arial" w:cs="Arial" w:eastAsia="Arial" w:hAnsi="Arial"/>
            <w:sz w:val="16"/>
            <w:szCs w:val="16"/>
            <w:u w:val="single" w:color="auto"/>
            <w:color w:val="0000FF"/>
          </w:rPr>
          <w:t>Fourth Amendment to the Master Lease Agreement, dated as of May 1, 2017, by and among GLP Capital L.P. and Penn Tenant, LLC.</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53">
        <w:r>
          <w:rPr>
            <w:rFonts w:ascii="Arial" w:cs="Arial" w:eastAsia="Arial" w:hAnsi="Arial"/>
            <w:sz w:val="18"/>
            <w:szCs w:val="18"/>
            <w:u w:val="single" w:color="auto"/>
            <w:color w:val="0000FF"/>
          </w:rPr>
          <w:t>(Incorporated by reference to Exhibit 10.2 to the Company's quarterly report on Form 10-Q filed on May 3, 2017).</w:t>
        </w:r>
      </w:hyperlink>
    </w:p>
    <w:p>
      <w:pPr>
        <w:spacing w:after="0" w:line="278" w:lineRule="exact"/>
        <w:rPr>
          <w:sz w:val="20"/>
          <w:szCs w:val="20"/>
          <w:color w:val="auto"/>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10.14</w:t>
      </w:r>
      <w:r>
        <w:rPr>
          <w:sz w:val="20"/>
          <w:szCs w:val="20"/>
          <w:color w:val="auto"/>
        </w:rPr>
        <w:tab/>
      </w:r>
      <w:hyperlink r:id="rId54">
        <w:r>
          <w:rPr>
            <w:rFonts w:ascii="Arial" w:cs="Arial" w:eastAsia="Arial" w:hAnsi="Arial"/>
            <w:sz w:val="16"/>
            <w:szCs w:val="16"/>
            <w:u w:val="single" w:color="auto"/>
            <w:color w:val="0000FF"/>
          </w:rPr>
          <w:t>Fifth Amendment to the Master Lease Agreement, dated as of June 19, 2018, by and among GLP Capital L.P. and Penn Tenant, LLC.</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54">
        <w:r>
          <w:rPr>
            <w:rFonts w:ascii="Arial" w:cs="Arial" w:eastAsia="Arial" w:hAnsi="Arial"/>
            <w:sz w:val="18"/>
            <w:szCs w:val="18"/>
            <w:u w:val="single" w:color="auto"/>
            <w:color w:val="0000FF"/>
          </w:rPr>
          <w:t>(Incorporated by reference to Exhibit 10.3 to the Company's quarterly report on Form 10-Q filed on August 1, 2018).</w:t>
        </w:r>
      </w:hyperlink>
    </w:p>
    <w:p>
      <w:pPr>
        <w:spacing w:after="0" w:line="278" w:lineRule="exact"/>
        <w:rPr>
          <w:sz w:val="20"/>
          <w:szCs w:val="20"/>
          <w:color w:val="auto"/>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10.15</w:t>
      </w:r>
      <w:r>
        <w:rPr>
          <w:sz w:val="20"/>
          <w:szCs w:val="20"/>
          <w:color w:val="auto"/>
        </w:rPr>
        <w:tab/>
      </w:r>
      <w:hyperlink r:id="rId55">
        <w:r>
          <w:rPr>
            <w:rFonts w:ascii="Arial" w:cs="Arial" w:eastAsia="Arial" w:hAnsi="Arial"/>
            <w:sz w:val="16"/>
            <w:szCs w:val="16"/>
            <w:u w:val="single" w:color="auto"/>
            <w:color w:val="0000FF"/>
          </w:rPr>
          <w:t>Sixth Amendment to the Master Lease Agreement, dated as of August 8, 2018, by and among GLP Capital L.P. and Penn Tenant, LLC.</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55">
        <w:r>
          <w:rPr>
            <w:rFonts w:ascii="Arial" w:cs="Arial" w:eastAsia="Arial" w:hAnsi="Arial"/>
            <w:sz w:val="18"/>
            <w:szCs w:val="18"/>
            <w:u w:val="single" w:color="auto"/>
            <w:color w:val="0000FF"/>
          </w:rPr>
          <w:t>(Incorporated by reference to Exhibit 10.1 to the Company's quarterly report on Form 10-Q filed on November 1, 2018).</w:t>
        </w:r>
      </w:hyperlink>
    </w:p>
    <w:p>
      <w:pPr>
        <w:spacing w:after="0" w:line="278" w:lineRule="exact"/>
        <w:rPr>
          <w:sz w:val="20"/>
          <w:szCs w:val="20"/>
          <w:color w:val="auto"/>
        </w:rPr>
      </w:pPr>
    </w:p>
    <w:p>
      <w:pPr>
        <w:ind w:left="3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10.16*</w:t>
      </w:r>
      <w:r>
        <w:rPr>
          <w:sz w:val="20"/>
          <w:szCs w:val="20"/>
          <w:color w:val="auto"/>
        </w:rPr>
        <w:tab/>
      </w:r>
      <w:hyperlink w:anchor="page130">
        <w:r>
          <w:rPr>
            <w:rFonts w:ascii="Arial" w:cs="Arial" w:eastAsia="Arial" w:hAnsi="Arial"/>
            <w:sz w:val="16"/>
            <w:szCs w:val="16"/>
            <w:u w:val="single" w:color="auto"/>
            <w:color w:val="0000FF"/>
          </w:rPr>
          <w:t>Seventh Amendment to the Master Lease Agreement, dated as of October 31, 2018, by and among GLP Capital L.P. and Penn Tenant, LLC.</w:t>
        </w:r>
      </w:hyperlink>
    </w:p>
    <w:p>
      <w:pPr>
        <w:spacing w:after="0" w:line="293" w:lineRule="exact"/>
        <w:rPr>
          <w:sz w:val="20"/>
          <w:szCs w:val="20"/>
          <w:color w:val="auto"/>
        </w:rPr>
      </w:pPr>
    </w:p>
    <w:p>
      <w:pPr>
        <w:ind w:left="3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10.17*</w:t>
      </w:r>
      <w:r>
        <w:rPr>
          <w:sz w:val="20"/>
          <w:szCs w:val="20"/>
          <w:color w:val="auto"/>
        </w:rPr>
        <w:tab/>
      </w:r>
      <w:hyperlink w:anchor="page134">
        <w:r>
          <w:rPr>
            <w:rFonts w:ascii="Arial" w:cs="Arial" w:eastAsia="Arial" w:hAnsi="Arial"/>
            <w:sz w:val="16"/>
            <w:szCs w:val="16"/>
            <w:u w:val="single" w:color="auto"/>
            <w:color w:val="0000FF"/>
          </w:rPr>
          <w:t>Eighth Amendment to the Master Lease Agreement, dated as of November 20, 2018, by and among GLP Capital L.P. and Penn Tenant, LLC.</w:t>
        </w:r>
      </w:hyperlink>
    </w:p>
    <w:p>
      <w:pPr>
        <w:spacing w:after="0" w:line="293" w:lineRule="exact"/>
        <w:rPr>
          <w:sz w:val="20"/>
          <w:szCs w:val="20"/>
          <w:color w:val="auto"/>
        </w:rPr>
      </w:pPr>
    </w:p>
    <w:p>
      <w:pPr>
        <w:ind w:left="1080" w:right="160" w:hanging="661"/>
        <w:spacing w:after="0" w:line="308" w:lineRule="auto"/>
        <w:tabs>
          <w:tab w:leader="none" w:pos="1060" w:val="left"/>
        </w:tabs>
        <w:rPr>
          <w:rFonts w:ascii="Arial" w:cs="Arial" w:eastAsia="Arial" w:hAnsi="Arial"/>
          <w:sz w:val="17"/>
          <w:szCs w:val="17"/>
          <w:u w:val="single" w:color="auto"/>
          <w:color w:val="0000FF"/>
        </w:rPr>
      </w:pPr>
      <w:r>
        <w:rPr>
          <w:rFonts w:ascii="Arial" w:cs="Arial" w:eastAsia="Arial" w:hAnsi="Arial"/>
          <w:sz w:val="18"/>
          <w:szCs w:val="18"/>
          <w:color w:val="auto"/>
        </w:rPr>
        <w:t>10.18</w:t>
      </w:r>
      <w:r>
        <w:rPr>
          <w:sz w:val="20"/>
          <w:szCs w:val="20"/>
          <w:color w:val="auto"/>
        </w:rPr>
        <w:tab/>
      </w:r>
      <w:hyperlink r:id="rId56">
        <w:r>
          <w:rPr>
            <w:rFonts w:ascii="Arial" w:cs="Arial" w:eastAsia="Arial" w:hAnsi="Arial"/>
            <w:sz w:val="17"/>
            <w:szCs w:val="17"/>
            <w:u w:val="single" w:color="auto"/>
            <w:color w:val="0000FF"/>
          </w:rPr>
          <w:t>Master Lease, dated April 28, 2016, by and among Gold Merger Sub, LLC (as successor to Pinnacle Entertainment, Inc.) and Pinnacle MLS,</w:t>
        </w:r>
      </w:hyperlink>
      <w:r>
        <w:rPr>
          <w:rFonts w:ascii="Arial" w:cs="Arial" w:eastAsia="Arial" w:hAnsi="Arial"/>
          <w:sz w:val="17"/>
          <w:szCs w:val="17"/>
          <w:u w:val="single" w:color="auto"/>
          <w:color w:val="0000FF"/>
        </w:rPr>
        <w:t xml:space="preserve"> </w:t>
      </w:r>
      <w:hyperlink r:id="rId56">
        <w:r>
          <w:rPr>
            <w:rFonts w:ascii="Arial" w:cs="Arial" w:eastAsia="Arial" w:hAnsi="Arial"/>
            <w:sz w:val="17"/>
            <w:szCs w:val="17"/>
            <w:u w:val="single" w:color="auto"/>
            <w:color w:val="0000FF"/>
          </w:rPr>
          <w:t>LLC. (Incorporated by reference to Exhibit 2.3 to the Company's current report on Form 8-K filed on April 28, 2016).</w:t>
        </w:r>
      </w:hyperlink>
    </w:p>
    <w:p>
      <w:pPr>
        <w:spacing w:after="0" w:line="214" w:lineRule="exact"/>
        <w:rPr>
          <w:sz w:val="20"/>
          <w:szCs w:val="20"/>
          <w:color w:val="auto"/>
        </w:rPr>
      </w:pPr>
    </w:p>
    <w:p>
      <w:pPr>
        <w:jc w:val="both"/>
        <w:ind w:left="1080" w:right="80" w:hanging="661"/>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57">
        <w:r>
          <w:rPr>
            <w:rFonts w:ascii="Arial" w:cs="Arial" w:eastAsia="Arial" w:hAnsi="Arial"/>
            <w:sz w:val="18"/>
            <w:szCs w:val="18"/>
            <w:u w:val="single" w:color="auto"/>
            <w:color w:val="0000FF"/>
          </w:rPr>
          <w:t>First Amendment to the Master Lease, dated August 29, 2016, by and among Gold Merger Sub, LLC (as successor to Pinnacle Entertainment,</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Inc.) and Pinnacle MLS, LLC. (Incorporated by reference to Exhibit 10.1 to the Company's quarterly report on Form 10-Q filed on November</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9, 2016).</w:t>
        </w:r>
      </w:hyperlink>
    </w:p>
    <w:p>
      <w:pPr>
        <w:spacing w:after="0" w:line="249" w:lineRule="exact"/>
        <w:rPr>
          <w:rFonts w:ascii="Arial" w:cs="Arial" w:eastAsia="Arial" w:hAnsi="Arial"/>
          <w:sz w:val="18"/>
          <w:szCs w:val="18"/>
          <w:u w:val="single" w:color="auto"/>
          <w:color w:val="0000FF"/>
        </w:rPr>
      </w:pPr>
    </w:p>
    <w:p>
      <w:pPr>
        <w:ind w:left="1080" w:right="80" w:hanging="661"/>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58">
        <w:r>
          <w:rPr>
            <w:rFonts w:ascii="Arial" w:cs="Arial" w:eastAsia="Arial" w:hAnsi="Arial"/>
            <w:sz w:val="18"/>
            <w:szCs w:val="18"/>
            <w:u w:val="single" w:color="auto"/>
            <w:color w:val="0000FF"/>
          </w:rPr>
          <w:t>Second Amendment to the Master Lease, dated October 25, 2016, by and among Gold Merger Sub, LLC (as successor to Pinnacle</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Entertainment, Inc.) and Pinnacle MLS, LLC. (Incorporated by reference to Exhibit 10.13 to the Company's annual report on Form 10-K filed</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on February 22, 2017).</w:t>
        </w:r>
      </w:hyperlink>
    </w:p>
    <w:p>
      <w:pPr>
        <w:spacing w:after="0" w:line="249" w:lineRule="exact"/>
        <w:rPr>
          <w:rFonts w:ascii="Arial" w:cs="Arial" w:eastAsia="Arial" w:hAnsi="Arial"/>
          <w:sz w:val="18"/>
          <w:szCs w:val="18"/>
          <w:u w:val="single" w:color="auto"/>
          <w:color w:val="0000FF"/>
        </w:rPr>
      </w:pPr>
    </w:p>
    <w:p>
      <w:pPr>
        <w:ind w:left="1080" w:right="60" w:hanging="661"/>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59">
        <w:r>
          <w:rPr>
            <w:rFonts w:ascii="Arial" w:cs="Arial" w:eastAsia="Arial" w:hAnsi="Arial"/>
            <w:sz w:val="18"/>
            <w:szCs w:val="18"/>
            <w:u w:val="single" w:color="auto"/>
            <w:color w:val="0000FF"/>
          </w:rPr>
          <w:t>Third Amendment to the Master Lease, dated March 24, 2017, by and among Gold Merger Sub, LLC (as successor to Pinnacle Entertainment,</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Inc.) and Pinnacle MLS, LLC. (Incorporated by reference to Exhibit 10.1 to the Company's quarterly report on Form 10-Q filed on May 3,</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2017).</w:t>
        </w:r>
      </w:hyperlink>
    </w:p>
    <w:p>
      <w:pPr>
        <w:sectPr>
          <w:pgSz w:w="11900" w:h="16838" w:orient="portrait"/>
          <w:cols w:equalWidth="0" w:num="1">
            <w:col w:w="11380"/>
          </w:cols>
          <w:pgMar w:left="240" w:top="130" w:right="279" w:bottom="1440" w:gutter="0" w:footer="0" w:header="0"/>
        </w:sectPr>
      </w:pPr>
    </w:p>
    <w:p>
      <w:pPr>
        <w:spacing w:after="0" w:line="370"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1380"/>
          </w:cols>
          <w:pgMar w:left="240" w:top="130" w:right="279" w:bottom="1440" w:gutter="0" w:footer="0" w:header="0"/>
          <w:type w:val="continuous"/>
        </w:sectPr>
      </w:pPr>
    </w:p>
    <w:bookmarkStart w:id="126" w:name="page127"/>
    <w:bookmarkEnd w:id="12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240"/>
        <w:spacing w:after="0"/>
        <w:tabs>
          <w:tab w:leader="none" w:pos="554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1080" w:right="180" w:hanging="661"/>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61">
        <w:r>
          <w:rPr>
            <w:rFonts w:ascii="Arial" w:cs="Arial" w:eastAsia="Arial" w:hAnsi="Arial"/>
            <w:sz w:val="18"/>
            <w:szCs w:val="18"/>
            <w:u w:val="single" w:color="auto"/>
            <w:color w:val="0000FF"/>
          </w:rPr>
          <w:t>Fourth Amendment to the Master Lease, dated October 15, 2018, by and between Gold Merger Sub, LLC (as successor to Pinnacle</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Entertainment, Inc.) and Pinnacle MLS, LLC. (Incorporated by reference to Exhibit 10.1 to the Company's current report on Form 8-K, filed</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on October 16, 2018).</w:t>
        </w:r>
      </w:hyperlink>
    </w:p>
    <w:p>
      <w:pPr>
        <w:spacing w:after="0" w:line="289" w:lineRule="exact"/>
        <w:rPr>
          <w:rFonts w:ascii="Arial" w:cs="Arial" w:eastAsia="Arial" w:hAnsi="Arial"/>
          <w:sz w:val="18"/>
          <w:szCs w:val="18"/>
          <w:u w:val="single" w:color="auto"/>
          <w:color w:val="0000FF"/>
        </w:rPr>
      </w:pPr>
    </w:p>
    <w:p>
      <w:pPr>
        <w:ind w:left="1080" w:right="20" w:hanging="661"/>
        <w:spacing w:after="0" w:line="34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10.23</w:t>
      </w:r>
      <w:r>
        <w:rPr>
          <w:sz w:val="20"/>
          <w:szCs w:val="20"/>
          <w:color w:val="auto"/>
        </w:rPr>
        <w:tab/>
      </w:r>
      <w:hyperlink r:id="rId62">
        <w:r>
          <w:rPr>
            <w:rFonts w:ascii="Arial" w:cs="Arial" w:eastAsia="Arial" w:hAnsi="Arial"/>
            <w:sz w:val="16"/>
            <w:szCs w:val="16"/>
            <w:u w:val="single" w:color="auto"/>
            <w:color w:val="0000FF"/>
          </w:rPr>
          <w:t>Master Lease, dated October 1, 2018, by and among GLP Capital, L.P., Tropicana AC Sub Corp., Tropicana Entertainment, Inc. and Tropicana</w:t>
        </w:r>
      </w:hyperlink>
      <w:r>
        <w:rPr>
          <w:rFonts w:ascii="Arial" w:cs="Arial" w:eastAsia="Arial" w:hAnsi="Arial"/>
          <w:sz w:val="16"/>
          <w:szCs w:val="16"/>
          <w:u w:val="single" w:color="auto"/>
          <w:color w:val="0000FF"/>
        </w:rPr>
        <w:t xml:space="preserve"> </w:t>
      </w:r>
      <w:hyperlink r:id="rId62">
        <w:r>
          <w:rPr>
            <w:rFonts w:ascii="Arial" w:cs="Arial" w:eastAsia="Arial" w:hAnsi="Arial"/>
            <w:sz w:val="16"/>
            <w:szCs w:val="16"/>
            <w:u w:val="single" w:color="auto"/>
            <w:color w:val="0000FF"/>
          </w:rPr>
          <w:t>Atlantic City Corp (Incorporated by reference to Exhibit 10.1 to the Company's current report on Form 8-K, filed on October 1, 2018).</w:t>
        </w:r>
      </w:hyperlink>
    </w:p>
    <w:p>
      <w:pPr>
        <w:spacing w:after="0" w:line="191" w:lineRule="exact"/>
        <w:rPr>
          <w:sz w:val="20"/>
          <w:szCs w:val="20"/>
          <w:color w:val="auto"/>
        </w:rPr>
      </w:pPr>
    </w:p>
    <w:p>
      <w:pPr>
        <w:ind w:left="1080" w:right="140" w:hanging="661"/>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63">
        <w:r>
          <w:rPr>
            <w:rFonts w:ascii="Arial" w:cs="Arial" w:eastAsia="Arial" w:hAnsi="Arial"/>
            <w:sz w:val="18"/>
            <w:szCs w:val="18"/>
            <w:u w:val="single" w:color="auto"/>
            <w:color w:val="0000FF"/>
          </w:rPr>
          <w:t>Master Lease Agreement, dated October 15, 2018, by and between Gold Merger Sub, LLC and Boyd TCIV, LLC. (Incorporated by reference</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to Exhibit 10.2 to the Company's current report on Form 8-K, filed on October 16, 2018).</w:t>
        </w:r>
      </w:hyperlink>
    </w:p>
    <w:p>
      <w:pPr>
        <w:spacing w:after="0" w:line="238" w:lineRule="exact"/>
        <w:rPr>
          <w:sz w:val="20"/>
          <w:szCs w:val="20"/>
          <w:color w:val="auto"/>
        </w:rPr>
      </w:pPr>
    </w:p>
    <w:p>
      <w:pPr>
        <w:ind w:left="1080" w:right="240" w:hanging="661"/>
        <w:spacing w:after="0" w:line="259"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64">
        <w:r>
          <w:rPr>
            <w:rFonts w:ascii="Arial" w:cs="Arial" w:eastAsia="Arial" w:hAnsi="Arial"/>
            <w:sz w:val="18"/>
            <w:szCs w:val="18"/>
            <w:u w:val="single" w:color="auto"/>
            <w:color w:val="0000FF"/>
          </w:rPr>
          <w:t>Consent Agreement by and among Gaming and Leisure Properties, Inc., Gold Merger Sub, LLC, PA Meadows, LLC, WTA II, Inc., CCR</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Pennsylvania Racing, Inc., Penn National Gaming, Inc., Pinnacle Entertainment, Inc., PNK Development 33, LLC and Pinnacle MLS, LLC</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dated December 17, 2017. (Incorporated by reference to Exhibit 10.1 to the Company's current report on Form 8-K filed on December 19,</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2017).</w:t>
        </w:r>
      </w:hyperlink>
    </w:p>
    <w:p>
      <w:pPr>
        <w:spacing w:after="0" w:line="254" w:lineRule="exact"/>
        <w:rPr>
          <w:rFonts w:ascii="Arial" w:cs="Arial" w:eastAsia="Arial" w:hAnsi="Arial"/>
          <w:sz w:val="18"/>
          <w:szCs w:val="18"/>
          <w:u w:val="single" w:color="auto"/>
          <w:color w:val="0000FF"/>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10.26</w:t>
      </w:r>
      <w:r>
        <w:rPr>
          <w:sz w:val="20"/>
          <w:szCs w:val="20"/>
          <w:color w:val="auto"/>
        </w:rPr>
        <w:tab/>
      </w:r>
      <w:hyperlink r:id="rId65">
        <w:r>
          <w:rPr>
            <w:rFonts w:ascii="Arial" w:cs="Arial" w:eastAsia="Arial" w:hAnsi="Arial"/>
            <w:sz w:val="16"/>
            <w:szCs w:val="16"/>
            <w:u w:val="single" w:color="auto"/>
            <w:color w:val="0000FF"/>
          </w:rPr>
          <w:t>Tax Matters Agreement, dated as of November 1, 2013, by and among Penn National Gaming, Inc. and Gaming and Leisure Properties, Inc.</w:t>
        </w:r>
      </w:hyperlink>
    </w:p>
    <w:p>
      <w:pPr>
        <w:spacing w:after="0" w:line="23" w:lineRule="exact"/>
        <w:rPr>
          <w:rFonts w:ascii="Arial" w:cs="Arial" w:eastAsia="Arial" w:hAnsi="Arial"/>
          <w:sz w:val="18"/>
          <w:szCs w:val="18"/>
          <w:u w:val="single" w:color="auto"/>
          <w:color w:val="0000FF"/>
        </w:rPr>
      </w:pPr>
    </w:p>
    <w:p>
      <w:pPr>
        <w:ind w:left="1080"/>
        <w:spacing w:after="0"/>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(Incorporated by reference to Exhibit 10.2 to the Company's current report on Form 8-K filed on November 7, 2013).</w:t>
        </w:r>
      </w:hyperlink>
    </w:p>
    <w:p>
      <w:pPr>
        <w:spacing w:after="0" w:line="278" w:lineRule="exact"/>
        <w:rPr>
          <w:rFonts w:ascii="Arial" w:cs="Arial" w:eastAsia="Arial" w:hAnsi="Arial"/>
          <w:sz w:val="18"/>
          <w:szCs w:val="18"/>
          <w:u w:val="single" w:color="auto"/>
          <w:color w:val="0000FF"/>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10.27</w:t>
      </w:r>
      <w:r>
        <w:rPr>
          <w:sz w:val="20"/>
          <w:szCs w:val="20"/>
          <w:color w:val="auto"/>
        </w:rPr>
        <w:tab/>
      </w:r>
      <w:hyperlink r:id="rId66">
        <w:r>
          <w:rPr>
            <w:rFonts w:ascii="Arial" w:cs="Arial" w:eastAsia="Arial" w:hAnsi="Arial"/>
            <w:sz w:val="16"/>
            <w:szCs w:val="16"/>
            <w:u w:val="single" w:color="auto"/>
            <w:color w:val="0000FF"/>
          </w:rPr>
          <w:t>Tax Matters Agreement, dated as of July 20, 2015, by and among Pinnacle Entertainment, Inc. and Gaming and Leisure Properties, Inc.</w:t>
        </w:r>
      </w:hyperlink>
    </w:p>
    <w:p>
      <w:pPr>
        <w:spacing w:after="0" w:line="23" w:lineRule="exact"/>
        <w:rPr>
          <w:rFonts w:ascii="Arial" w:cs="Arial" w:eastAsia="Arial" w:hAnsi="Arial"/>
          <w:sz w:val="18"/>
          <w:szCs w:val="18"/>
          <w:u w:val="single" w:color="auto"/>
          <w:color w:val="0000FF"/>
        </w:rPr>
      </w:pPr>
    </w:p>
    <w:p>
      <w:pPr>
        <w:ind w:left="1080"/>
        <w:spacing w:after="0"/>
        <w:rPr>
          <w:rFonts w:ascii="Arial" w:cs="Arial" w:eastAsia="Arial" w:hAnsi="Arial"/>
          <w:sz w:val="18"/>
          <w:szCs w:val="18"/>
          <w:u w:val="single" w:color="auto"/>
          <w:color w:val="0000FF"/>
        </w:rPr>
      </w:pPr>
      <w:hyperlink r:id="rId66">
        <w:r>
          <w:rPr>
            <w:rFonts w:ascii="Arial" w:cs="Arial" w:eastAsia="Arial" w:hAnsi="Arial"/>
            <w:sz w:val="18"/>
            <w:szCs w:val="18"/>
            <w:u w:val="single" w:color="auto"/>
            <w:color w:val="0000FF"/>
          </w:rPr>
          <w:t>(Incorporated by reference to Exhibit 10.1 to the Company's current report on Form 8-K filed on July 22, 2015).</w:t>
        </w:r>
      </w:hyperlink>
    </w:p>
    <w:p>
      <w:pPr>
        <w:spacing w:after="0" w:line="278" w:lineRule="exact"/>
        <w:rPr>
          <w:rFonts w:ascii="Arial" w:cs="Arial" w:eastAsia="Arial" w:hAnsi="Arial"/>
          <w:sz w:val="18"/>
          <w:szCs w:val="18"/>
          <w:u w:val="single" w:color="auto"/>
          <w:color w:val="0000FF"/>
        </w:rPr>
      </w:pPr>
    </w:p>
    <w:p>
      <w:pPr>
        <w:jc w:val="right"/>
        <w:ind w:left="420" w:right="720"/>
        <w:spacing w:after="0" w:line="342"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10.28   </w:t>
      </w:r>
      <w:hyperlink r:id="rId67">
        <w:r>
          <w:rPr>
            <w:rFonts w:ascii="Arial" w:cs="Arial" w:eastAsia="Arial" w:hAnsi="Arial"/>
            <w:sz w:val="16"/>
            <w:szCs w:val="16"/>
            <w:u w:val="single" w:color="auto"/>
            <w:color w:val="0000FF"/>
          </w:rPr>
          <w:t>Employee Matters Agreement, dated as of November 1, 2013, by and between Penn National Gaming, Inc. and Gaming and Leisure</w:t>
        </w:r>
      </w:hyperlink>
      <w:r>
        <w:rPr>
          <w:rFonts w:ascii="Arial" w:cs="Arial" w:eastAsia="Arial" w:hAnsi="Arial"/>
          <w:sz w:val="16"/>
          <w:szCs w:val="16"/>
          <w:color w:val="auto"/>
        </w:rPr>
        <w:t xml:space="preserve"> </w:t>
      </w:r>
      <w:hyperlink r:id="rId67">
        <w:r>
          <w:rPr>
            <w:rFonts w:ascii="Arial" w:cs="Arial" w:eastAsia="Arial" w:hAnsi="Arial"/>
            <w:sz w:val="16"/>
            <w:szCs w:val="16"/>
            <w:u w:val="single" w:color="auto"/>
            <w:color w:val="0000FF"/>
          </w:rPr>
          <w:t>Properties, Inc. (Incorporated by reference to Exhibit 10.4 to the Company's current report on Form 8-K filed on November 7, 2013).</w:t>
        </w:r>
      </w:hyperlink>
    </w:p>
    <w:p>
      <w:pPr>
        <w:spacing w:after="0" w:line="191" w:lineRule="exact"/>
        <w:rPr>
          <w:sz w:val="20"/>
          <w:szCs w:val="20"/>
          <w:color w:val="auto"/>
        </w:rPr>
      </w:pPr>
    </w:p>
    <w:p>
      <w:pPr>
        <w:ind w:left="1080" w:right="80" w:hanging="661"/>
        <w:spacing w:after="0" w:line="34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10.29</w:t>
      </w:r>
      <w:r>
        <w:rPr>
          <w:sz w:val="20"/>
          <w:szCs w:val="20"/>
          <w:color w:val="auto"/>
        </w:rPr>
        <w:tab/>
      </w:r>
      <w:hyperlink r:id="rId68">
        <w:r>
          <w:rPr>
            <w:rFonts w:ascii="Arial" w:cs="Arial" w:eastAsia="Arial" w:hAnsi="Arial"/>
            <w:sz w:val="16"/>
            <w:szCs w:val="16"/>
            <w:u w:val="single" w:color="auto"/>
            <w:color w:val="0000FF"/>
          </w:rPr>
          <w:t>Employee Matters Agreement, dated April 28, 2016, by and between PNK Entertainment, Inc. and Gold Merger Sub, LLC (as successor to</w:t>
        </w:r>
      </w:hyperlink>
      <w:r>
        <w:rPr>
          <w:rFonts w:ascii="Arial" w:cs="Arial" w:eastAsia="Arial" w:hAnsi="Arial"/>
          <w:sz w:val="16"/>
          <w:szCs w:val="16"/>
          <w:u w:val="single" w:color="auto"/>
          <w:color w:val="0000FF"/>
        </w:rPr>
        <w:t xml:space="preserve"> </w:t>
      </w:r>
      <w:hyperlink r:id="rId68">
        <w:r>
          <w:rPr>
            <w:rFonts w:ascii="Arial" w:cs="Arial" w:eastAsia="Arial" w:hAnsi="Arial"/>
            <w:sz w:val="16"/>
            <w:szCs w:val="16"/>
            <w:u w:val="single" w:color="auto"/>
            <w:color w:val="0000FF"/>
          </w:rPr>
          <w:t>Pinnacle Entertainment, Inc.) (Incorporated by reference to Exhibit 2.5 to the Company's current report on Form 8-K filed on April 28, 2016).</w:t>
        </w:r>
      </w:hyperlink>
    </w:p>
    <w:p>
      <w:pPr>
        <w:spacing w:after="0" w:line="191" w:lineRule="exact"/>
        <w:rPr>
          <w:sz w:val="20"/>
          <w:szCs w:val="20"/>
          <w:color w:val="auto"/>
        </w:rPr>
      </w:pPr>
    </w:p>
    <w:p>
      <w:pPr>
        <w:ind w:left="1080" w:right="420" w:hanging="796"/>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10.30 #</w:t>
      </w:r>
      <w:r>
        <w:rPr>
          <w:sz w:val="20"/>
          <w:szCs w:val="20"/>
          <w:color w:val="auto"/>
        </w:rPr>
        <w:tab/>
      </w:r>
      <w:hyperlink r:id="rId69">
        <w:r>
          <w:rPr>
            <w:rFonts w:ascii="Arial" w:cs="Arial" w:eastAsia="Arial" w:hAnsi="Arial"/>
            <w:sz w:val="18"/>
            <w:szCs w:val="18"/>
            <w:u w:val="single" w:color="auto"/>
            <w:color w:val="0000FF"/>
          </w:rPr>
          <w:t>Gaming and Leisure Properties, Inc. Amended and Restated 2013 Long Term Incentive Compensation Plan (Incorporated by reference to</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Exhibit 10.1 to the Company's quarterly report on Form 10-Q filed on April 30, 2018).</w:t>
        </w:r>
      </w:hyperlink>
    </w:p>
    <w:p>
      <w:pPr>
        <w:spacing w:after="0" w:line="238" w:lineRule="exact"/>
        <w:rPr>
          <w:sz w:val="20"/>
          <w:szCs w:val="20"/>
          <w:color w:val="auto"/>
        </w:rPr>
      </w:pPr>
    </w:p>
    <w:p>
      <w:pPr>
        <w:ind w:left="3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10.31#</w:t>
      </w:r>
      <w:r>
        <w:rPr>
          <w:sz w:val="20"/>
          <w:szCs w:val="20"/>
          <w:color w:val="auto"/>
        </w:rPr>
        <w:tab/>
      </w:r>
      <w:hyperlink r:id="rId70">
        <w:r>
          <w:rPr>
            <w:rFonts w:ascii="Arial" w:cs="Arial" w:eastAsia="Arial" w:hAnsi="Arial"/>
            <w:sz w:val="16"/>
            <w:szCs w:val="16"/>
            <w:u w:val="single" w:color="auto"/>
            <w:color w:val="0000FF"/>
          </w:rPr>
          <w:t>Form of Restricted Stock Performance Award I under the Gaming and Leisure Properties, Inc. 2013 Long-Term Incentive Compensation Plan.</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(Incorporated by reference to Exhibit 4.8 to the Company's annual report on Form 10-K filed on February 22, 2017).</w:t>
        </w:r>
      </w:hyperlink>
    </w:p>
    <w:p>
      <w:pPr>
        <w:spacing w:after="0" w:line="278" w:lineRule="exact"/>
        <w:rPr>
          <w:sz w:val="20"/>
          <w:szCs w:val="20"/>
          <w:color w:val="auto"/>
        </w:rPr>
      </w:pPr>
    </w:p>
    <w:p>
      <w:pPr>
        <w:ind w:left="28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10.32 #</w:t>
      </w:r>
      <w:r>
        <w:rPr>
          <w:sz w:val="20"/>
          <w:szCs w:val="20"/>
          <w:color w:val="auto"/>
        </w:rPr>
        <w:tab/>
      </w:r>
      <w:hyperlink r:id="rId71">
        <w:r>
          <w:rPr>
            <w:rFonts w:ascii="Arial" w:cs="Arial" w:eastAsia="Arial" w:hAnsi="Arial"/>
            <w:sz w:val="16"/>
            <w:szCs w:val="16"/>
            <w:u w:val="single" w:color="auto"/>
            <w:color w:val="0000FF"/>
          </w:rPr>
          <w:t>Form of Restricted Stock Performance Award II under the Gaming and Leisure Properties, Inc. 2013 Long-Term Incentive Compensation Plan.</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(Incorporated by reference to Exhibit 4.9 to the Company's annual report on Form 10-K filed on February 22, 2017).</w:t>
        </w:r>
      </w:hyperlink>
    </w:p>
    <w:p>
      <w:pPr>
        <w:spacing w:after="0" w:line="278" w:lineRule="exact"/>
        <w:rPr>
          <w:sz w:val="20"/>
          <w:szCs w:val="20"/>
          <w:color w:val="auto"/>
        </w:rPr>
      </w:pPr>
    </w:p>
    <w:p>
      <w:pPr>
        <w:ind w:left="1080" w:right="100" w:hanging="796"/>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10.33 #</w:t>
      </w:r>
      <w:r>
        <w:rPr>
          <w:sz w:val="20"/>
          <w:szCs w:val="20"/>
          <w:color w:val="auto"/>
        </w:rPr>
        <w:tab/>
      </w:r>
      <w:hyperlink r:id="rId72">
        <w:r>
          <w:rPr>
            <w:rFonts w:ascii="Arial" w:cs="Arial" w:eastAsia="Arial" w:hAnsi="Arial"/>
            <w:sz w:val="18"/>
            <w:szCs w:val="18"/>
            <w:u w:val="single" w:color="auto"/>
            <w:color w:val="0000FF"/>
          </w:rPr>
          <w:t>Form of Restricted Stock Award under the Gaming and Leisure Properties, Inc. 2013 Long-Term Incentive Compensation Plan. (Incorporated</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by reference to Exhibit 4.2 to the Company's quarterly report on Form 10-Q filed on May 4, 2015).</w:t>
        </w:r>
      </w:hyperlink>
    </w:p>
    <w:p>
      <w:pPr>
        <w:spacing w:after="0" w:line="238" w:lineRule="exact"/>
        <w:rPr>
          <w:sz w:val="20"/>
          <w:szCs w:val="20"/>
          <w:color w:val="auto"/>
        </w:rPr>
      </w:pPr>
    </w:p>
    <w:p>
      <w:pPr>
        <w:ind w:left="1080" w:right="100" w:hanging="796"/>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10.34 #</w:t>
      </w:r>
      <w:r>
        <w:rPr>
          <w:sz w:val="20"/>
          <w:szCs w:val="20"/>
          <w:color w:val="auto"/>
        </w:rPr>
        <w:tab/>
      </w:r>
      <w:hyperlink r:id="rId73">
        <w:r>
          <w:rPr>
            <w:rFonts w:ascii="Arial" w:cs="Arial" w:eastAsia="Arial" w:hAnsi="Arial"/>
            <w:sz w:val="18"/>
            <w:szCs w:val="18"/>
            <w:u w:val="single" w:color="auto"/>
            <w:color w:val="0000FF"/>
          </w:rPr>
          <w:t>Form of Restricted Stock Performance Award I under the Gaming and Leisure Properties, Inc. 2013 Long-Term Incentive Compensation Plan</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for Awards Issued after January 1, 2018. (Incorporated by reference to Exhibit 10.26 to the Company's annual report on Form 10-K filed on</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February 16, 2018).</w:t>
        </w:r>
      </w:hyperlink>
    </w:p>
    <w:p>
      <w:pPr>
        <w:spacing w:after="0" w:line="249" w:lineRule="exact"/>
        <w:rPr>
          <w:rFonts w:ascii="Arial" w:cs="Arial" w:eastAsia="Arial" w:hAnsi="Arial"/>
          <w:sz w:val="18"/>
          <w:szCs w:val="18"/>
          <w:u w:val="single" w:color="auto"/>
          <w:color w:val="0000FF"/>
        </w:rPr>
      </w:pPr>
    </w:p>
    <w:p>
      <w:pPr>
        <w:ind w:left="1080" w:right="40" w:hanging="796"/>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10.35 #</w:t>
      </w:r>
      <w:r>
        <w:rPr>
          <w:sz w:val="20"/>
          <w:szCs w:val="20"/>
          <w:color w:val="auto"/>
        </w:rPr>
        <w:tab/>
      </w:r>
      <w:hyperlink r:id="rId74">
        <w:r>
          <w:rPr>
            <w:rFonts w:ascii="Arial" w:cs="Arial" w:eastAsia="Arial" w:hAnsi="Arial"/>
            <w:sz w:val="18"/>
            <w:szCs w:val="18"/>
            <w:u w:val="single" w:color="auto"/>
            <w:color w:val="0000FF"/>
          </w:rPr>
          <w:t>Form of Restricted Stock Performance Award II under the Gaming and Leisure Properties, Inc. 2013 Long-Term Incentive Compensation Plan</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for Awards Issued after January 1, 2018. (Incorporated by reference to Exhibit 10.27 to the Company's annual report on Form 10-K filed on</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February 16, 2018).</w:t>
        </w:r>
      </w:hyperlink>
    </w:p>
    <w:p>
      <w:pPr>
        <w:spacing w:after="0" w:line="262" w:lineRule="exact"/>
        <w:rPr>
          <w:rFonts w:ascii="Arial" w:cs="Arial" w:eastAsia="Arial" w:hAnsi="Arial"/>
          <w:sz w:val="18"/>
          <w:szCs w:val="18"/>
          <w:u w:val="single" w:color="auto"/>
          <w:color w:val="0000FF"/>
        </w:rPr>
      </w:pPr>
    </w:p>
    <w:p>
      <w:pPr>
        <w:ind w:left="1080" w:right="300" w:hanging="93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10.36 # *</w:t>
      </w:r>
      <w:r>
        <w:rPr>
          <w:sz w:val="20"/>
          <w:szCs w:val="20"/>
          <w:color w:val="auto"/>
        </w:rPr>
        <w:tab/>
      </w:r>
      <w:hyperlink w:anchor="page139">
        <w:r>
          <w:rPr>
            <w:rFonts w:ascii="Arial" w:cs="Arial" w:eastAsia="Arial" w:hAnsi="Arial"/>
            <w:sz w:val="18"/>
            <w:szCs w:val="18"/>
            <w:u w:val="single" w:color="auto"/>
            <w:color w:val="0000FF"/>
          </w:rPr>
          <w:t>Form of Board of Director Restricted Stock Award under the Gaming and Leisure Properties, Inc. 2013 Amended and Restated Long-Term</w:t>
        </w:r>
      </w:hyperlink>
      <w:r>
        <w:rPr>
          <w:rFonts w:ascii="Arial" w:cs="Arial" w:eastAsia="Arial" w:hAnsi="Arial"/>
          <w:sz w:val="18"/>
          <w:szCs w:val="18"/>
          <w:u w:val="single" w:color="auto"/>
          <w:color w:val="0000FF"/>
        </w:rPr>
        <w:t xml:space="preserve"> </w:t>
      </w:r>
      <w:hyperlink w:anchor="page139">
        <w:r>
          <w:rPr>
            <w:rFonts w:ascii="Arial" w:cs="Arial" w:eastAsia="Arial" w:hAnsi="Arial"/>
            <w:sz w:val="18"/>
            <w:szCs w:val="18"/>
            <w:u w:val="single" w:color="auto"/>
            <w:color w:val="0000FF"/>
          </w:rPr>
          <w:t>Incentive Compensation Plan.</w:t>
        </w:r>
      </w:hyperlink>
    </w:p>
    <w:p>
      <w:pPr>
        <w:sectPr>
          <w:pgSz w:w="11900" w:h="16838" w:orient="portrait"/>
          <w:cols w:equalWidth="0" w:num="1">
            <w:col w:w="11380"/>
          </w:cols>
          <w:pgMar w:left="240" w:top="13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1380"/>
          </w:cols>
          <w:pgMar w:left="240" w:top="130" w:right="279" w:bottom="1440" w:gutter="0" w:footer="0" w:header="0"/>
          <w:type w:val="continuous"/>
        </w:sectPr>
      </w:pPr>
    </w:p>
    <w:bookmarkStart w:id="127" w:name="page128"/>
    <w:bookmarkEnd w:id="12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240"/>
        <w:spacing w:after="0"/>
        <w:tabs>
          <w:tab w:leader="none" w:pos="554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1080" w:right="160" w:hanging="796"/>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10.37 #</w:t>
      </w:r>
      <w:r>
        <w:rPr>
          <w:sz w:val="20"/>
          <w:szCs w:val="20"/>
          <w:color w:val="auto"/>
        </w:rPr>
        <w:tab/>
      </w:r>
      <w:hyperlink r:id="rId76">
        <w:r>
          <w:rPr>
            <w:rFonts w:ascii="Arial" w:cs="Arial" w:eastAsia="Arial" w:hAnsi="Arial"/>
            <w:sz w:val="18"/>
            <w:szCs w:val="18"/>
            <w:u w:val="single" w:color="auto"/>
            <w:color w:val="0000FF"/>
          </w:rPr>
          <w:t>Letter Agreement, dated as of April 24, 2018, by and between William J. Clifford and Gaming and Leisure Properties, Inc. (Incorporated by</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reference to Exhibit 10.1 to the Company's current report on Form 8-K, filed on April 30, 2018).</w:t>
        </w:r>
      </w:hyperlink>
    </w:p>
    <w:p>
      <w:pPr>
        <w:spacing w:after="0" w:line="279" w:lineRule="exact"/>
        <w:rPr>
          <w:sz w:val="20"/>
          <w:szCs w:val="20"/>
          <w:color w:val="auto"/>
        </w:rPr>
      </w:pPr>
    </w:p>
    <w:p>
      <w:pPr>
        <w:ind w:left="1080" w:right="340" w:hanging="661"/>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10.38</w:t>
      </w:r>
      <w:r>
        <w:rPr>
          <w:sz w:val="20"/>
          <w:szCs w:val="20"/>
          <w:color w:val="auto"/>
        </w:rPr>
        <w:tab/>
      </w:r>
      <w:hyperlink r:id="rId77">
        <w:r>
          <w:rPr>
            <w:rFonts w:ascii="Arial" w:cs="Arial" w:eastAsia="Arial" w:hAnsi="Arial"/>
            <w:sz w:val="18"/>
            <w:szCs w:val="18"/>
            <w:u w:val="single" w:color="auto"/>
            <w:color w:val="0000FF"/>
          </w:rPr>
          <w:t>Amended and Restated Membership Interest Purchase Agreement, dated as of December 15, 2015, by and among Gaming and Leisure</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Properties, Inc., GLP Capital, L.P., PA Meadows LLC, PA Mezzco LLC and Cannery Casino Resorts, LLC. (Incorporated by reference to</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Exhibit 10.14 to the Company's annual report on Form 10-K filed on February 22, 2016).</w:t>
        </w:r>
      </w:hyperlink>
    </w:p>
    <w:p>
      <w:pPr>
        <w:spacing w:after="0" w:line="249" w:lineRule="exact"/>
        <w:rPr>
          <w:rFonts w:ascii="Arial" w:cs="Arial" w:eastAsia="Arial" w:hAnsi="Arial"/>
          <w:sz w:val="18"/>
          <w:szCs w:val="18"/>
          <w:u w:val="single" w:color="auto"/>
          <w:color w:val="0000FF"/>
        </w:rPr>
      </w:pPr>
    </w:p>
    <w:p>
      <w:pPr>
        <w:ind w:left="540"/>
        <w:spacing w:after="0"/>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21*</w:t>
      </w:r>
      <w:r>
        <w:rPr>
          <w:sz w:val="20"/>
          <w:szCs w:val="20"/>
          <w:color w:val="auto"/>
        </w:rPr>
        <w:tab/>
      </w:r>
      <w:hyperlink w:anchor="page141">
        <w:r>
          <w:rPr>
            <w:rFonts w:ascii="Arial" w:cs="Arial" w:eastAsia="Arial" w:hAnsi="Arial"/>
            <w:sz w:val="18"/>
            <w:szCs w:val="18"/>
            <w:u w:val="single" w:color="auto"/>
            <w:color w:val="0000FF"/>
          </w:rPr>
          <w:t>Subsidiaries of the Registrant.</w:t>
        </w:r>
      </w:hyperlink>
    </w:p>
    <w:p>
      <w:pPr>
        <w:spacing w:after="0" w:line="293" w:lineRule="exact"/>
        <w:rPr>
          <w:rFonts w:ascii="Arial" w:cs="Arial" w:eastAsia="Arial" w:hAnsi="Arial"/>
          <w:sz w:val="18"/>
          <w:szCs w:val="18"/>
          <w:u w:val="single" w:color="auto"/>
          <w:color w:val="0000FF"/>
        </w:rPr>
      </w:pPr>
    </w:p>
    <w:p>
      <w:pPr>
        <w:ind w:left="540"/>
        <w:spacing w:after="0"/>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23*</w:t>
      </w:r>
      <w:r>
        <w:rPr>
          <w:sz w:val="20"/>
          <w:szCs w:val="20"/>
          <w:color w:val="auto"/>
        </w:rPr>
        <w:tab/>
      </w:r>
      <w:hyperlink w:anchor="page142">
        <w:r>
          <w:rPr>
            <w:rFonts w:ascii="Arial" w:cs="Arial" w:eastAsia="Arial" w:hAnsi="Arial"/>
            <w:sz w:val="18"/>
            <w:szCs w:val="18"/>
            <w:u w:val="single" w:color="auto"/>
            <w:color w:val="0000FF"/>
          </w:rPr>
          <w:t>Consent of Deloitte &amp; Touche LLP, Independent Registered Public Accounting Firm.</w:t>
        </w:r>
      </w:hyperlink>
    </w:p>
    <w:p>
      <w:pPr>
        <w:spacing w:after="0" w:line="293" w:lineRule="exact"/>
        <w:rPr>
          <w:rFonts w:ascii="Arial" w:cs="Arial" w:eastAsia="Arial" w:hAnsi="Arial"/>
          <w:sz w:val="18"/>
          <w:szCs w:val="18"/>
          <w:u w:val="single" w:color="auto"/>
          <w:color w:val="0000FF"/>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143">
        <w:r>
          <w:rPr>
            <w:rFonts w:ascii="Arial" w:cs="Arial" w:eastAsia="Arial" w:hAnsi="Arial"/>
            <w:sz w:val="16"/>
            <w:szCs w:val="16"/>
            <w:u w:val="single" w:color="auto"/>
            <w:color w:val="0000FF"/>
          </w:rPr>
          <w:t>CEO Certification pursuant to rule 13a-14(a) or 15d-14(a) of the Securities Exchange Act of 1934.</w:t>
        </w:r>
      </w:hyperlink>
    </w:p>
    <w:p>
      <w:pPr>
        <w:spacing w:after="0" w:line="347" w:lineRule="exact"/>
        <w:rPr>
          <w:rFonts w:ascii="Arial" w:cs="Arial" w:eastAsia="Arial" w:hAnsi="Arial"/>
          <w:sz w:val="18"/>
          <w:szCs w:val="18"/>
          <w:u w:val="single" w:color="auto"/>
          <w:color w:val="0000FF"/>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144">
        <w:r>
          <w:rPr>
            <w:rFonts w:ascii="Arial" w:cs="Arial" w:eastAsia="Arial" w:hAnsi="Arial"/>
            <w:sz w:val="16"/>
            <w:szCs w:val="16"/>
            <w:u w:val="single" w:color="auto"/>
            <w:color w:val="0000FF"/>
          </w:rPr>
          <w:t>CFO Certification pursuant to rule 13a-14(a) or 15d-14(a) of the Securities Exchange Act of 1934.</w:t>
        </w:r>
      </w:hyperlink>
    </w:p>
    <w:p>
      <w:pPr>
        <w:spacing w:after="0" w:line="293" w:lineRule="exact"/>
        <w:rPr>
          <w:rFonts w:ascii="Arial" w:cs="Arial" w:eastAsia="Arial" w:hAnsi="Arial"/>
          <w:sz w:val="18"/>
          <w:szCs w:val="18"/>
          <w:u w:val="single" w:color="auto"/>
          <w:color w:val="0000FF"/>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145">
        <w:r>
          <w:rPr>
            <w:rFonts w:ascii="Arial" w:cs="Arial" w:eastAsia="Arial" w:hAnsi="Arial"/>
            <w:sz w:val="16"/>
            <w:szCs w:val="16"/>
            <w:u w:val="single" w:color="auto"/>
            <w:color w:val="0000FF"/>
          </w:rPr>
          <w:t>CEO Certification pursuant to 18 U.S.C. Section 1350, As Adopted Pursuant to Section 906 of The Sarbanes - Oxley Act of 2002.</w:t>
        </w:r>
      </w:hyperlink>
    </w:p>
    <w:p>
      <w:pPr>
        <w:spacing w:after="0" w:line="333" w:lineRule="exact"/>
        <w:rPr>
          <w:rFonts w:ascii="Arial" w:cs="Arial" w:eastAsia="Arial" w:hAnsi="Arial"/>
          <w:sz w:val="18"/>
          <w:szCs w:val="18"/>
          <w:u w:val="single" w:color="auto"/>
          <w:color w:val="0000FF"/>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146">
        <w:r>
          <w:rPr>
            <w:rFonts w:ascii="Arial" w:cs="Arial" w:eastAsia="Arial" w:hAnsi="Arial"/>
            <w:sz w:val="16"/>
            <w:szCs w:val="16"/>
            <w:u w:val="single" w:color="auto"/>
            <w:color w:val="0000FF"/>
          </w:rPr>
          <w:t>CFO Certification pursuant to 18 U.S.C. Section 1350, As Adopted Pursuant to Section 906 of The Sarbanes - Oxley Act of 2002.</w:t>
        </w:r>
      </w:hyperlink>
    </w:p>
    <w:p>
      <w:pPr>
        <w:spacing w:after="0" w:line="293" w:lineRule="exact"/>
        <w:rPr>
          <w:rFonts w:ascii="Arial" w:cs="Arial" w:eastAsia="Arial" w:hAnsi="Arial"/>
          <w:sz w:val="18"/>
          <w:szCs w:val="18"/>
          <w:u w:val="single" w:color="auto"/>
          <w:color w:val="0000FF"/>
        </w:rPr>
      </w:pPr>
    </w:p>
    <w:p>
      <w:pPr>
        <w:ind w:left="1080" w:hanging="619"/>
        <w:spacing w:after="0" w:line="279" w:lineRule="auto"/>
        <w:tabs>
          <w:tab w:leader="none" w:pos="1060" w:val="left"/>
        </w:tabs>
        <w:rPr>
          <w:sz w:val="20"/>
          <w:szCs w:val="20"/>
          <w:color w:val="auto"/>
        </w:rPr>
      </w:pPr>
      <w:r>
        <w:rPr>
          <w:rFonts w:ascii="Arial" w:cs="Arial" w:eastAsia="Arial" w:hAnsi="Arial"/>
          <w:sz w:val="17"/>
          <w:szCs w:val="17"/>
          <w:color w:val="auto"/>
        </w:rPr>
        <w:t>101*</w:t>
        <w:tab/>
        <w:t>Interactive data files pursuant to Rule 405 of Regulation S-T: (i) the Consolidated Balance Sheets at December 31, 2018 and 2017, (ii) the Consolidated Statements of Income for the years ended December 31, 2018, 2017 and 2016, (iii) the Consolidated Statements of Changes in Shareholders' Equity (Deficit) for the years ended December 31, 2018, 2017 and 2016, (iv) the Consolidated Statements of Cash Flows for the years ended December 31, 2018, 2017 and 2016, and (v) the notes to the Consolidated Financial Statements.</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1406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8">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FF"/>
        </w:rPr>
      </w:pPr>
    </w:p>
    <w:p>
      <w:pPr>
        <w:spacing w:after="0" w:line="303" w:lineRule="exact"/>
        <w:rPr>
          <w:rFonts w:ascii="Arial" w:cs="Arial" w:eastAsia="Arial" w:hAnsi="Arial"/>
          <w:sz w:val="18"/>
          <w:szCs w:val="18"/>
          <w:u w:val="single" w:color="auto"/>
          <w:color w:val="0000FF"/>
        </w:rPr>
      </w:pPr>
    </w:p>
    <w:p>
      <w:pPr>
        <w:ind w:right="6360" w:firstLine="8"/>
        <w:spacing w:after="0" w:line="434" w:lineRule="auto"/>
        <w:tabs>
          <w:tab w:leader="none" w:pos="27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Compensation plans and arrangements for executives and others. * Filed herewith.</w:t>
      </w:r>
    </w:p>
    <w:p>
      <w:pPr>
        <w:spacing w:after="0" w:line="62" w:lineRule="exact"/>
        <w:rPr>
          <w:rFonts w:ascii="Arial" w:cs="Arial" w:eastAsia="Arial" w:hAnsi="Arial"/>
          <w:sz w:val="18"/>
          <w:szCs w:val="18"/>
          <w:u w:val="single" w:color="auto"/>
          <w:color w:val="0000FF"/>
        </w:rPr>
      </w:pPr>
    </w:p>
    <w:p>
      <w:pPr>
        <w:jc w:val="center"/>
        <w:ind w:right="-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20"/>
          </w:cols>
          <w:pgMar w:left="240" w:top="130" w:right="339" w:bottom="1440" w:gutter="0" w:footer="0" w:header="0"/>
        </w:sectPr>
      </w:pPr>
    </w:p>
    <w:bookmarkStart w:id="128" w:name="page129"/>
    <w:bookmarkEnd w:id="12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GAMING AND LEISURE PROPERTIES, INC.</w:t>
      </w:r>
    </w:p>
    <w:p>
      <w:pPr>
        <w:spacing w:after="0" w:line="63" w:lineRule="exact"/>
        <w:rPr>
          <w:sz w:val="20"/>
          <w:szCs w:val="20"/>
          <w:color w:val="auto"/>
        </w:rPr>
      </w:pPr>
    </w:p>
    <w:p>
      <w:pPr>
        <w:ind w:left="5640"/>
        <w:spacing w:after="0"/>
        <w:tabs>
          <w:tab w:leader="none" w:pos="8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M. CARLINO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Peter M. Carlino</w:t>
      </w:r>
    </w:p>
    <w:p>
      <w:pPr>
        <w:spacing w:after="0" w:line="23" w:lineRule="exact"/>
        <w:rPr>
          <w:sz w:val="20"/>
          <w:szCs w:val="20"/>
          <w:color w:val="auto"/>
        </w:rPr>
      </w:pPr>
    </w:p>
    <w:p>
      <w:pPr>
        <w:ind w:left="8060"/>
        <w:spacing w:after="0"/>
        <w:rPr>
          <w:sz w:val="20"/>
          <w:szCs w:val="20"/>
          <w:color w:val="auto"/>
        </w:rPr>
      </w:pPr>
      <w:r>
        <w:rPr>
          <w:rFonts w:ascii="Arial" w:cs="Arial" w:eastAsia="Arial" w:hAnsi="Arial"/>
          <w:sz w:val="18"/>
          <w:szCs w:val="18"/>
          <w:i w:val="1"/>
          <w:iCs w:val="1"/>
          <w:color w:val="auto"/>
        </w:rPr>
        <w:t>Chairman of the Board and</w:t>
      </w:r>
    </w:p>
    <w:p>
      <w:pPr>
        <w:spacing w:after="0" w:line="9" w:lineRule="exact"/>
        <w:rPr>
          <w:sz w:val="20"/>
          <w:szCs w:val="20"/>
          <w:color w:val="auto"/>
        </w:rPr>
      </w:pPr>
    </w:p>
    <w:p>
      <w:pPr>
        <w:ind w:left="8180"/>
        <w:spacing w:after="0"/>
        <w:rPr>
          <w:sz w:val="20"/>
          <w:szCs w:val="20"/>
          <w:color w:val="auto"/>
        </w:rPr>
      </w:pPr>
      <w:r>
        <w:rPr>
          <w:rFonts w:ascii="Arial" w:cs="Arial" w:eastAsia="Arial" w:hAnsi="Arial"/>
          <w:sz w:val="18"/>
          <w:szCs w:val="18"/>
          <w:i w:val="1"/>
          <w:iCs w:val="1"/>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2019</w:t>
      </w:r>
    </w:p>
    <w:p>
      <w:pPr>
        <w:spacing w:after="0" w:line="144" w:lineRule="exact"/>
        <w:rPr>
          <w:sz w:val="20"/>
          <w:szCs w:val="20"/>
          <w:color w:val="auto"/>
        </w:rPr>
      </w:pPr>
    </w:p>
    <w:p>
      <w:pPr>
        <w:ind w:right="340" w:firstLine="567"/>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40"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320" w:type="dxa"/>
            <w:vAlign w:val="bottom"/>
            <w:gridSpan w:val="10"/>
          </w:tcPr>
          <w:p>
            <w:pPr>
              <w:spacing w:after="0"/>
              <w:rPr>
                <w:sz w:val="14"/>
                <w:szCs w:val="14"/>
                <w:color w:val="auto"/>
              </w:rPr>
            </w:pPr>
          </w:p>
        </w:tc>
        <w:tc>
          <w:tcPr>
            <w:tcW w:w="4800" w:type="dxa"/>
            <w:vAlign w:val="bottom"/>
            <w:gridSpan w:val="3"/>
          </w:tcPr>
          <w:p>
            <w:pPr>
              <w:ind w:left="2320"/>
              <w:spacing w:after="0"/>
              <w:rPr>
                <w:sz w:val="20"/>
                <w:szCs w:val="20"/>
                <w:color w:val="auto"/>
              </w:rPr>
            </w:pPr>
            <w:r>
              <w:rPr>
                <w:rFonts w:ascii="Arial" w:cs="Arial" w:eastAsia="Arial" w:hAnsi="Arial"/>
                <w:sz w:val="14"/>
                <w:szCs w:val="14"/>
                <w:b w:val="1"/>
                <w:bCs w:val="1"/>
                <w:color w:val="auto"/>
              </w:rPr>
              <w:t>Title</w:t>
            </w:r>
          </w:p>
        </w:tc>
        <w:tc>
          <w:tcPr>
            <w:tcW w:w="1960" w:type="dxa"/>
            <w:vAlign w:val="bottom"/>
            <w:gridSpan w:val="3"/>
          </w:tcPr>
          <w:p>
            <w:pPr>
              <w:jc w:val="center"/>
              <w:ind w:left="552"/>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519"/>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0" w:type="dxa"/>
            <w:vAlign w:val="bottom"/>
            <w:gridSpan w:val="3"/>
          </w:tcPr>
          <w:p>
            <w:pPr>
              <w:ind w:left="400"/>
              <w:spacing w:after="0"/>
              <w:rPr>
                <w:sz w:val="20"/>
                <w:szCs w:val="20"/>
                <w:color w:val="auto"/>
              </w:rPr>
            </w:pPr>
            <w:r>
              <w:rPr>
                <w:rFonts w:ascii="Arial" w:cs="Arial" w:eastAsia="Arial" w:hAnsi="Arial"/>
                <w:sz w:val="18"/>
                <w:szCs w:val="18"/>
                <w:color w:val="auto"/>
              </w:rPr>
              <w:t>Chairman of the Board and Chief Executive Officer</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0" w:type="dxa"/>
            <w:vAlign w:val="bottom"/>
            <w:gridSpan w:val="15"/>
          </w:tcPr>
          <w:p>
            <w:pPr>
              <w:jc w:val="center"/>
              <w:ind w:right="540"/>
              <w:spacing w:after="0" w:line="190" w:lineRule="exact"/>
              <w:rPr>
                <w:sz w:val="20"/>
                <w:szCs w:val="20"/>
                <w:color w:val="auto"/>
              </w:rPr>
            </w:pPr>
            <w:r>
              <w:rPr>
                <w:rFonts w:ascii="Arial" w:cs="Arial" w:eastAsia="Arial" w:hAnsi="Arial"/>
                <w:sz w:val="18"/>
                <w:szCs w:val="18"/>
                <w:color w:val="auto"/>
                <w:w w:val="95"/>
              </w:rPr>
              <w:t>/s/ PETER M. CARLINO</w:t>
            </w:r>
          </w:p>
        </w:tc>
        <w:tc>
          <w:tcPr>
            <w:tcW w:w="4800" w:type="dxa"/>
            <w:vAlign w:val="bottom"/>
            <w:gridSpan w:val="3"/>
          </w:tcPr>
          <w:p>
            <w:pPr>
              <w:ind w:left="560"/>
              <w:spacing w:after="0" w:line="190" w:lineRule="exact"/>
              <w:rPr>
                <w:sz w:val="20"/>
                <w:szCs w:val="20"/>
                <w:color w:val="auto"/>
              </w:rPr>
            </w:pPr>
            <w:r>
              <w:rPr>
                <w:rFonts w:ascii="Arial" w:cs="Arial" w:eastAsia="Arial" w:hAnsi="Arial"/>
                <w:sz w:val="18"/>
                <w:szCs w:val="18"/>
                <w:color w:val="auto"/>
              </w:rPr>
              <w:t>(Principal Executive Officer)</w:t>
            </w:r>
          </w:p>
        </w:tc>
        <w:tc>
          <w:tcPr>
            <w:tcW w:w="1960" w:type="dxa"/>
            <w:vAlign w:val="bottom"/>
            <w:gridSpan w:val="3"/>
          </w:tcPr>
          <w:p>
            <w:pPr>
              <w:jc w:val="center"/>
              <w:ind w:left="552"/>
              <w:spacing w:after="0" w:line="190" w:lineRule="exact"/>
              <w:rPr>
                <w:sz w:val="20"/>
                <w:szCs w:val="20"/>
                <w:color w:val="auto"/>
              </w:rPr>
            </w:pPr>
            <w:r>
              <w:rPr>
                <w:rFonts w:ascii="Arial" w:cs="Arial" w:eastAsia="Arial" w:hAnsi="Arial"/>
                <w:sz w:val="18"/>
                <w:szCs w:val="18"/>
                <w:color w:val="auto"/>
                <w:w w:val="89"/>
              </w:rPr>
              <w:t>February 13, 2019</w:t>
            </w:r>
          </w:p>
        </w:tc>
      </w:tr>
      <w:tr>
        <w:trPr>
          <w:trHeight w:val="291"/>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gridSpan w:val="7"/>
          </w:tcPr>
          <w:p>
            <w:pPr>
              <w:jc w:val="center"/>
              <w:ind w:right="440"/>
              <w:spacing w:after="0"/>
              <w:rPr>
                <w:sz w:val="20"/>
                <w:szCs w:val="20"/>
                <w:color w:val="auto"/>
              </w:rPr>
            </w:pPr>
            <w:r>
              <w:rPr>
                <w:rFonts w:ascii="Arial" w:cs="Arial" w:eastAsia="Arial" w:hAnsi="Arial"/>
                <w:sz w:val="18"/>
                <w:szCs w:val="18"/>
                <w:color w:val="auto"/>
                <w:w w:val="92"/>
              </w:rPr>
              <w:t>Peter M. Carlino</w:t>
            </w:r>
          </w:p>
        </w:tc>
        <w:tc>
          <w:tcPr>
            <w:tcW w:w="540" w:type="dxa"/>
            <w:vAlign w:val="bottom"/>
            <w:gridSpan w:val="5"/>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80"/>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0" w:type="dxa"/>
            <w:vAlign w:val="bottom"/>
            <w:gridSpan w:val="3"/>
          </w:tcPr>
          <w:p>
            <w:pPr>
              <w:ind w:left="400"/>
              <w:spacing w:after="0"/>
              <w:rPr>
                <w:sz w:val="20"/>
                <w:szCs w:val="20"/>
                <w:color w:val="auto"/>
              </w:rPr>
            </w:pPr>
            <w:r>
              <w:rPr>
                <w:rFonts w:ascii="Arial" w:cs="Arial" w:eastAsia="Arial" w:hAnsi="Arial"/>
                <w:sz w:val="18"/>
                <w:szCs w:val="18"/>
                <w:color w:val="auto"/>
              </w:rPr>
              <w:t>Interim Chief Financial Officer (Principal Financial</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20" w:type="dxa"/>
            <w:vAlign w:val="bottom"/>
            <w:tcBorders>
              <w:bottom w:val="single" w:sz="8" w:color="auto"/>
            </w:tcBorders>
            <w:gridSpan w:val="13"/>
          </w:tcPr>
          <w:p>
            <w:pPr>
              <w:jc w:val="center"/>
              <w:ind w:right="20"/>
              <w:spacing w:after="0" w:line="190" w:lineRule="exact"/>
              <w:rPr>
                <w:sz w:val="20"/>
                <w:szCs w:val="20"/>
                <w:color w:val="auto"/>
              </w:rPr>
            </w:pPr>
            <w:r>
              <w:rPr>
                <w:rFonts w:ascii="Arial" w:cs="Arial" w:eastAsia="Arial" w:hAnsi="Arial"/>
                <w:sz w:val="18"/>
                <w:szCs w:val="18"/>
                <w:color w:val="auto"/>
                <w:w w:val="96"/>
              </w:rPr>
              <w:t>/s/ STEVEN T. SNYDER</w:t>
            </w:r>
          </w:p>
        </w:tc>
        <w:tc>
          <w:tcPr>
            <w:tcW w:w="500" w:type="dxa"/>
            <w:vAlign w:val="bottom"/>
            <w:gridSpan w:val="3"/>
          </w:tcPr>
          <w:p>
            <w:pPr>
              <w:spacing w:after="0"/>
              <w:rPr>
                <w:sz w:val="16"/>
                <w:szCs w:val="16"/>
                <w:color w:val="auto"/>
              </w:rPr>
            </w:pPr>
          </w:p>
        </w:tc>
        <w:tc>
          <w:tcPr>
            <w:tcW w:w="4800" w:type="dxa"/>
            <w:vAlign w:val="bottom"/>
            <w:gridSpan w:val="3"/>
          </w:tcPr>
          <w:p>
            <w:pPr>
              <w:ind w:left="560"/>
              <w:spacing w:after="0" w:line="190" w:lineRule="exact"/>
              <w:rPr>
                <w:sz w:val="20"/>
                <w:szCs w:val="20"/>
                <w:color w:val="auto"/>
              </w:rPr>
            </w:pPr>
            <w:r>
              <w:rPr>
                <w:rFonts w:ascii="Arial" w:cs="Arial" w:eastAsia="Arial" w:hAnsi="Arial"/>
                <w:sz w:val="18"/>
                <w:szCs w:val="18"/>
                <w:color w:val="auto"/>
              </w:rPr>
              <w:t>Officer and Duly Authorized Officer)</w:t>
            </w:r>
          </w:p>
        </w:tc>
        <w:tc>
          <w:tcPr>
            <w:tcW w:w="1960" w:type="dxa"/>
            <w:vAlign w:val="bottom"/>
            <w:gridSpan w:val="3"/>
          </w:tcPr>
          <w:p>
            <w:pPr>
              <w:jc w:val="center"/>
              <w:ind w:left="552"/>
              <w:spacing w:after="0" w:line="190" w:lineRule="exact"/>
              <w:rPr>
                <w:sz w:val="20"/>
                <w:szCs w:val="20"/>
                <w:color w:val="auto"/>
              </w:rPr>
            </w:pPr>
            <w:r>
              <w:rPr>
                <w:rFonts w:ascii="Arial" w:cs="Arial" w:eastAsia="Arial" w:hAnsi="Arial"/>
                <w:sz w:val="18"/>
                <w:szCs w:val="18"/>
                <w:color w:val="auto"/>
                <w:w w:val="89"/>
              </w:rPr>
              <w:t>February 13, 2019</w:t>
            </w:r>
          </w:p>
        </w:tc>
      </w:tr>
      <w:tr>
        <w:trPr>
          <w:trHeight w:val="291"/>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60" w:type="dxa"/>
            <w:vAlign w:val="bottom"/>
            <w:gridSpan w:val="12"/>
          </w:tcPr>
          <w:p>
            <w:pPr>
              <w:jc w:val="center"/>
              <w:ind w:right="980"/>
              <w:spacing w:after="0"/>
              <w:rPr>
                <w:sz w:val="20"/>
                <w:szCs w:val="20"/>
                <w:color w:val="auto"/>
              </w:rPr>
            </w:pPr>
            <w:r>
              <w:rPr>
                <w:rFonts w:ascii="Arial" w:cs="Arial" w:eastAsia="Arial" w:hAnsi="Arial"/>
                <w:sz w:val="18"/>
                <w:szCs w:val="18"/>
                <w:color w:val="auto"/>
                <w:w w:val="89"/>
              </w:rPr>
              <w:t>Steven T. Snyder</w:t>
            </w: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80"/>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0" w:type="dxa"/>
            <w:vAlign w:val="bottom"/>
            <w:gridSpan w:val="3"/>
          </w:tcPr>
          <w:p>
            <w:pPr>
              <w:ind w:left="400"/>
              <w:spacing w:after="0"/>
              <w:rPr>
                <w:sz w:val="20"/>
                <w:szCs w:val="20"/>
                <w:color w:val="auto"/>
              </w:rPr>
            </w:pPr>
            <w:r>
              <w:rPr>
                <w:rFonts w:ascii="Arial" w:cs="Arial" w:eastAsia="Arial" w:hAnsi="Arial"/>
                <w:sz w:val="18"/>
                <w:szCs w:val="18"/>
                <w:color w:val="auto"/>
              </w:rPr>
              <w:t>Senior Vice President and Chief Accounting Officer</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90"/>
        </w:trPr>
        <w:tc>
          <w:tcPr>
            <w:tcW w:w="1840" w:type="dxa"/>
            <w:vAlign w:val="bottom"/>
            <w:tcBorders>
              <w:bottom w:val="single" w:sz="8" w:color="auto"/>
            </w:tcBorders>
            <w:gridSpan w:val="10"/>
          </w:tcPr>
          <w:p>
            <w:pPr>
              <w:jc w:val="center"/>
              <w:spacing w:after="0" w:line="190" w:lineRule="exact"/>
              <w:rPr>
                <w:sz w:val="20"/>
                <w:szCs w:val="20"/>
                <w:color w:val="auto"/>
              </w:rPr>
            </w:pPr>
            <w:r>
              <w:rPr>
                <w:rFonts w:ascii="Arial" w:cs="Arial" w:eastAsia="Arial" w:hAnsi="Arial"/>
                <w:sz w:val="18"/>
                <w:szCs w:val="18"/>
                <w:color w:val="auto"/>
                <w:w w:val="95"/>
              </w:rPr>
              <w:t>/s/ DESIREE A. BURKE</w:t>
            </w:r>
          </w:p>
        </w:tc>
        <w:tc>
          <w:tcPr>
            <w:tcW w:w="700" w:type="dxa"/>
            <w:vAlign w:val="bottom"/>
            <w:gridSpan w:val="9"/>
          </w:tcPr>
          <w:p>
            <w:pPr>
              <w:spacing w:after="0"/>
              <w:rPr>
                <w:sz w:val="16"/>
                <w:szCs w:val="16"/>
                <w:color w:val="auto"/>
              </w:rPr>
            </w:pPr>
          </w:p>
        </w:tc>
        <w:tc>
          <w:tcPr>
            <w:tcW w:w="4800" w:type="dxa"/>
            <w:vAlign w:val="bottom"/>
            <w:gridSpan w:val="3"/>
          </w:tcPr>
          <w:p>
            <w:pPr>
              <w:ind w:left="560"/>
              <w:spacing w:after="0" w:line="190" w:lineRule="exact"/>
              <w:rPr>
                <w:sz w:val="20"/>
                <w:szCs w:val="20"/>
                <w:color w:val="auto"/>
              </w:rPr>
            </w:pPr>
            <w:r>
              <w:rPr>
                <w:rFonts w:ascii="Arial" w:cs="Arial" w:eastAsia="Arial" w:hAnsi="Arial"/>
                <w:sz w:val="18"/>
                <w:szCs w:val="18"/>
                <w:color w:val="auto"/>
              </w:rPr>
              <w:t>(Principal Accounting Officer)</w:t>
            </w:r>
          </w:p>
        </w:tc>
        <w:tc>
          <w:tcPr>
            <w:tcW w:w="1960" w:type="dxa"/>
            <w:vAlign w:val="bottom"/>
            <w:gridSpan w:val="3"/>
          </w:tcPr>
          <w:p>
            <w:pPr>
              <w:jc w:val="center"/>
              <w:ind w:left="552"/>
              <w:spacing w:after="0" w:line="190" w:lineRule="exact"/>
              <w:rPr>
                <w:sz w:val="20"/>
                <w:szCs w:val="20"/>
                <w:color w:val="auto"/>
              </w:rPr>
            </w:pPr>
            <w:r>
              <w:rPr>
                <w:rFonts w:ascii="Arial" w:cs="Arial" w:eastAsia="Arial" w:hAnsi="Arial"/>
                <w:sz w:val="18"/>
                <w:szCs w:val="18"/>
                <w:color w:val="auto"/>
                <w:w w:val="89"/>
              </w:rPr>
              <w:t>February 13, 2019</w:t>
            </w:r>
          </w:p>
        </w:tc>
      </w:tr>
      <w:tr>
        <w:trPr>
          <w:trHeight w:val="291"/>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60" w:type="dxa"/>
            <w:vAlign w:val="bottom"/>
            <w:gridSpan w:val="12"/>
          </w:tcPr>
          <w:p>
            <w:pPr>
              <w:jc w:val="center"/>
              <w:ind w:right="1000"/>
              <w:spacing w:after="0"/>
              <w:rPr>
                <w:sz w:val="20"/>
                <w:szCs w:val="20"/>
                <w:color w:val="auto"/>
              </w:rPr>
            </w:pPr>
            <w:r>
              <w:rPr>
                <w:rFonts w:ascii="Arial" w:cs="Arial" w:eastAsia="Arial" w:hAnsi="Arial"/>
                <w:sz w:val="18"/>
                <w:szCs w:val="18"/>
                <w:color w:val="auto"/>
                <w:w w:val="92"/>
              </w:rPr>
              <w:t>Desiree A. Burke</w:t>
            </w: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54"/>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20" w:type="dxa"/>
            <w:vAlign w:val="bottom"/>
            <w:gridSpan w:val="16"/>
          </w:tcPr>
          <w:p>
            <w:pPr>
              <w:jc w:val="center"/>
              <w:ind w:right="500"/>
              <w:spacing w:after="0"/>
              <w:rPr>
                <w:sz w:val="20"/>
                <w:szCs w:val="20"/>
                <w:color w:val="auto"/>
              </w:rPr>
            </w:pPr>
            <w:r>
              <w:rPr>
                <w:rFonts w:ascii="Arial" w:cs="Arial" w:eastAsia="Arial" w:hAnsi="Arial"/>
                <w:sz w:val="18"/>
                <w:szCs w:val="18"/>
                <w:color w:val="auto"/>
                <w:w w:val="97"/>
              </w:rPr>
              <w:t>/s/ DAVID A. HANDLER</w:t>
            </w:r>
          </w:p>
        </w:tc>
        <w:tc>
          <w:tcPr>
            <w:tcW w:w="480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13, 2019</w:t>
            </w:r>
          </w:p>
        </w:tc>
      </w:tr>
      <w:tr>
        <w:trPr>
          <w:trHeight w:val="291"/>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gridSpan w:val="8"/>
          </w:tcPr>
          <w:p>
            <w:pPr>
              <w:jc w:val="center"/>
              <w:ind w:right="460"/>
              <w:spacing w:after="0"/>
              <w:rPr>
                <w:sz w:val="20"/>
                <w:szCs w:val="20"/>
                <w:color w:val="auto"/>
              </w:rPr>
            </w:pPr>
            <w:r>
              <w:rPr>
                <w:rFonts w:ascii="Arial" w:cs="Arial" w:eastAsia="Arial" w:hAnsi="Arial"/>
                <w:sz w:val="18"/>
                <w:szCs w:val="18"/>
                <w:color w:val="auto"/>
                <w:w w:val="94"/>
              </w:rPr>
              <w:t>David A. Handler</w:t>
            </w:r>
          </w:p>
        </w:tc>
        <w:tc>
          <w:tcPr>
            <w:tcW w:w="520" w:type="dxa"/>
            <w:vAlign w:val="bottom"/>
            <w:gridSpan w:val="4"/>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54"/>
        </w:trPr>
        <w:tc>
          <w:tcPr>
            <w:tcW w:w="2540" w:type="dxa"/>
            <w:vAlign w:val="bottom"/>
            <w:gridSpan w:val="19"/>
          </w:tcPr>
          <w:p>
            <w:pPr>
              <w:jc w:val="center"/>
              <w:ind w:right="380"/>
              <w:spacing w:after="0"/>
              <w:rPr>
                <w:sz w:val="20"/>
                <w:szCs w:val="20"/>
                <w:color w:val="auto"/>
              </w:rPr>
            </w:pPr>
            <w:r>
              <w:rPr>
                <w:rFonts w:ascii="Arial" w:cs="Arial" w:eastAsia="Arial" w:hAnsi="Arial"/>
                <w:sz w:val="18"/>
                <w:szCs w:val="18"/>
                <w:color w:val="auto"/>
                <w:w w:val="94"/>
              </w:rPr>
              <w:t>/s/ JOSEPH W. MARSHALL</w:t>
            </w:r>
          </w:p>
        </w:tc>
        <w:tc>
          <w:tcPr>
            <w:tcW w:w="480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13, 2019</w:t>
            </w:r>
          </w:p>
        </w:tc>
      </w:tr>
      <w:tr>
        <w:trPr>
          <w:trHeight w:val="291"/>
        </w:trPr>
        <w:tc>
          <w:tcPr>
            <w:tcW w:w="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gridSpan w:val="11"/>
          </w:tcPr>
          <w:p>
            <w:pPr>
              <w:jc w:val="center"/>
              <w:ind w:right="260"/>
              <w:spacing w:after="0"/>
              <w:rPr>
                <w:sz w:val="20"/>
                <w:szCs w:val="20"/>
                <w:color w:val="auto"/>
              </w:rPr>
            </w:pPr>
            <w:r>
              <w:rPr>
                <w:rFonts w:ascii="Arial" w:cs="Arial" w:eastAsia="Arial" w:hAnsi="Arial"/>
                <w:sz w:val="18"/>
                <w:szCs w:val="18"/>
                <w:color w:val="auto"/>
                <w:w w:val="88"/>
              </w:rPr>
              <w:t>Joseph W. Marshall</w:t>
            </w:r>
          </w:p>
        </w:tc>
        <w:tc>
          <w:tcPr>
            <w:tcW w:w="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54"/>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60" w:type="dxa"/>
            <w:vAlign w:val="bottom"/>
            <w:gridSpan w:val="12"/>
          </w:tcPr>
          <w:p>
            <w:pPr>
              <w:jc w:val="center"/>
              <w:ind w:right="660"/>
              <w:spacing w:after="0"/>
              <w:rPr>
                <w:sz w:val="20"/>
                <w:szCs w:val="20"/>
                <w:color w:val="auto"/>
              </w:rPr>
            </w:pPr>
            <w:r>
              <w:rPr>
                <w:rFonts w:ascii="Arial" w:cs="Arial" w:eastAsia="Arial" w:hAnsi="Arial"/>
                <w:sz w:val="18"/>
                <w:szCs w:val="18"/>
                <w:color w:val="auto"/>
                <w:w w:val="92"/>
              </w:rPr>
              <w:t>/s/ JAMES B. PERRY</w:t>
            </w:r>
          </w:p>
        </w:tc>
        <w:tc>
          <w:tcPr>
            <w:tcW w:w="480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13, 2019</w:t>
            </w:r>
          </w:p>
        </w:tc>
      </w:tr>
      <w:tr>
        <w:trPr>
          <w:trHeight w:val="291"/>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87"/>
              </w:rPr>
              <w:t>James B. Perry</w:t>
            </w:r>
          </w:p>
        </w:tc>
        <w:tc>
          <w:tcPr>
            <w:tcW w:w="660" w:type="dxa"/>
            <w:vAlign w:val="bottom"/>
            <w:gridSpan w:val="8"/>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54"/>
        </w:trPr>
        <w:tc>
          <w:tcPr>
            <w:tcW w:w="20" w:type="dxa"/>
            <w:vAlign w:val="bottom"/>
          </w:tcPr>
          <w:p>
            <w:pPr>
              <w:spacing w:after="0"/>
              <w:rPr>
                <w:sz w:val="24"/>
                <w:szCs w:val="24"/>
                <w:color w:val="auto"/>
              </w:rPr>
            </w:pPr>
          </w:p>
        </w:tc>
        <w:tc>
          <w:tcPr>
            <w:tcW w:w="2520" w:type="dxa"/>
            <w:vAlign w:val="bottom"/>
            <w:gridSpan w:val="18"/>
          </w:tcPr>
          <w:p>
            <w:pPr>
              <w:jc w:val="center"/>
              <w:ind w:right="400"/>
              <w:spacing w:after="0"/>
              <w:rPr>
                <w:sz w:val="20"/>
                <w:szCs w:val="20"/>
                <w:color w:val="auto"/>
              </w:rPr>
            </w:pPr>
            <w:r>
              <w:rPr>
                <w:rFonts w:ascii="Arial" w:cs="Arial" w:eastAsia="Arial" w:hAnsi="Arial"/>
                <w:sz w:val="18"/>
                <w:szCs w:val="18"/>
                <w:color w:val="auto"/>
                <w:w w:val="93"/>
              </w:rPr>
              <w:t>/s/ BARRY F. SCHWARTZ</w:t>
            </w:r>
          </w:p>
        </w:tc>
        <w:tc>
          <w:tcPr>
            <w:tcW w:w="480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13, 2019</w:t>
            </w:r>
          </w:p>
        </w:tc>
      </w:tr>
      <w:tr>
        <w:trPr>
          <w:trHeight w:val="291"/>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gridSpan w:val="10"/>
          </w:tcPr>
          <w:p>
            <w:pPr>
              <w:jc w:val="center"/>
              <w:ind w:right="220"/>
              <w:spacing w:after="0"/>
              <w:rPr>
                <w:sz w:val="20"/>
                <w:szCs w:val="20"/>
                <w:color w:val="auto"/>
              </w:rPr>
            </w:pPr>
            <w:r>
              <w:rPr>
                <w:rFonts w:ascii="Arial" w:cs="Arial" w:eastAsia="Arial" w:hAnsi="Arial"/>
                <w:sz w:val="18"/>
                <w:szCs w:val="18"/>
                <w:color w:val="auto"/>
                <w:w w:val="90"/>
              </w:rPr>
              <w:t>Barry F. Schwartz</w:t>
            </w:r>
          </w:p>
        </w:tc>
        <w:tc>
          <w:tcPr>
            <w:tcW w:w="460" w:type="dxa"/>
            <w:vAlign w:val="bottom"/>
            <w:gridSpan w:val="2"/>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54"/>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gridSpan w:val="13"/>
          </w:tcPr>
          <w:p>
            <w:pPr>
              <w:jc w:val="center"/>
              <w:ind w:right="640"/>
              <w:spacing w:after="0"/>
              <w:rPr>
                <w:sz w:val="20"/>
                <w:szCs w:val="20"/>
                <w:color w:val="auto"/>
              </w:rPr>
            </w:pPr>
            <w:r>
              <w:rPr>
                <w:rFonts w:ascii="Arial" w:cs="Arial" w:eastAsia="Arial" w:hAnsi="Arial"/>
                <w:sz w:val="18"/>
                <w:szCs w:val="18"/>
                <w:color w:val="auto"/>
                <w:w w:val="95"/>
              </w:rPr>
              <w:t>/s/ EARL C. SHANKS</w:t>
            </w:r>
          </w:p>
        </w:tc>
        <w:tc>
          <w:tcPr>
            <w:tcW w:w="480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13, 2019</w:t>
            </w:r>
          </w:p>
        </w:tc>
      </w:tr>
      <w:tr>
        <w:trPr>
          <w:trHeight w:val="291"/>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89"/>
              </w:rPr>
              <w:t>Earl C. Shanks</w:t>
            </w:r>
          </w:p>
        </w:tc>
        <w:tc>
          <w:tcPr>
            <w:tcW w:w="640" w:type="dxa"/>
            <w:vAlign w:val="bottom"/>
            <w:gridSpan w:val="7"/>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54"/>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color w:val="auto"/>
                <w:w w:val="94"/>
              </w:rPr>
              <w:t>/s/ E. SCOTT URDANG</w:t>
            </w:r>
          </w:p>
        </w:tc>
        <w:tc>
          <w:tcPr>
            <w:tcW w:w="560" w:type="dxa"/>
            <w:vAlign w:val="bottom"/>
            <w:gridSpan w:val="6"/>
          </w:tcPr>
          <w:p>
            <w:pPr>
              <w:spacing w:after="0"/>
              <w:rPr>
                <w:sz w:val="24"/>
                <w:szCs w:val="24"/>
                <w:color w:val="auto"/>
              </w:rPr>
            </w:pPr>
          </w:p>
        </w:tc>
        <w:tc>
          <w:tcPr>
            <w:tcW w:w="480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13, 2019</w:t>
            </w:r>
          </w:p>
        </w:tc>
      </w:tr>
      <w:tr>
        <w:trPr>
          <w:trHeight w:val="291"/>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60" w:type="dxa"/>
            <w:vAlign w:val="bottom"/>
            <w:gridSpan w:val="12"/>
          </w:tcPr>
          <w:p>
            <w:pPr>
              <w:jc w:val="center"/>
              <w:ind w:right="980"/>
              <w:spacing w:after="0"/>
              <w:rPr>
                <w:sz w:val="20"/>
                <w:szCs w:val="20"/>
                <w:color w:val="auto"/>
              </w:rPr>
            </w:pPr>
            <w:r>
              <w:rPr>
                <w:rFonts w:ascii="Arial" w:cs="Arial" w:eastAsia="Arial" w:hAnsi="Arial"/>
                <w:sz w:val="18"/>
                <w:szCs w:val="18"/>
                <w:color w:val="auto"/>
                <w:w w:val="91"/>
              </w:rPr>
              <w:t>E. Scott Urdang</w:t>
            </w: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360"/>
          </w:cols>
          <w:pgMar w:left="240" w:top="130" w:right="29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128</w:t>
      </w:r>
    </w:p>
    <w:p>
      <w:pPr>
        <w:sectPr>
          <w:pgSz w:w="11900" w:h="16838" w:orient="portrait"/>
          <w:cols w:equalWidth="0" w:num="1">
            <w:col w:w="11360"/>
          </w:cols>
          <w:pgMar w:left="240" w:top="130" w:right="299" w:bottom="1440" w:gutter="0" w:footer="0" w:header="0"/>
          <w:type w:val="continuous"/>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SEVENTH AMENDMENT TO MASTER LEASE</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THIS SEVENTH AMENDMENT TO MASTER LEASE (this “Amendment”) is being entered into on this 31st day of October, 2018 (the "Effective Date"), by and between Landlord and Tenant, as more fully set forth herein, and shall amend that certain Master Lease, dated November 1, 2013, as amended to the date hereof (collectively, the “Master Lease”), by and among GLP Capital, L.P. (together with its permitted successors and assigns, “Landlord”) and Penn Tenant, LLC (together with its permitted successors and assigns, “Tenant”), pursuant to which Tenant leases certain Leased Property, as further defined in the Master Lease (the “Existing Leased Property”). Landlord and Tenant each desire to remove certain portions of the Existing Leased Property as identified and defined in Annex A attached hereto and incorporated herein (the “Removed Leased Property”) from the terms, covenants and conditions of the Master Lease. Capitalized terms used herein and not otherwise defined herein shall have the meaning ascribed to them in the Master Lease.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WHEREAS, Landlord and Tenant each desire to amend the Master Lease as more fully described herein.</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NOW, THEREFORE, in consideration of the provisions set forth in the Master Lease as amended by this Amendment, including, but not limited to, the mutual representations, warranties, covenants and agreements contained therein and herein, and for other good and valuable consideration, the receipt and sufficiency of which are hereby respectively acknowledged, and subject to the terms and conditions thereof and hereof, the parties, intending to be legally bound, hereby agree that the Master Lease shall be amended as follows: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REMOVAL OF REMOVED LEASED PROPERTY</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1.1 Exhibit B to the Master Lease is hereby amended to remove the description of the Removed Leased Property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attached hereto and incorporated hereby by this reference from the description of the Land.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MEMORANDUM OF LEASE</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Landlord and Tenant shall enter into an amendment to any memorandum of lease which may have been recorded in accordance with Article XXXIII of the Master Lease against the Removed Leased Property, in form suitable for recording in the county or other application location in which a Removed Leased Property is located which amendment is pursuant to this Amendment. Landlord shall pay all costs and expenses of recording any such amendment to memorandum.</w:t>
      </w:r>
    </w:p>
    <w:p>
      <w:pPr>
        <w:sectPr>
          <w:pgSz w:w="11900" w:h="16838" w:orient="portrait"/>
          <w:cols w:equalWidth="0" w:num="1">
            <w:col w:w="11420"/>
          </w:cols>
          <w:pgMar w:left="240" w:top="580" w:right="239" w:bottom="1440" w:gutter="0" w:footer="0" w:header="0"/>
        </w:sectPr>
      </w:pPr>
    </w:p>
    <w:bookmarkStart w:id="130" w:name="page131"/>
    <w:bookmarkEnd w:id="130"/>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AUTHORITY TO ENTER INTO AMENDMENT</w:t>
      </w:r>
    </w:p>
    <w:p>
      <w:pPr>
        <w:spacing w:after="0" w:line="2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Each party represents and warrants to the other that: (i) this Amendment and all other documents executed or to be executed by it in connection herewith have been duly authorized and shall be binding upon it; (ii) it is duly organized, validly existing and in good standing under the laws of the state of its formation and is duly authorized and qualified to perform this Amendment and the Master Lease, as amended hereby, within the State(s) where any portion of the Leased Property is located, and (iii) neither this Amendment, the Master Lease, as amended hereby, nor any other document executed or to be executed in connection herewith violates the terms of any other agreement of such party.</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Brokers.</w:t>
      </w:r>
      <w:r>
        <w:rPr>
          <w:rFonts w:ascii="Arial" w:cs="Arial" w:eastAsia="Arial" w:hAnsi="Arial"/>
          <w:sz w:val="18"/>
          <w:szCs w:val="18"/>
          <w:color w:val="auto"/>
        </w:rPr>
        <w:t xml:space="preserve"> Tenant warrants that it has not had any contact or dealings with any Person or real estate broker which would give rise to the payment of any fee or brokerage commission in connection with this Amendment, and Tenant shall indemnify, protect, hold harmless and defend Landlord from and against any liability with respect to any fee or brokerage commission arising out of any act or omission of Tenant. Landlord warrants that it has not had any contact or dealings with any Person or real estate broker which would give rise to the payment of any fee or brokerage commission in connection with this Amendment, and Landlord shall indemnify, protect, hold harmless and defend Tenant from and against any liability with respect to any fee or brokerage commission arising out of any act or omission of Landlord.</w:t>
      </w:r>
    </w:p>
    <w:p>
      <w:pPr>
        <w:spacing w:after="0" w:line="188" w:lineRule="exact"/>
        <w:rPr>
          <w:sz w:val="20"/>
          <w:szCs w:val="20"/>
          <w:color w:val="auto"/>
        </w:rPr>
      </w:pPr>
    </w:p>
    <w:p>
      <w:pPr>
        <w:ind w:right="380" w:firstLine="648"/>
        <w:spacing w:after="0" w:line="26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u w:val="single" w:color="auto"/>
          <w:color w:val="auto"/>
        </w:rPr>
        <w:t>Costs and Expenses; Fees.</w:t>
      </w:r>
      <w:r>
        <w:rPr>
          <w:rFonts w:ascii="Arial" w:cs="Arial" w:eastAsia="Arial" w:hAnsi="Arial"/>
          <w:sz w:val="18"/>
          <w:szCs w:val="18"/>
          <w:color w:val="auto"/>
        </w:rPr>
        <w:t xml:space="preserve"> Each party shall be responsible for and bear all of its own expenses incurred in connection with pursuing or consummating this Amendment and the transactions contemplated by this Amendment, including, but not limited to, fees and expenses, legal counsel, accountants, and other facilitators and advisors.</w:t>
      </w:r>
    </w:p>
    <w:p>
      <w:pPr>
        <w:spacing w:after="0" w:line="176" w:lineRule="exact"/>
        <w:rPr>
          <w:sz w:val="20"/>
          <w:szCs w:val="20"/>
          <w:color w:val="auto"/>
        </w:rPr>
      </w:pPr>
    </w:p>
    <w:p>
      <w:pPr>
        <w:ind w:right="360" w:firstLine="648"/>
        <w:spacing w:after="0" w:line="266"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u w:val="single" w:color="auto"/>
          <w:color w:val="auto"/>
        </w:rPr>
        <w:t>Choice of Law and Forum Selection Clause.</w:t>
      </w:r>
      <w:r>
        <w:rPr>
          <w:rFonts w:ascii="Arial" w:cs="Arial" w:eastAsia="Arial" w:hAnsi="Arial"/>
          <w:sz w:val="18"/>
          <w:szCs w:val="18"/>
          <w:color w:val="auto"/>
        </w:rPr>
        <w:t xml:space="preserve"> This Amendment shall be construed and interpreted, and the rights of the parties shall be determined, in accordance with the substantive Laws of the State of New York without regard to the conflict of law principles thereof or of any other jurisdiction.</w:t>
      </w:r>
    </w:p>
    <w:p>
      <w:pPr>
        <w:spacing w:after="0" w:line="176" w:lineRule="exact"/>
        <w:rPr>
          <w:sz w:val="20"/>
          <w:szCs w:val="20"/>
          <w:color w:val="auto"/>
        </w:rPr>
      </w:pPr>
    </w:p>
    <w:p>
      <w:pPr>
        <w:jc w:val="both"/>
        <w:ind w:right="180" w:firstLine="648"/>
        <w:spacing w:after="0" w:line="261"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u w:val="single" w:color="auto"/>
          <w:color w:val="auto"/>
        </w:rPr>
        <w:t>Counterparts; Facsimile Signatures.</w:t>
      </w:r>
      <w:r>
        <w:rPr>
          <w:rFonts w:ascii="Arial" w:cs="Arial" w:eastAsia="Arial" w:hAnsi="Arial"/>
          <w:sz w:val="18"/>
          <w:szCs w:val="18"/>
          <w:color w:val="auto"/>
        </w:rPr>
        <w:t xml:space="preserve"> This Amendment may be executed in two or more counterparts, each of which shall be deemed an original, but all of which together shall constitute one and the same instrument. In proving this Amendment, it shall not be necessary to produce or account for more than one such counterpart signed by the party against whom enforcement is sought. Any counterpart may be executed by facsimile signature and such facsimile signature shall be deemed an original.</w:t>
      </w:r>
    </w:p>
    <w:p>
      <w:pPr>
        <w:spacing w:after="0" w:line="18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b w:val="1"/>
          <w:bCs w:val="1"/>
          <w:u w:val="single" w:color="auto"/>
          <w:color w:val="auto"/>
        </w:rPr>
        <w:t xml:space="preserve">No Further Modification. </w:t>
      </w:r>
      <w:r>
        <w:rPr>
          <w:rFonts w:ascii="Arial" w:cs="Arial" w:eastAsia="Arial" w:hAnsi="Arial"/>
          <w:sz w:val="16"/>
          <w:szCs w:val="16"/>
          <w:color w:val="auto"/>
        </w:rPr>
        <w:t>Except as modified hereby, the Master Lease remains in full force and effect.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0" w:right="259" w:bottom="1440" w:gutter="0" w:footer="0" w:header="0"/>
        </w:sectPr>
      </w:pPr>
    </w:p>
    <w:bookmarkStart w:id="131" w:name="page132"/>
    <w:bookmarkEnd w:id="131"/>
    <w:p>
      <w:pPr>
        <w:spacing w:after="0"/>
        <w:rPr>
          <w:sz w:val="20"/>
          <w:szCs w:val="20"/>
          <w:color w:val="auto"/>
        </w:rPr>
      </w:pPr>
      <w:r>
        <w:rPr>
          <w:rFonts w:ascii="Arial" w:cs="Arial" w:eastAsia="Arial" w:hAnsi="Arial"/>
          <w:sz w:val="16"/>
          <w:szCs w:val="16"/>
          <w:color w:val="auto"/>
        </w:rPr>
        <w:t>IN WITNESS WHEREOF, this Amendment has been duly executed and delivered by each of the undersigned as of the date first above written.</w:t>
      </w:r>
    </w:p>
    <w:p>
      <w:pPr>
        <w:sectPr>
          <w:pgSz w:w="11900" w:h="16838" w:orient="portrait"/>
          <w:cols w:equalWidth="0" w:num="1">
            <w:col w:w="10320"/>
          </w:cols>
          <w:pgMar w:left="900" w:top="584" w:right="679" w:bottom="1440" w:gutter="0" w:footer="0" w:header="0"/>
        </w:sectPr>
      </w:pPr>
    </w:p>
    <w:p>
      <w:pPr>
        <w:spacing w:after="0" w:line="19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LANDLORD:</w:t>
      </w:r>
    </w:p>
    <w:p>
      <w:pPr>
        <w:spacing w:after="0" w:line="33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GLP CAPITAL, L.P.</w:t>
      </w:r>
    </w:p>
    <w:p>
      <w:pPr>
        <w:spacing w:after="0" w:line="33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Brandon J. Moore</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Brandon J. Moore</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Title: Senior Vice President, General Counsel and Secretary</w:t>
      </w:r>
    </w:p>
    <w:p>
      <w:pPr>
        <w:spacing w:after="0" w:line="352"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TENANT:</w:t>
      </w:r>
    </w:p>
    <w:p>
      <w:pPr>
        <w:spacing w:after="0" w:line="33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PENN TENANT, LLC</w:t>
      </w:r>
    </w:p>
    <w:p>
      <w:pPr>
        <w:spacing w:after="0" w:line="33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Carl Sottosanti</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Carl Sottosanti</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Executive Vice President, General Counsel and</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320"/>
          </w:cols>
          <w:pgMar w:left="900" w:top="584" w:right="679" w:bottom="1440" w:gutter="0" w:footer="0" w:header="0"/>
          <w:type w:val="continuous"/>
        </w:sectPr>
      </w:pPr>
    </w:p>
    <w:bookmarkStart w:id="132" w:name="page133"/>
    <w:bookmarkEnd w:id="132"/>
    <w:p>
      <w:pPr>
        <w:jc w:val="center"/>
        <w:ind w:right="-39"/>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LEGAL DESCRIPTIONS REMOVED FROM EXHIBIT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From Hollywood Casino Joliet:</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THAT PART OF LOT 14 IN CHICAGO GRAVEL COMPANY'S SUBDIVISION OF PART OF SECTIONS 24, 25, 26, 35 AND 36, TOWNSHIP 35 NORTH, RANGE 9 EAST OF THIRD PRINCIPAL MERIDIAN AND PART OF THE SOUTHWEST QUARTER OF THE SOUTHWEST QUARTER OF SECTION 19, TOWNSHIP 35 NORTH, RANGE 10 EAST OF THE THIRD PRINCIPAL MERIDIAN, ACCORDING TO THE PLAT THEREOF RECORDED JUNE 20, 1924, AS DOCUMENT NUMBER 368583, AND THAT PART OF SAID SECTION 36 LYING NORTH OF THE THREAD OF THE DESPLAINES RIVER, AND LYING SOUTH OF THE DESPLAINES RIVER MEANDER LINE, ACCORDING TO SAID CHICAGO GRAVEL COMPANY’S SUBDIVISION, AND LYING EAST OF THE SOUTHERLY PROJECTION OF THE EAST LINE OF LOT 11 IN SAID CHICAGO GRAVEL COMPANY’S SUBDIVISION, DESCRIBED AS FOLLOWS: COMMENCING AT THE NORTHEAST CORNER OF SAID LOT 11, THENCE SOUTH 02 DEGREES 14 MINUTES 00 SECONDS EAST ALONG SAID EAST LINE AND ALONG SAID SOUTHERLY PROJECTION, 4307.03 FEET TO A POINT ON A LINE LYING 75.00 FEET NORTHEASTERLY OF AND PARALLEL WITH AN ALIGNMENT CENTERLINE, SAID POINT BEING THE POINT OF BEGINNING; THENCE CONTINUING SOUTH 02 DEGREES 14 MINUTES 00 SECONDS EAST ALONG SAID SOUTHERLY PROJECTION, 426.13 FEET TO A POINT ON THE AFORESAID THREAD; THENCE NORTH 76 DEGREES 12 MINUTES 15 SECONDS EAST ALONG SAID THREAD, 154.58 FEET TO A POINT ON A THE AFORESAID PARALLEL LINE; THENCE NORTH 23 DEGREES 12 MINUTES 11 SECONDS WEST ALONG SAID PARALLEL LINE, 423.18 FEET TO THE POINT OF BEGINNING, IN WILL COUNTY, ILLINOIS.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P.I.N. 06-36-100-003</w:t>
      </w:r>
    </w:p>
    <w:p>
      <w:pPr>
        <w:sectPr>
          <w:pgSz w:w="11900" w:h="16838" w:orient="portrait"/>
          <w:cols w:equalWidth="0" w:num="1">
            <w:col w:w="11380"/>
          </w:cols>
          <w:pgMar w:left="240" w:top="580" w:right="27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EIGHTH AMENDMENT TO MASTER LEASE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EIGHTH AMENDMENT TO MASTER LEASE (this “</w:t>
      </w:r>
      <w:r>
        <w:rPr>
          <w:rFonts w:ascii="Arial" w:cs="Arial" w:eastAsia="Arial" w:hAnsi="Arial"/>
          <w:sz w:val="17"/>
          <w:szCs w:val="17"/>
          <w:b w:val="1"/>
          <w:bCs w:val="1"/>
          <w:color w:val="auto"/>
        </w:rPr>
        <w:t>Amendment</w:t>
      </w:r>
      <w:r>
        <w:rPr>
          <w:rFonts w:ascii="Arial" w:cs="Arial" w:eastAsia="Arial" w:hAnsi="Arial"/>
          <w:sz w:val="17"/>
          <w:szCs w:val="17"/>
          <w:color w:val="auto"/>
        </w:rPr>
        <w:t>”) is being entered into as of the 20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November, 2018 (the</w:t>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by and between Landlord and Tenant, as more fully set forth herein, and shall amend that certain Master Lease, dated November 1, 2013,</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as amended to the date hereof (collectively, the “</w:t>
      </w:r>
      <w:r>
        <w:rPr>
          <w:rFonts w:ascii="Arial" w:cs="Arial" w:eastAsia="Arial" w:hAnsi="Arial"/>
          <w:sz w:val="17"/>
          <w:szCs w:val="17"/>
          <w:b w:val="1"/>
          <w:bCs w:val="1"/>
          <w:color w:val="auto"/>
        </w:rPr>
        <w:t>Master Lease</w:t>
      </w:r>
      <w:r>
        <w:rPr>
          <w:rFonts w:ascii="Arial" w:cs="Arial" w:eastAsia="Arial" w:hAnsi="Arial"/>
          <w:sz w:val="17"/>
          <w:szCs w:val="17"/>
          <w:color w:val="auto"/>
        </w:rPr>
        <w:t>”), by and among GLP Capital, L.P. (together with its permitted successors and assigns,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Landlord</w:t>
      </w:r>
      <w:r>
        <w:rPr>
          <w:rFonts w:ascii="Arial" w:cs="Arial" w:eastAsia="Arial" w:hAnsi="Arial"/>
          <w:sz w:val="16"/>
          <w:szCs w:val="16"/>
          <w:color w:val="auto"/>
        </w:rPr>
        <w:t>”) and Penn Tenant, LLC (together with its permitted successors and assigns, “</w:t>
      </w:r>
      <w:r>
        <w:rPr>
          <w:rFonts w:ascii="Arial" w:cs="Arial" w:eastAsia="Arial" w:hAnsi="Arial"/>
          <w:sz w:val="16"/>
          <w:szCs w:val="16"/>
          <w:b w:val="1"/>
          <w:bCs w:val="1"/>
          <w:color w:val="auto"/>
        </w:rPr>
        <w:t>Tenant</w:t>
      </w:r>
      <w:r>
        <w:rPr>
          <w:rFonts w:ascii="Arial" w:cs="Arial" w:eastAsia="Arial" w:hAnsi="Arial"/>
          <w:sz w:val="16"/>
          <w:szCs w:val="16"/>
          <w:color w:val="auto"/>
        </w:rPr>
        <w:t>”), pursuant to which Tenant leases certain Leased Property,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further defined in the Master Lease (the “</w:t>
      </w:r>
      <w:r>
        <w:rPr>
          <w:rFonts w:ascii="Arial" w:cs="Arial" w:eastAsia="Arial" w:hAnsi="Arial"/>
          <w:sz w:val="16"/>
          <w:szCs w:val="16"/>
          <w:b w:val="1"/>
          <w:bCs w:val="1"/>
          <w:color w:val="auto"/>
        </w:rPr>
        <w:t>Existing Leased Property</w:t>
      </w:r>
      <w:r>
        <w:rPr>
          <w:rFonts w:ascii="Arial" w:cs="Arial" w:eastAsia="Arial" w:hAnsi="Arial"/>
          <w:sz w:val="16"/>
          <w:szCs w:val="16"/>
          <w:color w:val="auto"/>
        </w:rPr>
        <w:t>”). Landlord and Tenant each desire to remove certain portions of the Existing Leased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Property as identified and defined in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attached hereto and incorporated herein (the “</w:t>
      </w:r>
      <w:r>
        <w:rPr>
          <w:rFonts w:ascii="Arial" w:cs="Arial" w:eastAsia="Arial" w:hAnsi="Arial"/>
          <w:sz w:val="16"/>
          <w:szCs w:val="16"/>
          <w:b w:val="1"/>
          <w:bCs w:val="1"/>
          <w:color w:val="auto"/>
        </w:rPr>
        <w:t>Removed Leased Property</w:t>
      </w:r>
      <w:r>
        <w:rPr>
          <w:rFonts w:ascii="Arial" w:cs="Arial" w:eastAsia="Arial" w:hAnsi="Arial"/>
          <w:sz w:val="16"/>
          <w:szCs w:val="16"/>
          <w:color w:val="auto"/>
        </w:rPr>
        <w:t>”) from the terms, covenants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of the Master Lease. Capitalized terms used herein and not otherwise defined herein shall have the meaning ascribed to them in the Master Lease.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Landlord and Tenant each desire to amend the Master Lease as more fully described herein.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NOW, THEREFORE, in consideration of the provisions set forth in the Master Lease as amended by this Amendment, including, but not limited to, the mutual representations, warranties, covenants and agreements contained therein and herein, and for other good and valuable consideration, the receipt and sufficiency of which are hereby respectively acknowledged, and subject to the terms and conditions thereof and hereof, the parties, intending to be legally bound, hereby agree that the Master Lease shall be amended as follows: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REMOVAL OF REMOVED LEASED PROPERTY</w:t>
      </w:r>
    </w:p>
    <w:p>
      <w:pPr>
        <w:spacing w:after="0" w:line="211"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 xml:space="preserve">1.1 Exhibit B to the Master Lease is hereby amended to remove the description of the Removed Leased Property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attached hereto and incorporated hereby by this reference from the description of the Land.</w:t>
      </w:r>
    </w:p>
    <w:p>
      <w:pPr>
        <w:ind w:left="5080"/>
        <w:spacing w:after="0"/>
        <w:rPr>
          <w:sz w:val="20"/>
          <w:szCs w:val="20"/>
          <w:color w:val="auto"/>
        </w:rPr>
      </w:pPr>
      <w:r>
        <w:rPr>
          <w:rFonts w:ascii="Arial" w:cs="Arial" w:eastAsia="Arial" w:hAnsi="Arial"/>
          <w:sz w:val="18"/>
          <w:szCs w:val="18"/>
          <w:color w:val="auto"/>
        </w:rPr>
        <w:t>Article I</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MEMORANDUM OF LEASE</w:t>
      </w:r>
    </w:p>
    <w:p>
      <w:pPr>
        <w:spacing w:after="0" w:line="2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Landlord and Tenant shall enter into an amendment to any memorandum of lease which may have been recorded in accordance with Article XXXIII of the Master Lease against the Removed Leased Property, in form suitable for recording in the county or other application location in which a Removed Leased Property is located which amendment is pursuant to this Amendment. Landlord shall pay all costs and expenses of recording any such amendment to memorandum.</w:t>
      </w:r>
    </w:p>
    <w:p>
      <w:pPr>
        <w:sectPr>
          <w:pgSz w:w="11900" w:h="16838" w:orient="portrait"/>
          <w:cols w:equalWidth="0" w:num="1">
            <w:col w:w="11420"/>
          </w:cols>
          <w:pgMar w:left="240" w:top="580"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AUTHORITY TO ENTER INTO AMENDMENT</w:t>
      </w:r>
    </w:p>
    <w:p>
      <w:pPr>
        <w:spacing w:after="0" w:line="200" w:lineRule="exact"/>
        <w:rPr>
          <w:sz w:val="20"/>
          <w:szCs w:val="20"/>
          <w:color w:val="auto"/>
        </w:rPr>
      </w:pPr>
    </w:p>
    <w:p>
      <w:pPr>
        <w:spacing w:after="0" w:line="22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Each party represents and warrants to the other that: (i) this Amendment and all other documents executed or to be executed by it in connection herewith have been duly authorized and shall be binding upon it; (ii) it is duly organized, validly existing and in good standing under the laws of the state of its formation and is duly authorized and qualified to perform this Amendment and the Master Lease, as amended hereby, within the State(s) where any portion of the Leased Property is located, and (iii) neither this Amendment, the Master Lease, as amended hereby, nor any other document executed or to be executed in connection herewith violates the terms of any other agreement of such party.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u w:val="single" w:color="auto"/>
          <w:color w:val="auto"/>
        </w:rPr>
        <w:t>Brokers</w:t>
      </w:r>
      <w:r>
        <w:rPr>
          <w:rFonts w:ascii="Arial" w:cs="Arial" w:eastAsia="Arial" w:hAnsi="Arial"/>
          <w:sz w:val="18"/>
          <w:szCs w:val="18"/>
          <w:color w:val="auto"/>
        </w:rPr>
        <w:t>. Tenant warrants that it has not had any contact or dealings with any Person or real estate broker which would give rise to the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of any fee or brokerage commission in connection with this Amendment, and Tenant shall indemnify, protect, hold harmless and defend Landlord from and against any liability with respect to any fee or brokerage commission arising out of any act or omission of Tenant. Landlord warrants that it has not had any contact or dealings with any Person or real estate broker which would give rise to the payment of any fee or brokerage commission in connection with this Amendment, and Landlord shall indemnify, protect, hold harmless and defend Tenant from and against any liability with respect to any fee or brokerage commission arising out of any act or omission of Landlord.</w:t>
      </w:r>
    </w:p>
    <w:p>
      <w:pPr>
        <w:spacing w:after="0" w:line="188" w:lineRule="exact"/>
        <w:rPr>
          <w:sz w:val="20"/>
          <w:szCs w:val="20"/>
          <w:color w:val="auto"/>
        </w:rPr>
      </w:pPr>
    </w:p>
    <w:p>
      <w:pPr>
        <w:jc w:val="both"/>
        <w:ind w:right="580" w:firstLine="648"/>
        <w:spacing w:after="0" w:line="266"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Costs and Expenses; Fees</w:t>
      </w:r>
      <w:r>
        <w:rPr>
          <w:rFonts w:ascii="Arial" w:cs="Arial" w:eastAsia="Arial" w:hAnsi="Arial"/>
          <w:sz w:val="18"/>
          <w:szCs w:val="18"/>
          <w:color w:val="auto"/>
        </w:rPr>
        <w:t>. Each party shall be responsible for and bear all of its own expenses incurred in connection with pursuing or</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consummating this Amendment and the transactions contemplated by this Amendment, including, but not limited to, fees and expenses, legal counsel, accountants, and other facilitators and advisors.</w:t>
      </w:r>
    </w:p>
    <w:p>
      <w:pPr>
        <w:spacing w:after="0" w:line="176" w:lineRule="exact"/>
        <w:rPr>
          <w:sz w:val="20"/>
          <w:szCs w:val="20"/>
          <w:color w:val="auto"/>
        </w:rPr>
      </w:pPr>
    </w:p>
    <w:p>
      <w:pPr>
        <w:ind w:right="560" w:firstLine="648"/>
        <w:spacing w:after="0" w:line="266"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Choice of Law and Forum Selection Clause</w:t>
      </w:r>
      <w:r>
        <w:rPr>
          <w:rFonts w:ascii="Arial" w:cs="Arial" w:eastAsia="Arial" w:hAnsi="Arial"/>
          <w:sz w:val="18"/>
          <w:szCs w:val="18"/>
          <w:color w:val="auto"/>
        </w:rPr>
        <w:t>. This Amendment shall be construed and interpreted, and the rights of the parties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accordance with the substantive Laws of the State of New York without regard to the conflict of law principles thereof or of any other jurisdiction.</w:t>
      </w:r>
    </w:p>
    <w:p>
      <w:pPr>
        <w:spacing w:after="0" w:line="176"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u w:val="single" w:color="auto"/>
          <w:color w:val="auto"/>
        </w:rPr>
        <w:t>Counterparts; Facsimile Signatures</w:t>
      </w:r>
      <w:r>
        <w:rPr>
          <w:rFonts w:ascii="Arial" w:cs="Arial" w:eastAsia="Arial" w:hAnsi="Arial"/>
          <w:sz w:val="18"/>
          <w:szCs w:val="18"/>
          <w:color w:val="auto"/>
        </w:rPr>
        <w:t>. This Amendment may be executed in two or more counterparts, each of which shall be deemed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all of which together shall constitute one and the same instrument. In proving this Amendment, it shall not be necessary to produce or account for more than one such counterpart signed by the party against whom enforcement is sought. Any counterpart may be executed by facsimile signature and such facsimile signature shall be deemed an original.</w:t>
      </w:r>
    </w:p>
    <w:p>
      <w:pPr>
        <w:spacing w:after="0" w:line="18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u w:val="single" w:color="auto"/>
          <w:color w:val="auto"/>
        </w:rPr>
        <w:t>No Further Modification</w:t>
      </w:r>
      <w:r>
        <w:rPr>
          <w:rFonts w:ascii="Arial" w:cs="Arial" w:eastAsia="Arial" w:hAnsi="Arial"/>
          <w:sz w:val="16"/>
          <w:szCs w:val="16"/>
          <w:color w:val="auto"/>
        </w:rPr>
        <w:t>. Except as modified hereby, the Master Lease remains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Follow]</w:t>
      </w:r>
    </w:p>
    <w:p>
      <w:pPr>
        <w:sectPr>
          <w:pgSz w:w="11900" w:h="16838" w:orient="portrait"/>
          <w:cols w:equalWidth="0" w:num="1">
            <w:col w:w="11420"/>
          </w:cols>
          <w:pgMar w:left="240" w:top="580" w:right="239" w:bottom="1440" w:gutter="0" w:footer="0" w:header="0"/>
        </w:sectPr>
      </w:pPr>
    </w:p>
    <w:bookmarkStart w:id="135" w:name="page136"/>
    <w:bookmarkEnd w:id="135"/>
    <w:p>
      <w:pPr>
        <w:spacing w:after="0"/>
        <w:rPr>
          <w:sz w:val="20"/>
          <w:szCs w:val="20"/>
          <w:color w:val="auto"/>
        </w:rPr>
      </w:pPr>
      <w:r>
        <w:rPr>
          <w:rFonts w:ascii="Arial" w:cs="Arial" w:eastAsia="Arial" w:hAnsi="Arial"/>
          <w:sz w:val="16"/>
          <w:szCs w:val="16"/>
          <w:color w:val="auto"/>
        </w:rPr>
        <w:t>IN WITNESS WHEREOF, this Amendment has been duly executed and delivered by each of the undersigned as of the date first above written.</w:t>
      </w:r>
    </w:p>
    <w:p>
      <w:pPr>
        <w:sectPr>
          <w:pgSz w:w="11900" w:h="16838" w:orient="portrait"/>
          <w:cols w:equalWidth="0" w:num="1">
            <w:col w:w="10320"/>
          </w:cols>
          <w:pgMar w:left="900" w:top="584" w:right="679" w:bottom="1440" w:gutter="0" w:footer="0" w:header="0"/>
        </w:sectPr>
      </w:pPr>
    </w:p>
    <w:p>
      <w:pPr>
        <w:spacing w:after="0" w:line="19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LANDLORD:</w:t>
      </w:r>
    </w:p>
    <w:p>
      <w:pPr>
        <w:spacing w:after="0" w:line="33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GLP CAPITAL, L.P.</w:t>
      </w:r>
    </w:p>
    <w:p>
      <w:pPr>
        <w:spacing w:after="0" w:line="33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Brandon J. Moore</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Brandon J. Moore</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Title: Senior Vice President, General Counsel and Secretary</w:t>
      </w:r>
    </w:p>
    <w:p>
      <w:pPr>
        <w:spacing w:after="0" w:line="352"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TENANT:</w:t>
      </w:r>
    </w:p>
    <w:p>
      <w:pPr>
        <w:spacing w:after="0" w:line="33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PENN TENANT, LLC</w:t>
      </w:r>
    </w:p>
    <w:p>
      <w:pPr>
        <w:spacing w:after="0" w:line="33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Carl Sottosanti</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Carl Sottosanti</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Executive Vice President, General Counsel and</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320"/>
          </w:cols>
          <w:pgMar w:left="900" w:top="584" w:right="679" w:bottom="1440" w:gutter="0" w:footer="0" w:header="0"/>
          <w:type w:val="continuous"/>
        </w:sectPr>
      </w:pPr>
    </w:p>
    <w:bookmarkStart w:id="136" w:name="page137"/>
    <w:bookmarkEnd w:id="136"/>
    <w:p>
      <w:pPr>
        <w:ind w:left="5320"/>
        <w:spacing w:after="0"/>
        <w:rPr>
          <w:sz w:val="20"/>
          <w:szCs w:val="20"/>
          <w:color w:val="auto"/>
        </w:rPr>
      </w:pPr>
      <w:r>
        <w:rPr>
          <w:rFonts w:ascii="Arial" w:cs="Arial" w:eastAsia="Arial" w:hAnsi="Arial"/>
          <w:sz w:val="18"/>
          <w:szCs w:val="18"/>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2339"/>
        <w:spacing w:after="0"/>
        <w:rPr>
          <w:sz w:val="20"/>
          <w:szCs w:val="20"/>
          <w:color w:val="auto"/>
        </w:rPr>
      </w:pPr>
      <w:r>
        <w:rPr>
          <w:rFonts w:ascii="Arial" w:cs="Arial" w:eastAsia="Arial" w:hAnsi="Arial"/>
          <w:sz w:val="18"/>
          <w:szCs w:val="18"/>
          <w:color w:val="auto"/>
        </w:rPr>
        <w:t>LEGAL DESCRIPTIONS REMOVED FROM EXHIBIT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From Hollywood Casino St. Louis</w:t>
      </w:r>
      <w:r>
        <w:rPr>
          <w:rFonts w:ascii="Arial" w:cs="Arial" w:eastAsia="Arial" w:hAnsi="Arial"/>
          <w:sz w:val="18"/>
          <w:szCs w:val="18"/>
          <w:color w:val="auto"/>
        </w:rPr>
        <w:t>:</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10219"/>
          </w:cols>
          <w:pgMar w:left="240" w:top="584" w:right="1440" w:bottom="144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8"/>
          <w:szCs w:val="18"/>
          <w:b w:val="1"/>
          <w:bCs w:val="1"/>
          <w:color w:val="auto"/>
        </w:rPr>
        <w:t>PROPERTY DESCRIPTION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tract of land being part of Adjusted Amended Lot 1 and Adjusted Lot 1A of the Subdivision Plat of Amended Lot 1 and Lot 1A of the Subdivision of Consolidated Lot 1 of Riverside Center, according to the plat as recorded in Plat Book 355, Page 371 through 373, Adjusted Lot 2 of Riverside Center Consolidated Plat, according to the plat as recorded in Plat Book 355, Pages 20 through 23 and Lot 4A of the Subdivision of Lot 4 of Riverside Center, according to the plat as recorded in Plat Book 360, Page 29, located In U.S. Survey 2040, Township 46 North, Range 5 East of The Fifth Principal Meridian, City Of Maryland Heights, St. Louis County, Missouri being more particularly described as follows:</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Beginning at the northwest corner of Re-Adjusted Lot 2, said point also being located on the eastern line of Casino Drive, a 100 feet wide private roadway, said point also being located on a curve to the left having a radius of 625.00 feet; thence northwesterly along said curve with an arc length of 16.61 and a chord which bears North 43 degrees 17 minutes 20 seconds West, 16.61 feet; thence departing last said curve, North 44 degrees 11 minutes 25 seconds East, 585.02 feet to a common corner of above said Adjusted Amended Lot 1 and Re-Adjusted Lot 2, said point also being located on a non-tangential curve to the right having a radius of 45.00 feet; thence along the common lines of above said Adjusted Amended Lot 1 and Re-Adjusted Lot 2 the following: along last said curve with an arc length of 6.23 feet and a chord which bears South 27 degrees 20 minutes 50 seconds East, 6.22 feet to a point of tangency and South 23 degrees 23 minutes 00 seconds East, 232.59 feet to the north line of said Re-Adjusted Lot 2; thence along said north line, South 66 degrees 37 minutes 00 seconds West, 535.55 feet to the POINT OF BEGINNING. Containing 68,847 square feet or 1.581 acres, more or less according to calculations performed by Stock &amp; Associates Consulting Engineers, Inc. on September 26, 2018, revised October 10, 2018.</w:t>
      </w:r>
    </w:p>
    <w:p>
      <w:pPr>
        <w:sectPr>
          <w:pgSz w:w="11900" w:h="16838" w:orient="portrait"/>
          <w:cols w:equalWidth="0" w:num="1">
            <w:col w:w="11420"/>
          </w:cols>
          <w:pgMar w:left="240" w:top="742"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GAMING AND LEISURE PROPERTIES,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AWARD TERMS</w:t>
      </w:r>
    </w:p>
    <w:p>
      <w:pPr>
        <w:spacing w:after="0" w:line="196" w:lineRule="exact"/>
        <w:rPr>
          <w:sz w:val="20"/>
          <w:szCs w:val="20"/>
          <w:color w:val="auto"/>
        </w:rPr>
      </w:pPr>
    </w:p>
    <w:p>
      <w:pPr>
        <w:ind w:right="200"/>
        <w:spacing w:after="0" w:line="249" w:lineRule="auto"/>
        <w:rPr>
          <w:sz w:val="20"/>
          <w:szCs w:val="20"/>
          <w:color w:val="auto"/>
        </w:rPr>
      </w:pPr>
      <w:r>
        <w:rPr>
          <w:rFonts w:ascii="Arial" w:cs="Arial" w:eastAsia="Arial" w:hAnsi="Arial"/>
          <w:sz w:val="22"/>
          <w:szCs w:val="22"/>
          <w:b w:val="1"/>
          <w:bCs w:val="1"/>
          <w:color w:val="auto"/>
        </w:rPr>
        <w:t xml:space="preserve">All Restricted Stock is subject to the provisions of the Gaming and Leisure Properties, Inc. 2013 Long Term Incentive Compensation Plan (the “Plan”) and any rules and regulations established by the Compensation and Governance Committee of the Board of Directors of Gaming and Leisure Properties, Inc. A copy of the Plan is available on the Merrill Lynch website under </w:t>
      </w:r>
      <w:r>
        <w:rPr>
          <w:rFonts w:ascii="Arial" w:cs="Arial" w:eastAsia="Arial" w:hAnsi="Arial"/>
          <w:sz w:val="22"/>
          <w:szCs w:val="22"/>
          <w:b w:val="1"/>
          <w:bCs w:val="1"/>
          <w:i w:val="1"/>
          <w:iCs w:val="1"/>
          <w:color w:val="auto"/>
        </w:rPr>
        <w:t>Document Library/Plan Documents</w:t>
      </w:r>
      <w:r>
        <w:rPr>
          <w:rFonts w:ascii="Arial" w:cs="Arial" w:eastAsia="Arial" w:hAnsi="Arial"/>
          <w:sz w:val="22"/>
          <w:szCs w:val="22"/>
          <w:b w:val="1"/>
          <w:bCs w:val="1"/>
          <w:color w:val="auto"/>
        </w:rPr>
        <w:t>. Unless specifically defined herein, words used herein with initial capitalized letters are defined in the Plan.</w:t>
      </w:r>
    </w:p>
    <w:p>
      <w:pPr>
        <w:spacing w:after="0" w:line="187" w:lineRule="exact"/>
        <w:rPr>
          <w:sz w:val="20"/>
          <w:szCs w:val="20"/>
          <w:color w:val="auto"/>
        </w:rPr>
      </w:pPr>
    </w:p>
    <w:p>
      <w:pPr>
        <w:ind w:right="520"/>
        <w:spacing w:after="0" w:line="269" w:lineRule="auto"/>
        <w:rPr>
          <w:sz w:val="20"/>
          <w:szCs w:val="20"/>
          <w:color w:val="auto"/>
        </w:rPr>
      </w:pPr>
      <w:r>
        <w:rPr>
          <w:rFonts w:ascii="Arial" w:cs="Arial" w:eastAsia="Arial" w:hAnsi="Arial"/>
          <w:sz w:val="22"/>
          <w:szCs w:val="22"/>
          <w:b w:val="1"/>
          <w:bCs w:val="1"/>
          <w:color w:val="auto"/>
        </w:rPr>
        <w:t>The terms provided herein are applicable to Restricted Stock Awards. Different terms may apply to any future awards under the Plan.</w:t>
      </w:r>
    </w:p>
    <w:p>
      <w:pPr>
        <w:spacing w:after="0" w:line="162" w:lineRule="exact"/>
        <w:rPr>
          <w:sz w:val="20"/>
          <w:szCs w:val="20"/>
          <w:color w:val="auto"/>
        </w:rPr>
      </w:pPr>
    </w:p>
    <w:p>
      <w:pPr>
        <w:ind w:left="800" w:hanging="792"/>
        <w:spacing w:after="0"/>
        <w:tabs>
          <w:tab w:leader="none" w:pos="80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PAYMENT FOR SHARES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There is no exercise price or other payment required in exchange for a Restricted Stock Award.</w:t>
      </w:r>
    </w:p>
    <w:p>
      <w:pPr>
        <w:spacing w:after="0" w:line="214"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b w:val="1"/>
          <w:bCs w:val="1"/>
          <w:color w:val="auto"/>
        </w:rPr>
        <w:t>II.</w:t>
      </w:r>
      <w:r>
        <w:rPr>
          <w:sz w:val="20"/>
          <w:szCs w:val="20"/>
          <w:color w:val="auto"/>
        </w:rPr>
        <w:tab/>
      </w:r>
      <w:r>
        <w:rPr>
          <w:rFonts w:ascii="Arial" w:cs="Arial" w:eastAsia="Arial" w:hAnsi="Arial"/>
          <w:sz w:val="21"/>
          <w:szCs w:val="21"/>
          <w:b w:val="1"/>
          <w:bCs w:val="1"/>
          <w:color w:val="auto"/>
        </w:rPr>
        <w:t>FORFEITURE RESTRICTIONS/LAPSE OF RESTRICTIONS</w:t>
      </w:r>
    </w:p>
    <w:p>
      <w:pPr>
        <w:spacing w:after="0" w:line="266"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Restricted Stock Awards are subject to forfeiture until lapse of such forfeiture restrictions at the rate of 25% quarterly, measured from the date the award is granted. In the event of an Award holder’s death, disability, retirement or other termination of employment or service as a director, the forfeiture restrictions on a Restricted Stock Award shall lapse or shares of Restricted Stock forfeited as follows:</w:t>
      </w:r>
    </w:p>
    <w:p>
      <w:pPr>
        <w:spacing w:after="0" w:line="188" w:lineRule="exact"/>
        <w:rPr>
          <w:sz w:val="20"/>
          <w:szCs w:val="20"/>
          <w:color w:val="auto"/>
        </w:rPr>
      </w:pPr>
    </w:p>
    <w:p>
      <w:pPr>
        <w:ind w:right="40" w:firstLine="656"/>
        <w:spacing w:after="0" w:line="263" w:lineRule="auto"/>
        <w:tabs>
          <w:tab w:leader="none" w:pos="1507" w:val="left"/>
        </w:tabs>
        <w:numPr>
          <w:ilvl w:val="0"/>
          <w:numId w:val="59"/>
        </w:numPr>
        <w:rPr>
          <w:rFonts w:ascii="Arial" w:cs="Arial" w:eastAsia="Arial" w:hAnsi="Arial"/>
          <w:sz w:val="22"/>
          <w:szCs w:val="22"/>
          <w:b w:val="1"/>
          <w:bCs w:val="1"/>
          <w:color w:val="auto"/>
        </w:rPr>
      </w:pPr>
      <w:r>
        <w:rPr>
          <w:rFonts w:ascii="Arial" w:cs="Arial" w:eastAsia="Arial" w:hAnsi="Arial"/>
          <w:sz w:val="22"/>
          <w:szCs w:val="22"/>
          <w:i w:val="1"/>
          <w:iCs w:val="1"/>
          <w:color w:val="auto"/>
        </w:rPr>
        <w:t>Death and Disability</w:t>
      </w:r>
      <w:r>
        <w:rPr>
          <w:rFonts w:ascii="Arial" w:cs="Arial" w:eastAsia="Arial" w:hAnsi="Arial"/>
          <w:sz w:val="22"/>
          <w:szCs w:val="22"/>
          <w:color w:val="auto"/>
        </w:rPr>
        <w:t>: On the date of death or termination of employment as a result of a Disability (as determined</w:t>
      </w:r>
      <w:r>
        <w:rPr>
          <w:rFonts w:ascii="Arial" w:cs="Arial" w:eastAsia="Arial" w:hAnsi="Arial"/>
          <w:sz w:val="22"/>
          <w:szCs w:val="22"/>
          <w:i w:val="1"/>
          <w:iCs w:val="1"/>
          <w:color w:val="auto"/>
        </w:rPr>
        <w:t xml:space="preserve"> </w:t>
      </w:r>
      <w:r>
        <w:rPr>
          <w:rFonts w:ascii="Arial" w:cs="Arial" w:eastAsia="Arial" w:hAnsi="Arial"/>
          <w:sz w:val="22"/>
          <w:szCs w:val="22"/>
          <w:color w:val="auto"/>
        </w:rPr>
        <w:t>by the Plan) all remaining restrictions will lapse.</w:t>
      </w:r>
    </w:p>
    <w:p>
      <w:pPr>
        <w:spacing w:after="0" w:line="215" w:lineRule="exact"/>
        <w:rPr>
          <w:rFonts w:ascii="Arial" w:cs="Arial" w:eastAsia="Arial" w:hAnsi="Arial"/>
          <w:sz w:val="22"/>
          <w:szCs w:val="22"/>
          <w:b w:val="1"/>
          <w:bCs w:val="1"/>
          <w:color w:val="auto"/>
        </w:rPr>
      </w:pPr>
    </w:p>
    <w:p>
      <w:pPr>
        <w:ind w:left="1500" w:hanging="844"/>
        <w:spacing w:after="0"/>
        <w:tabs>
          <w:tab w:leader="none" w:pos="1500" w:val="left"/>
        </w:tabs>
        <w:numPr>
          <w:ilvl w:val="0"/>
          <w:numId w:val="59"/>
        </w:numPr>
        <w:rPr>
          <w:rFonts w:ascii="Arial" w:cs="Arial" w:eastAsia="Arial" w:hAnsi="Arial"/>
          <w:sz w:val="22"/>
          <w:szCs w:val="22"/>
          <w:b w:val="1"/>
          <w:bCs w:val="1"/>
          <w:color w:val="auto"/>
        </w:rPr>
      </w:pPr>
      <w:r>
        <w:rPr>
          <w:rFonts w:ascii="Arial" w:cs="Arial" w:eastAsia="Arial" w:hAnsi="Arial"/>
          <w:sz w:val="22"/>
          <w:szCs w:val="22"/>
          <w:i w:val="1"/>
          <w:iCs w:val="1"/>
          <w:color w:val="auto"/>
        </w:rPr>
        <w:t xml:space="preserve">Change of Control </w:t>
      </w:r>
      <w:r>
        <w:rPr>
          <w:rFonts w:ascii="Arial" w:cs="Arial" w:eastAsia="Arial" w:hAnsi="Arial"/>
          <w:sz w:val="22"/>
          <w:szCs w:val="22"/>
          <w:color w:val="auto"/>
        </w:rPr>
        <w:t>(as defined by the Plan): All remaining restrictions will lapse.</w:t>
      </w:r>
    </w:p>
    <w:p>
      <w:pPr>
        <w:spacing w:after="0" w:line="260" w:lineRule="exact"/>
        <w:rPr>
          <w:rFonts w:ascii="Arial" w:cs="Arial" w:eastAsia="Arial" w:hAnsi="Arial"/>
          <w:sz w:val="22"/>
          <w:szCs w:val="22"/>
          <w:b w:val="1"/>
          <w:bCs w:val="1"/>
          <w:color w:val="auto"/>
        </w:rPr>
      </w:pPr>
    </w:p>
    <w:p>
      <w:pPr>
        <w:ind w:right="40" w:firstLine="656"/>
        <w:spacing w:after="0" w:line="263" w:lineRule="auto"/>
        <w:tabs>
          <w:tab w:leader="none" w:pos="1507" w:val="left"/>
        </w:tabs>
        <w:numPr>
          <w:ilvl w:val="0"/>
          <w:numId w:val="59"/>
        </w:numPr>
        <w:rPr>
          <w:rFonts w:ascii="Arial" w:cs="Arial" w:eastAsia="Arial" w:hAnsi="Arial"/>
          <w:sz w:val="22"/>
          <w:szCs w:val="22"/>
          <w:b w:val="1"/>
          <w:bCs w:val="1"/>
          <w:color w:val="auto"/>
        </w:rPr>
      </w:pPr>
      <w:r>
        <w:rPr>
          <w:rFonts w:ascii="Arial" w:cs="Arial" w:eastAsia="Arial" w:hAnsi="Arial"/>
          <w:sz w:val="22"/>
          <w:szCs w:val="22"/>
          <w:i w:val="1"/>
          <w:iCs w:val="1"/>
          <w:color w:val="auto"/>
        </w:rPr>
        <w:t>All Other Termination Events</w:t>
      </w:r>
      <w:r>
        <w:rPr>
          <w:rFonts w:ascii="Arial" w:cs="Arial" w:eastAsia="Arial" w:hAnsi="Arial"/>
          <w:sz w:val="22"/>
          <w:szCs w:val="22"/>
          <w:color w:val="auto"/>
        </w:rPr>
        <w:t>: All shares subject to forfeiture restrictions on the date of termination (as defined by</w:t>
      </w:r>
      <w:r>
        <w:rPr>
          <w:rFonts w:ascii="Arial" w:cs="Arial" w:eastAsia="Arial" w:hAnsi="Arial"/>
          <w:sz w:val="22"/>
          <w:szCs w:val="22"/>
          <w:i w:val="1"/>
          <w:iCs w:val="1"/>
          <w:color w:val="auto"/>
        </w:rPr>
        <w:t xml:space="preserve"> </w:t>
      </w:r>
      <w:r>
        <w:rPr>
          <w:rFonts w:ascii="Arial" w:cs="Arial" w:eastAsia="Arial" w:hAnsi="Arial"/>
          <w:sz w:val="22"/>
          <w:szCs w:val="22"/>
          <w:color w:val="auto"/>
        </w:rPr>
        <w:t>the Plan) shall be forfeited.</w:t>
      </w:r>
    </w:p>
    <w:p>
      <w:pPr>
        <w:spacing w:after="0" w:line="200" w:lineRule="exact"/>
        <w:rPr>
          <w:sz w:val="20"/>
          <w:szCs w:val="20"/>
          <w:color w:val="auto"/>
        </w:rPr>
      </w:pPr>
    </w:p>
    <w:p>
      <w:pPr>
        <w:spacing w:after="0" w:line="231" w:lineRule="exact"/>
        <w:rPr>
          <w:sz w:val="20"/>
          <w:szCs w:val="20"/>
          <w:color w:val="auto"/>
        </w:rPr>
      </w:pPr>
    </w:p>
    <w:p>
      <w:pPr>
        <w:ind w:right="40"/>
        <w:spacing w:after="0" w:line="302" w:lineRule="auto"/>
        <w:rPr>
          <w:sz w:val="20"/>
          <w:szCs w:val="20"/>
          <w:color w:val="auto"/>
        </w:rPr>
      </w:pPr>
      <w:r>
        <w:rPr>
          <w:rFonts w:ascii="Arial" w:cs="Arial" w:eastAsia="Arial" w:hAnsi="Arial"/>
          <w:sz w:val="19"/>
          <w:szCs w:val="19"/>
          <w:color w:val="auto"/>
        </w:rPr>
        <w:t>The “lapse” of such forfeiture restrictions means that the Common Stock subject to the Award shall, thereafter, be fully transferable by the Award holder, subject to compliance with Section VI of these Award terms. Until the lapse of such forfeiture restrictions an Award holder may not sell, transfer, pledge or otherwise dispose of the shares of Common Stock subject to a Restricted Stock Award. There are no additional events or occurrences that shall lead to lapse of any forfeiture restrictions on this Award.</w:t>
      </w:r>
    </w:p>
    <w:p>
      <w:pPr>
        <w:spacing w:after="0" w:line="137" w:lineRule="exact"/>
        <w:rPr>
          <w:sz w:val="20"/>
          <w:szCs w:val="20"/>
          <w:color w:val="auto"/>
        </w:rPr>
      </w:pPr>
    </w:p>
    <w:p>
      <w:pPr>
        <w:ind w:left="540" w:hanging="532"/>
        <w:spacing w:after="0"/>
        <w:tabs>
          <w:tab w:leader="none" w:pos="54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LEAVES OF ABSENCE</w:t>
      </w:r>
    </w:p>
    <w:p>
      <w:pPr>
        <w:spacing w:after="0" w:line="266" w:lineRule="exact"/>
        <w:rPr>
          <w:sz w:val="20"/>
          <w:szCs w:val="20"/>
          <w:color w:val="auto"/>
        </w:rPr>
      </w:pPr>
    </w:p>
    <w:p>
      <w:pPr>
        <w:ind w:right="480"/>
        <w:spacing w:after="0" w:line="263" w:lineRule="auto"/>
        <w:rPr>
          <w:sz w:val="20"/>
          <w:szCs w:val="20"/>
          <w:color w:val="auto"/>
        </w:rPr>
      </w:pPr>
      <w:r>
        <w:rPr>
          <w:rFonts w:ascii="Arial" w:cs="Arial" w:eastAsia="Arial" w:hAnsi="Arial"/>
          <w:sz w:val="22"/>
          <w:szCs w:val="22"/>
          <w:color w:val="auto"/>
        </w:rPr>
        <w:t>For purposes of a Restricted Stock Award, service as an employee or director, as applicable, does not terminate with a leave of absence. Please refer to Section 12.12 of the Plan for the impact of a leave of absence.</w:t>
      </w:r>
    </w:p>
    <w:p>
      <w:pPr>
        <w:sectPr>
          <w:pgSz w:w="11900" w:h="16838" w:orient="portrait"/>
          <w:cols w:equalWidth="0" w:num="1">
            <w:col w:w="11420"/>
          </w:cols>
          <w:pgMar w:left="240" w:top="580" w:right="239" w:bottom="1440" w:gutter="0" w:footer="0" w:header="0"/>
        </w:sectPr>
      </w:pPr>
    </w:p>
    <w:bookmarkStart w:id="139" w:name="page140"/>
    <w:bookmarkEnd w:id="139"/>
    <w:p>
      <w:pPr>
        <w:spacing w:after="0"/>
        <w:tabs>
          <w:tab w:leader="none" w:pos="480" w:val="left"/>
        </w:tabs>
        <w:rPr>
          <w:sz w:val="20"/>
          <w:szCs w:val="20"/>
          <w:color w:val="auto"/>
        </w:rPr>
      </w:pPr>
      <w:r>
        <w:rPr>
          <w:rFonts w:ascii="Arial" w:cs="Arial" w:eastAsia="Arial" w:hAnsi="Arial"/>
          <w:sz w:val="22"/>
          <w:szCs w:val="22"/>
          <w:b w:val="1"/>
          <w:bCs w:val="1"/>
          <w:color w:val="auto"/>
        </w:rPr>
        <w:t>IV.</w:t>
      </w:r>
      <w:r>
        <w:rPr>
          <w:sz w:val="20"/>
          <w:szCs w:val="20"/>
          <w:color w:val="auto"/>
        </w:rPr>
        <w:tab/>
      </w:r>
      <w:r>
        <w:rPr>
          <w:rFonts w:ascii="Arial" w:cs="Arial" w:eastAsia="Arial" w:hAnsi="Arial"/>
          <w:sz w:val="21"/>
          <w:szCs w:val="21"/>
          <w:b w:val="1"/>
          <w:bCs w:val="1"/>
          <w:color w:val="auto"/>
        </w:rPr>
        <w:t>STOCK CERTIFICATES</w:t>
      </w:r>
    </w:p>
    <w:p>
      <w:pPr>
        <w:spacing w:after="0" w:line="266" w:lineRule="exact"/>
        <w:rPr>
          <w:sz w:val="20"/>
          <w:szCs w:val="20"/>
          <w:color w:val="auto"/>
        </w:rPr>
      </w:pPr>
    </w:p>
    <w:p>
      <w:pPr>
        <w:ind w:right="220"/>
        <w:spacing w:after="0" w:line="253" w:lineRule="auto"/>
        <w:rPr>
          <w:sz w:val="20"/>
          <w:szCs w:val="20"/>
          <w:color w:val="auto"/>
        </w:rPr>
      </w:pPr>
      <w:r>
        <w:rPr>
          <w:rFonts w:ascii="Arial" w:cs="Arial" w:eastAsia="Arial" w:hAnsi="Arial"/>
          <w:sz w:val="22"/>
          <w:szCs w:val="22"/>
          <w:color w:val="auto"/>
        </w:rPr>
        <w:t>During the restricted period the shares underlying a Restricted Stock Award will be held for the holder by the Company. After the lapse of any applicable forfeiture restrictions, the shares of Common Stock will be released to the Award holder in the form of uncertificated shares.</w:t>
      </w:r>
    </w:p>
    <w:p>
      <w:pPr>
        <w:spacing w:after="0" w:line="180" w:lineRule="exact"/>
        <w:rPr>
          <w:sz w:val="20"/>
          <w:szCs w:val="20"/>
          <w:color w:val="auto"/>
        </w:rPr>
      </w:pPr>
    </w:p>
    <w:p>
      <w:pPr>
        <w:spacing w:after="0"/>
        <w:tabs>
          <w:tab w:leader="none" w:pos="380" w:val="left"/>
        </w:tabs>
        <w:rPr>
          <w:sz w:val="20"/>
          <w:szCs w:val="20"/>
          <w:color w:val="auto"/>
        </w:rPr>
      </w:pPr>
      <w:r>
        <w:rPr>
          <w:rFonts w:ascii="Arial" w:cs="Arial" w:eastAsia="Arial" w:hAnsi="Arial"/>
          <w:sz w:val="22"/>
          <w:szCs w:val="22"/>
          <w:b w:val="1"/>
          <w:bCs w:val="1"/>
          <w:color w:val="auto"/>
        </w:rPr>
        <w:t>V.</w:t>
        <w:tab/>
        <w:t>VOTING AND DIVIDEND RIGHTS</w:t>
      </w:r>
    </w:p>
    <w:p>
      <w:pPr>
        <w:spacing w:after="0" w:line="266" w:lineRule="exact"/>
        <w:rPr>
          <w:sz w:val="20"/>
          <w:szCs w:val="20"/>
          <w:color w:val="auto"/>
        </w:rPr>
      </w:pPr>
    </w:p>
    <w:p>
      <w:pPr>
        <w:ind w:right="140"/>
        <w:spacing w:after="0" w:line="312" w:lineRule="auto"/>
        <w:rPr>
          <w:sz w:val="20"/>
          <w:szCs w:val="20"/>
          <w:color w:val="auto"/>
        </w:rPr>
      </w:pPr>
      <w:r>
        <w:rPr>
          <w:rFonts w:ascii="Arial" w:cs="Arial" w:eastAsia="Arial" w:hAnsi="Arial"/>
          <w:sz w:val="19"/>
          <w:szCs w:val="19"/>
          <w:color w:val="auto"/>
        </w:rPr>
        <w:t>An Award holder may vote the shares Common Stock underlying a Restricted Stock Award and will receive any dividends paid with respect to such shares even before the lapse of forfeiture restrictions. Dividends with respect to a Restricted Stock Award will be paid on the same date or dates that dividends are payable on the Common Stock to Company shareholders generally.</w:t>
      </w:r>
    </w:p>
    <w:p>
      <w:pPr>
        <w:spacing w:after="0" w:line="128"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VI.</w:t>
        <w:tab/>
        <w:t>WITHHOLDING TAXES</w:t>
      </w:r>
    </w:p>
    <w:p>
      <w:pPr>
        <w:spacing w:after="0" w:line="266" w:lineRule="exact"/>
        <w:rPr>
          <w:sz w:val="20"/>
          <w:szCs w:val="20"/>
          <w:color w:val="auto"/>
        </w:rPr>
      </w:pPr>
    </w:p>
    <w:p>
      <w:pPr>
        <w:ind w:right="100"/>
        <w:spacing w:after="0" w:line="290" w:lineRule="auto"/>
        <w:rPr>
          <w:sz w:val="20"/>
          <w:szCs w:val="20"/>
          <w:color w:val="auto"/>
        </w:rPr>
      </w:pPr>
      <w:r>
        <w:rPr>
          <w:rFonts w:ascii="Arial" w:cs="Arial" w:eastAsia="Arial" w:hAnsi="Arial"/>
          <w:sz w:val="19"/>
          <w:szCs w:val="19"/>
          <w:color w:val="auto"/>
        </w:rPr>
        <w:t>No evidence of shares of Common Stock will be released or issued to an Award holder unless such holder has made arrangements, acceptable to the Company, to pay any withholding taxes that may be due as a result of the lapse of the forfeiture restrictions. In accordance with the Plan, an Award holder is authorized to make payment of any such withholding tax in cash, by payroll deduction, by authorizing the Company to withhold shares of Common Stock from this Award or by surrendering to the Company shares of Common Stock already owned by such holder. In the event an Award holder elects to authorize the Company to withhold shares of Common Stock from this Award, such holder can only authorize the retention of shares of Common Stock equal to the minimum tax withholding obligation. The fair market value of the shares of Common Stock retained by the Company or surrendered by an Award holder shall be determined in accordance with the Plan as of the date the tax obligation arises.</w:t>
      </w:r>
    </w:p>
    <w:p>
      <w:pPr>
        <w:spacing w:after="0" w:line="15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VII.</w:t>
        <w:tab/>
        <w:t>NO RIGHT TO CONTINUED SERVICE</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 Restricted Stock Award does not give the holder the right to continue in service with the Company in any capacity. The Company reserves the right to terminate a holder’s services at any time, with or without cause, subject to any employment agreement or other contract.</w:t>
      </w:r>
    </w:p>
    <w:p>
      <w:pPr>
        <w:spacing w:after="0" w:line="180"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VIII.</w:t>
      </w:r>
      <w:r>
        <w:rPr>
          <w:sz w:val="20"/>
          <w:szCs w:val="20"/>
          <w:color w:val="auto"/>
        </w:rPr>
        <w:tab/>
      </w:r>
      <w:r>
        <w:rPr>
          <w:rFonts w:ascii="Arial" w:cs="Arial" w:eastAsia="Arial" w:hAnsi="Arial"/>
          <w:sz w:val="21"/>
          <w:szCs w:val="21"/>
          <w:b w:val="1"/>
          <w:bCs w:val="1"/>
          <w:color w:val="auto"/>
        </w:rPr>
        <w:t>ADJUSTMENTS</w:t>
      </w:r>
    </w:p>
    <w:p>
      <w:pPr>
        <w:spacing w:after="0" w:line="266" w:lineRule="exact"/>
        <w:rPr>
          <w:sz w:val="20"/>
          <w:szCs w:val="20"/>
          <w:color w:val="auto"/>
        </w:rPr>
      </w:pPr>
    </w:p>
    <w:p>
      <w:pPr>
        <w:ind w:right="280"/>
        <w:spacing w:after="0" w:line="263" w:lineRule="auto"/>
        <w:rPr>
          <w:sz w:val="20"/>
          <w:szCs w:val="20"/>
          <w:color w:val="auto"/>
        </w:rPr>
      </w:pPr>
      <w:r>
        <w:rPr>
          <w:rFonts w:ascii="Arial" w:cs="Arial" w:eastAsia="Arial" w:hAnsi="Arial"/>
          <w:sz w:val="22"/>
          <w:szCs w:val="22"/>
          <w:color w:val="auto"/>
        </w:rPr>
        <w:t>In the event of a stock split, a stock dividend or a similar change in the Common Stock, the number of shares of Restricted Stock subject to a Restricted Stock Award that remain subject to forfeiture will be adjusted accordingly.</w:t>
      </w:r>
    </w:p>
    <w:p>
      <w:pPr>
        <w:sectPr>
          <w:pgSz w:w="11900" w:h="16838" w:orient="portrait"/>
          <w:cols w:equalWidth="0" w:num="1">
            <w:col w:w="11420"/>
          </w:cols>
          <w:pgMar w:left="240" w:top="585"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Subsidiaries of Gaming and Leisure Properties, Inc. (a Pennsylvania corporation)</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ind w:left="380"/>
              <w:spacing w:after="0"/>
              <w:rPr>
                <w:sz w:val="20"/>
                <w:szCs w:val="20"/>
                <w:color w:val="auto"/>
              </w:rPr>
            </w:pPr>
            <w:r>
              <w:rPr>
                <w:rFonts w:ascii="Arial" w:cs="Arial" w:eastAsia="Arial" w:hAnsi="Arial"/>
                <w:sz w:val="14"/>
                <w:szCs w:val="14"/>
                <w:b w:val="1"/>
                <w:bCs w:val="1"/>
                <w:color w:val="auto"/>
              </w:rPr>
              <w:t>State or Other</w:t>
            </w:r>
          </w:p>
        </w:tc>
        <w:tc>
          <w:tcPr>
            <w:tcW w:w="0" w:type="dxa"/>
            <w:vAlign w:val="bottom"/>
          </w:tcPr>
          <w:p>
            <w:pPr>
              <w:spacing w:after="0"/>
              <w:rPr>
                <w:sz w:val="1"/>
                <w:szCs w:val="1"/>
                <w:color w:val="auto"/>
              </w:rPr>
            </w:pPr>
          </w:p>
        </w:tc>
      </w:tr>
      <w:tr>
        <w:trPr>
          <w:trHeight w:val="149"/>
        </w:trPr>
        <w:tc>
          <w:tcPr>
            <w:tcW w:w="8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Subsidiary</w:t>
            </w:r>
          </w:p>
        </w:tc>
        <w:tc>
          <w:tcPr>
            <w:tcW w:w="100" w:type="dxa"/>
            <w:vAlign w:val="bottom"/>
            <w:vMerge w:val="restart"/>
          </w:tcPr>
          <w:p>
            <w:pPr>
              <w:spacing w:after="0"/>
              <w:rPr>
                <w:sz w:val="12"/>
                <w:szCs w:val="12"/>
                <w:color w:val="auto"/>
              </w:rPr>
            </w:pPr>
          </w:p>
        </w:tc>
        <w:tc>
          <w:tcPr>
            <w:tcW w:w="166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Jurisdiction of</w:t>
            </w:r>
          </w:p>
        </w:tc>
        <w:tc>
          <w:tcPr>
            <w:tcW w:w="0" w:type="dxa"/>
            <w:vAlign w:val="bottom"/>
          </w:tcPr>
          <w:p>
            <w:pPr>
              <w:spacing w:after="0"/>
              <w:rPr>
                <w:sz w:val="1"/>
                <w:szCs w:val="1"/>
                <w:color w:val="auto"/>
              </w:rPr>
            </w:pPr>
          </w:p>
        </w:tc>
      </w:tr>
      <w:tr>
        <w:trPr>
          <w:trHeight w:val="192"/>
        </w:trPr>
        <w:tc>
          <w:tcPr>
            <w:tcW w:w="8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Incorporation</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CCR PA Racing, LLC</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GLP Capital Partners, LLC</w:t>
            </w:r>
          </w:p>
        </w:tc>
        <w:tc>
          <w:tcPr>
            <w:tcW w:w="1660" w:type="dxa"/>
            <w:vAlign w:val="bottom"/>
          </w:tcPr>
          <w:p>
            <w:pPr>
              <w:ind w:left="2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GLP Capital, L.P.</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GLP Holdings, Inc.</w:t>
            </w:r>
          </w:p>
        </w:tc>
        <w:tc>
          <w:tcPr>
            <w:tcW w:w="1660" w:type="dxa"/>
            <w:vAlign w:val="bottom"/>
          </w:tcPr>
          <w:p>
            <w:pPr>
              <w:ind w:left="2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GLP Financing I, LLC</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GLP Financing II, Inc.</w:t>
            </w:r>
          </w:p>
        </w:tc>
        <w:tc>
          <w:tcPr>
            <w:tcW w:w="16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GLP Midwest Properties I, LLC</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Gold Merger Sub, LLC</w:t>
            </w:r>
          </w:p>
        </w:tc>
        <w:tc>
          <w:tcPr>
            <w:tcW w:w="16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Louisiana Casino Cruises, Inc. (d/b/a Hollywood Casino Baton Rouge)</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Louisiana</w:t>
            </w:r>
          </w:p>
        </w:tc>
        <w:tc>
          <w:tcPr>
            <w:tcW w:w="0" w:type="dxa"/>
            <w:vAlign w:val="bottom"/>
          </w:tcPr>
          <w:p>
            <w:pPr>
              <w:spacing w:after="0"/>
              <w:rPr>
                <w:sz w:val="1"/>
                <w:szCs w:val="1"/>
                <w:color w:val="auto"/>
              </w:rPr>
            </w:pP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PA Meadows, LLC</w:t>
            </w:r>
          </w:p>
        </w:tc>
        <w:tc>
          <w:tcPr>
            <w:tcW w:w="16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Penn Cecil Maryland, Inc. (d/b/a Hollywood Casino Perryville)</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SE Inlet Properties, LLC</w:t>
            </w:r>
          </w:p>
        </w:tc>
        <w:tc>
          <w:tcPr>
            <w:tcW w:w="16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WTA II, LLC</w:t>
            </w: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600"/>
          </w:cols>
          <w:pgMar w:left="1060" w:top="580"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23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consent to the incorporation by reference in the following Registration Statements of our reports dated February 13, 2019, relating to the consolidated financial statements and financial statement schedules of Gaming and Leisure Properties, Inc. and Subsidiaries, and the effectiveness of Gaming and Leisure Properties, Inc. and Subsidiaries’ internal control over financial reporting, appearing in this Annual Report on Form 10-K of Gaming and Leisure Properties, Inc. and Subsidiaries for the year ended December 31, 2018:</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Registration Statement No. 333-210423 on Form S-3</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Amendment No. 4 to Registration Statement No. 333-206649 on Form S-4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Amendment No. 1 to Registration Statement No. 333-196662 on Form S-4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Registration Statement No. 333-192017 on Form S-8</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2019</w:t>
      </w:r>
    </w:p>
    <w:p>
      <w:pPr>
        <w:sectPr>
          <w:pgSz w:w="11900" w:h="16838" w:orient="portrait"/>
          <w:cols w:equalWidth="0" w:num="1">
            <w:col w:w="11420"/>
          </w:cols>
          <w:pgMar w:left="240" w:top="580"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M. Carlino, certify that:</w:t>
      </w:r>
    </w:p>
    <w:p>
      <w:pPr>
        <w:spacing w:after="0" w:line="225" w:lineRule="exact"/>
        <w:rPr>
          <w:sz w:val="20"/>
          <w:szCs w:val="20"/>
          <w:color w:val="auto"/>
        </w:rPr>
      </w:pPr>
    </w:p>
    <w:p>
      <w:pPr>
        <w:ind w:left="680" w:hanging="672"/>
        <w:spacing w:after="0"/>
        <w:tabs>
          <w:tab w:leader="none" w:pos="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Gaming and Leisure Properties, Inc.;</w:t>
      </w:r>
    </w:p>
    <w:p>
      <w:pPr>
        <w:spacing w:after="0" w:line="265" w:lineRule="exact"/>
        <w:rPr>
          <w:rFonts w:ascii="Arial" w:cs="Arial" w:eastAsia="Arial" w:hAnsi="Arial"/>
          <w:sz w:val="18"/>
          <w:szCs w:val="18"/>
          <w:color w:val="auto"/>
        </w:rPr>
      </w:pPr>
    </w:p>
    <w:p>
      <w:pPr>
        <w:ind w:right="260" w:firstLine="8"/>
        <w:spacing w:after="0" w:line="395" w:lineRule="auto"/>
        <w:tabs>
          <w:tab w:leader="none" w:pos="6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20" w:firstLine="8"/>
        <w:spacing w:after="0" w:line="324" w:lineRule="auto"/>
        <w:tabs>
          <w:tab w:leader="none" w:pos="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680" w:hanging="672"/>
        <w:spacing w:after="0"/>
        <w:tabs>
          <w:tab w:leader="none" w:pos="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40" w:hanging="684"/>
        <w:spacing w:after="0"/>
        <w:tabs>
          <w:tab w:leader="none" w:pos="1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right="20" w:firstLine="656"/>
        <w:spacing w:after="0" w:line="264" w:lineRule="auto"/>
        <w:tabs>
          <w:tab w:leader="none" w:pos="1038"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0" w:firstLine="656"/>
        <w:spacing w:after="0" w:line="357" w:lineRule="auto"/>
        <w:tabs>
          <w:tab w:leader="none" w:pos="1312" w:val="left"/>
        </w:tabs>
        <w:numPr>
          <w:ilvl w:val="0"/>
          <w:numId w:val="6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1320" w:hanging="664"/>
        <w:spacing w:after="0"/>
        <w:tabs>
          <w:tab w:leader="none" w:pos="13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40" w:firstLine="8"/>
        <w:spacing w:after="0" w:line="357" w:lineRule="auto"/>
        <w:tabs>
          <w:tab w:leader="none" w:pos="6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656"/>
        <w:spacing w:after="0" w:line="357" w:lineRule="auto"/>
        <w:tabs>
          <w:tab w:leader="none" w:pos="1325" w:val="left"/>
        </w:tabs>
        <w:numPr>
          <w:ilvl w:val="1"/>
          <w:numId w:val="6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right="280" w:firstLine="656"/>
        <w:spacing w:after="0" w:line="324" w:lineRule="auto"/>
        <w:tabs>
          <w:tab w:leader="none" w:pos="1335"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6080" w:type="dxa"/>
            <w:vAlign w:val="bottom"/>
          </w:tcPr>
          <w:p>
            <w:pPr>
              <w:ind w:left="140"/>
              <w:spacing w:after="0"/>
              <w:rPr>
                <w:sz w:val="20"/>
                <w:szCs w:val="20"/>
                <w:color w:val="auto"/>
              </w:rPr>
            </w:pPr>
            <w:r>
              <w:rPr>
                <w:rFonts w:ascii="Arial" w:cs="Arial" w:eastAsia="Arial" w:hAnsi="Arial"/>
                <w:sz w:val="18"/>
                <w:szCs w:val="18"/>
                <w:color w:val="auto"/>
              </w:rPr>
              <w:t>February 13, 2019</w:t>
            </w:r>
          </w:p>
        </w:tc>
        <w:tc>
          <w:tcPr>
            <w:tcW w:w="1740" w:type="dxa"/>
            <w:vAlign w:val="bottom"/>
            <w:gridSpan w:val="2"/>
          </w:tcPr>
          <w:p>
            <w:pPr>
              <w:spacing w:after="0"/>
              <w:rPr>
                <w:sz w:val="20"/>
                <w:szCs w:val="20"/>
                <w:color w:val="auto"/>
              </w:rPr>
            </w:pPr>
            <w:r>
              <w:rPr>
                <w:rFonts w:ascii="Arial" w:cs="Arial" w:eastAsia="Arial" w:hAnsi="Arial"/>
                <w:sz w:val="18"/>
                <w:szCs w:val="18"/>
                <w:color w:val="auto"/>
              </w:rPr>
              <w:t>/s/ Peter M. Carlino</w:t>
            </w:r>
          </w:p>
        </w:tc>
      </w:tr>
      <w:tr>
        <w:trPr>
          <w:trHeight w:val="20"/>
        </w:trPr>
        <w:tc>
          <w:tcPr>
            <w:tcW w:w="5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1"/>
        </w:trPr>
        <w:tc>
          <w:tcPr>
            <w:tcW w:w="5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w w:val="91"/>
              </w:rPr>
              <w:t>Name: Peter M. Carlino</w:t>
            </w:r>
          </w:p>
        </w:tc>
      </w:tr>
      <w:tr>
        <w:trPr>
          <w:trHeight w:val="270"/>
        </w:trPr>
        <w:tc>
          <w:tcPr>
            <w:tcW w:w="540" w:type="dxa"/>
            <w:vAlign w:val="bottom"/>
          </w:tcPr>
          <w:p>
            <w:pPr>
              <w:spacing w:after="0"/>
              <w:rPr>
                <w:sz w:val="23"/>
                <w:szCs w:val="23"/>
                <w:color w:val="auto"/>
              </w:rPr>
            </w:pPr>
          </w:p>
        </w:tc>
        <w:tc>
          <w:tcPr>
            <w:tcW w:w="6080" w:type="dxa"/>
            <w:vAlign w:val="bottom"/>
          </w:tcPr>
          <w:p>
            <w:pPr>
              <w:spacing w:after="0"/>
              <w:rPr>
                <w:sz w:val="23"/>
                <w:szCs w:val="23"/>
                <w:color w:val="auto"/>
              </w:rPr>
            </w:pPr>
          </w:p>
        </w:tc>
        <w:tc>
          <w:tcPr>
            <w:tcW w:w="1740" w:type="dxa"/>
            <w:vAlign w:val="bottom"/>
            <w:gridSpan w:val="2"/>
          </w:tcPr>
          <w:p>
            <w:pPr>
              <w:spacing w:after="0"/>
              <w:rPr>
                <w:sz w:val="20"/>
                <w:szCs w:val="20"/>
                <w:color w:val="auto"/>
              </w:rPr>
            </w:pPr>
            <w:r>
              <w:rPr>
                <w:rFonts w:ascii="Arial" w:cs="Arial" w:eastAsia="Arial" w:hAnsi="Arial"/>
                <w:sz w:val="18"/>
                <w:szCs w:val="18"/>
                <w:i w:val="1"/>
                <w:iCs w:val="1"/>
                <w:color w:val="auto"/>
                <w:w w:val="93"/>
              </w:rPr>
              <w:t>Chief Executive Officer</w:t>
            </w:r>
          </w:p>
        </w:tc>
      </w:tr>
    </w:tbl>
    <w:p>
      <w:pPr>
        <w:sectPr>
          <w:pgSz w:w="11900" w:h="16838" w:orient="portrait"/>
          <w:cols w:equalWidth="0" w:num="1">
            <w:col w:w="11420"/>
          </w:cols>
          <w:pgMar w:left="240" w:top="580"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T. Snyder, certify that:</w:t>
      </w:r>
    </w:p>
    <w:p>
      <w:pPr>
        <w:spacing w:after="0" w:line="225" w:lineRule="exact"/>
        <w:rPr>
          <w:sz w:val="20"/>
          <w:szCs w:val="20"/>
          <w:color w:val="auto"/>
        </w:rPr>
      </w:pPr>
    </w:p>
    <w:p>
      <w:pPr>
        <w:ind w:left="680" w:hanging="672"/>
        <w:spacing w:after="0"/>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Gaming and Leisure Properties, Inc.;</w:t>
      </w:r>
    </w:p>
    <w:p>
      <w:pPr>
        <w:spacing w:after="0" w:line="265" w:lineRule="exact"/>
        <w:rPr>
          <w:rFonts w:ascii="Arial" w:cs="Arial" w:eastAsia="Arial" w:hAnsi="Arial"/>
          <w:sz w:val="18"/>
          <w:szCs w:val="18"/>
          <w:color w:val="auto"/>
        </w:rPr>
      </w:pPr>
    </w:p>
    <w:p>
      <w:pPr>
        <w:ind w:right="260" w:firstLine="8"/>
        <w:spacing w:after="0" w:line="395" w:lineRule="auto"/>
        <w:tabs>
          <w:tab w:leader="none" w:pos="6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20" w:firstLine="8"/>
        <w:spacing w:after="0" w:line="324" w:lineRule="auto"/>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680" w:hanging="672"/>
        <w:spacing w:after="0"/>
        <w:tabs>
          <w:tab w:leader="none" w:pos="6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40" w:hanging="684"/>
        <w:spacing w:after="0"/>
        <w:tabs>
          <w:tab w:leader="none" w:pos="1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right="20" w:firstLine="656"/>
        <w:spacing w:after="0" w:line="264" w:lineRule="auto"/>
        <w:tabs>
          <w:tab w:leader="none" w:pos="1038"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80" w:firstLine="656"/>
        <w:spacing w:after="0" w:line="357" w:lineRule="auto"/>
        <w:tabs>
          <w:tab w:leader="none" w:pos="1325" w:val="left"/>
        </w:tabs>
        <w:numPr>
          <w:ilvl w:val="0"/>
          <w:numId w:val="6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1360" w:hanging="704"/>
        <w:spacing w:after="0"/>
        <w:tabs>
          <w:tab w:leader="none" w:pos="13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40" w:firstLine="8"/>
        <w:spacing w:after="0" w:line="357" w:lineRule="auto"/>
        <w:tabs>
          <w:tab w:leader="none" w:pos="6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656"/>
        <w:spacing w:after="0" w:line="357" w:lineRule="auto"/>
        <w:tabs>
          <w:tab w:leader="none" w:pos="1325" w:val="left"/>
        </w:tabs>
        <w:numPr>
          <w:ilvl w:val="1"/>
          <w:numId w:val="6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right="280" w:firstLine="656"/>
        <w:spacing w:after="0" w:line="324" w:lineRule="auto"/>
        <w:tabs>
          <w:tab w:leader="none" w:pos="1335"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6080" w:type="dxa"/>
            <w:vAlign w:val="bottom"/>
          </w:tcPr>
          <w:p>
            <w:pPr>
              <w:ind w:left="140"/>
              <w:spacing w:after="0"/>
              <w:rPr>
                <w:sz w:val="20"/>
                <w:szCs w:val="20"/>
                <w:color w:val="auto"/>
              </w:rPr>
            </w:pPr>
            <w:r>
              <w:rPr>
                <w:rFonts w:ascii="Arial" w:cs="Arial" w:eastAsia="Arial" w:hAnsi="Arial"/>
                <w:sz w:val="18"/>
                <w:szCs w:val="18"/>
                <w:color w:val="auto"/>
              </w:rPr>
              <w:t>February 13, 2019</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Steven T. Snyder</w:t>
            </w:r>
          </w:p>
        </w:tc>
        <w:tc>
          <w:tcPr>
            <w:tcW w:w="820" w:type="dxa"/>
            <w:vAlign w:val="bottom"/>
          </w:tcPr>
          <w:p>
            <w:pPr>
              <w:spacing w:after="0"/>
              <w:rPr>
                <w:sz w:val="18"/>
                <w:szCs w:val="18"/>
                <w:color w:val="auto"/>
              </w:rPr>
            </w:pPr>
          </w:p>
        </w:tc>
      </w:tr>
      <w:tr>
        <w:trPr>
          <w:trHeight w:val="291"/>
        </w:trPr>
        <w:tc>
          <w:tcPr>
            <w:tcW w:w="5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Name: Steven T. Snyder</w:t>
            </w:r>
          </w:p>
        </w:tc>
      </w:tr>
      <w:tr>
        <w:trPr>
          <w:trHeight w:val="270"/>
        </w:trPr>
        <w:tc>
          <w:tcPr>
            <w:tcW w:w="540" w:type="dxa"/>
            <w:vAlign w:val="bottom"/>
          </w:tcPr>
          <w:p>
            <w:pPr>
              <w:spacing w:after="0"/>
              <w:rPr>
                <w:sz w:val="23"/>
                <w:szCs w:val="23"/>
                <w:color w:val="auto"/>
              </w:rPr>
            </w:pPr>
          </w:p>
        </w:tc>
        <w:tc>
          <w:tcPr>
            <w:tcW w:w="6080" w:type="dxa"/>
            <w:vAlign w:val="bottom"/>
          </w:tcPr>
          <w:p>
            <w:pPr>
              <w:spacing w:after="0"/>
              <w:rPr>
                <w:sz w:val="23"/>
                <w:szCs w:val="23"/>
                <w:color w:val="auto"/>
              </w:rPr>
            </w:pPr>
          </w:p>
        </w:tc>
        <w:tc>
          <w:tcPr>
            <w:tcW w:w="2280" w:type="dxa"/>
            <w:vAlign w:val="bottom"/>
            <w:gridSpan w:val="2"/>
          </w:tcPr>
          <w:p>
            <w:pPr>
              <w:spacing w:after="0"/>
              <w:rPr>
                <w:sz w:val="20"/>
                <w:szCs w:val="20"/>
                <w:color w:val="auto"/>
              </w:rPr>
            </w:pPr>
            <w:r>
              <w:rPr>
                <w:rFonts w:ascii="Arial" w:cs="Arial" w:eastAsia="Arial" w:hAnsi="Arial"/>
                <w:sz w:val="18"/>
                <w:szCs w:val="18"/>
                <w:i w:val="1"/>
                <w:iCs w:val="1"/>
                <w:color w:val="auto"/>
                <w:w w:val="95"/>
              </w:rPr>
              <w:t>Interim Chief Financial Officer</w:t>
            </w:r>
          </w:p>
        </w:tc>
      </w:tr>
    </w:tbl>
    <w:p>
      <w:pPr>
        <w:sectPr>
          <w:pgSz w:w="11900" w:h="16838" w:orient="portrait"/>
          <w:cols w:equalWidth="0" w:num="1">
            <w:col w:w="11420"/>
          </w:cols>
          <w:pgMar w:left="240" w:top="580"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 connection with the annual report of Gaming and Leisure Properties, Inc. (the “Company”) on Form 10-K for the year ended December 31, 2018, as filed with the Securities and Exchange Commission on the date hereof (the “Report”), I, Peter M. Carlino, Chief Executive Officer of the Company, certify, pursuant to Section 906 of the Sarbanes-Oxley Act of 2002, 18 U.S.C. Section 1350, that, to my knowledge:</w:t>
      </w:r>
    </w:p>
    <w:p>
      <w:pPr>
        <w:spacing w:after="0" w:line="166" w:lineRule="exact"/>
        <w:rPr>
          <w:sz w:val="20"/>
          <w:szCs w:val="20"/>
          <w:color w:val="auto"/>
        </w:rPr>
      </w:pPr>
    </w:p>
    <w:p>
      <w:pPr>
        <w:ind w:left="1340" w:hanging="684"/>
        <w:spacing w:after="0"/>
        <w:tabs>
          <w:tab w:leader="none" w:pos="13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77" w:lineRule="exact"/>
        <w:rPr>
          <w:rFonts w:ascii="Arial" w:cs="Arial" w:eastAsia="Arial" w:hAnsi="Arial"/>
          <w:sz w:val="17"/>
          <w:szCs w:val="17"/>
          <w:color w:val="auto"/>
        </w:rPr>
      </w:pPr>
    </w:p>
    <w:p>
      <w:pPr>
        <w:ind w:left="1340" w:hanging="684"/>
        <w:spacing w:after="0"/>
        <w:tabs>
          <w:tab w:leader="none" w:pos="13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Peter M. Carlino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Peter M. Carlino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Date: February 13, 2019</w:t>
      </w:r>
    </w:p>
    <w:p>
      <w:pPr>
        <w:sectPr>
          <w:pgSz w:w="11900" w:h="16838" w:orient="portrait"/>
          <w:cols w:equalWidth="0" w:num="1">
            <w:col w:w="11420"/>
          </w:cols>
          <w:pgMar w:left="240" w:top="580"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 connection with the annual report of Gaming and Leisure Properties, Inc. (the “Company”) on Form 10-K for the year ended December 31, 2018, as filed with the Securities and Exchange Commission on the date hereof (the “Report”), I, Steven T. Snyder, Interim Chief Financial Officer of the Company, certify, pursuant to Section 906 of the Sarbanes-Oxley Act of 2002, 18 U.S.C. Section 1350, that, to my knowledge:</w:t>
      </w:r>
    </w:p>
    <w:p>
      <w:pPr>
        <w:spacing w:after="0" w:line="166" w:lineRule="exact"/>
        <w:rPr>
          <w:sz w:val="20"/>
          <w:szCs w:val="20"/>
          <w:color w:val="auto"/>
        </w:rPr>
      </w:pPr>
    </w:p>
    <w:p>
      <w:pPr>
        <w:ind w:left="1340" w:hanging="684"/>
        <w:spacing w:after="0"/>
        <w:tabs>
          <w:tab w:leader="none" w:pos="13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77" w:lineRule="exact"/>
        <w:rPr>
          <w:rFonts w:ascii="Arial" w:cs="Arial" w:eastAsia="Arial" w:hAnsi="Arial"/>
          <w:sz w:val="17"/>
          <w:szCs w:val="17"/>
          <w:color w:val="auto"/>
        </w:rPr>
      </w:pPr>
    </w:p>
    <w:p>
      <w:pPr>
        <w:ind w:left="1340" w:hanging="684"/>
        <w:spacing w:after="0"/>
        <w:tabs>
          <w:tab w:leader="none" w:pos="13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Steven T. Snyder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Steven T. Snyder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Interim Chief Financial Officer</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Date: February 13,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x"/>
      <w:numFmt w:val="bullet"/>
      <w:start w:val="1"/>
    </w:lvl>
  </w:abstractNum>
  <w:abstractNum w:abstractNumId="1">
    <w:nsid w:val="5072367"/>
    <w:multiLevelType w:val="hybridMultilevel"/>
    <w:lvl w:ilvl="0">
      <w:lvlJc w:val="left"/>
      <w:lvlText w:val="o"/>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1)"/>
      <w:numFmt w:val="decimal"/>
      <w:start w:val="2"/>
    </w:lvl>
  </w:abstractNum>
  <w:abstractNum w:abstractNumId="5">
    <w:nsid w:val="5C482A97"/>
    <w:multiLevelType w:val="hybridMultilevel"/>
    <w:lvl w:ilvl="0">
      <w:lvlJc w:val="left"/>
      <w:lvlText w:val="(%1)"/>
      <w:numFmt w:val="decimal"/>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1."/>
      <w:numFmt w:val="decimal"/>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1)"/>
      <w:numFmt w:val="lowerRoman"/>
      <w:start w:val="2"/>
    </w:lvl>
  </w:abstractNum>
  <w:abstractNum w:abstractNumId="11">
    <w:nsid w:val="153EA438"/>
    <w:multiLevelType w:val="hybridMultilevel"/>
    <w:lvl w:ilvl="0">
      <w:lvlJc w:val="left"/>
      <w:lvlText w:val="(%1)"/>
      <w:numFmt w:val="lowerRoman"/>
      <w:start w:val="1"/>
    </w:lvl>
  </w:abstractNum>
  <w:abstractNum w:abstractNumId="12">
    <w:nsid w:val="3855585C"/>
    <w:multiLevelType w:val="hybridMultilevel"/>
    <w:lvl w:ilvl="0">
      <w:lvlJc w:val="left"/>
      <w:lvlText w:val="(%1)"/>
      <w:numFmt w:val="lowerLetter"/>
      <w:start w:val="9"/>
    </w:lvl>
    <w:lvl w:ilvl="1">
      <w:lvlJc w:val="left"/>
      <w:lvlText w:val="(%2)"/>
      <w:numFmt w:val="lowerLetter"/>
      <w:start w:val="1"/>
    </w:lvl>
  </w:abstractNum>
  <w:abstractNum w:abstractNumId="13">
    <w:nsid w:val="70A64E2A"/>
    <w:multiLevelType w:val="hybridMultilevel"/>
    <w:lvl w:ilvl="0">
      <w:lvlJc w:val="left"/>
      <w:lvlText w:val="(%1)"/>
      <w:numFmt w:val="lowerRoman"/>
      <w:start w:val="2"/>
    </w:lvl>
  </w:abstractNum>
  <w:abstractNum w:abstractNumId="14">
    <w:nsid w:val="6A2342EC"/>
    <w:multiLevelType w:val="hybridMultilevel"/>
    <w:lvl w:ilvl="0">
      <w:lvlJc w:val="left"/>
      <w:lvlText w:val="(%1)"/>
      <w:numFmt w:val="lowerRoman"/>
      <w:start w:val="5"/>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1)"/>
      <w:numFmt w:val="lowerRoman"/>
      <w:start w:val="3"/>
    </w:lvl>
  </w:abstractNum>
  <w:abstractNum w:abstractNumId="17">
    <w:nsid w:val="725A06FB"/>
    <w:multiLevelType w:val="hybridMultilevel"/>
    <w:lvl w:ilvl="0">
      <w:lvlJc w:val="left"/>
      <w:lvlText w:val="(%1)"/>
      <w:numFmt w:val="lowerRoman"/>
      <w:start w:val="6"/>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1)"/>
      <w:numFmt w:val="decimal"/>
      <w:start w:val="1"/>
    </w:lvl>
  </w:abstractNum>
  <w:abstractNum w:abstractNumId="23">
    <w:nsid w:val="6DE91B18"/>
    <w:multiLevelType w:val="hybridMultilevel"/>
    <w:lvl w:ilvl="0">
      <w:lvlJc w:val="left"/>
      <w:lvlText w:val="(%1)"/>
      <w:numFmt w:val="decimal"/>
      <w:start w:val="2"/>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1)"/>
      <w:numFmt w:val="decimal"/>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1)"/>
      <w:numFmt w:val="decimal"/>
      <w:start w:val="1"/>
    </w:lvl>
  </w:abstractNum>
  <w:abstractNum w:abstractNumId="34">
    <w:nsid w:val="12E685FB"/>
    <w:multiLevelType w:val="hybridMultilevel"/>
    <w:lvl w:ilvl="0">
      <w:lvlJc w:val="left"/>
      <w:lvlText w:val="(%1)"/>
      <w:numFmt w:val="decimal"/>
      <w:start w:val="1"/>
    </w:lvl>
  </w:abstractNum>
  <w:abstractNum w:abstractNumId="35">
    <w:nsid w:val="70C6A529"/>
    <w:multiLevelType w:val="hybridMultilevel"/>
    <w:lvl w:ilvl="0">
      <w:lvlJc w:val="left"/>
      <w:lvlText w:val="(%1)"/>
      <w:numFmt w:val="decimal"/>
      <w:start w:val="1"/>
    </w:lvl>
  </w:abstractNum>
  <w:abstractNum w:abstractNumId="36">
    <w:nsid w:val="520EEDD1"/>
    <w:multiLevelType w:val="hybridMultilevel"/>
    <w:lvl w:ilvl="0">
      <w:lvlJc w:val="left"/>
      <w:lvlText w:val="(%1)"/>
      <w:numFmt w:val="decimal"/>
      <w:start w:val="3"/>
    </w:lvl>
  </w:abstractNum>
  <w:abstractNum w:abstractNumId="37">
    <w:nsid w:val="374A3FE6"/>
    <w:multiLevelType w:val="hybridMultilevel"/>
    <w:lvl w:ilvl="0">
      <w:lvlJc w:val="left"/>
      <w:lvlText w:val="(%1)"/>
      <w:numFmt w:val="decimal"/>
      <w:start w:val="1"/>
    </w:lvl>
  </w:abstractNum>
  <w:abstractNum w:abstractNumId="38">
    <w:nsid w:val="4F4EF005"/>
    <w:multiLevelType w:val="hybridMultilevel"/>
    <w:lvl w:ilvl="0">
      <w:lvlJc w:val="left"/>
      <w:lvlText w:val="(%1)"/>
      <w:numFmt w:val="decimal"/>
      <w:start w:val="1"/>
    </w:lvl>
  </w:abstractNum>
  <w:abstractNum w:abstractNumId="39">
    <w:nsid w:val="23F9C13C"/>
    <w:multiLevelType w:val="hybridMultilevel"/>
    <w:lvl w:ilvl="0">
      <w:lvlJc w:val="left"/>
      <w:lvlText w:val="%1."/>
      <w:numFmt w:val="decimal"/>
      <w:start w:val="3"/>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1."/>
      <w:numFmt w:val="decimal"/>
      <w:start w:val="840"/>
    </w:lvl>
  </w:abstractNum>
  <w:abstractNum w:abstractNumId="44">
    <w:nsid w:val="180115BE"/>
    <w:multiLevelType w:val="hybridMultilevel"/>
    <w:lvl w:ilvl="0">
      <w:lvlJc w:val="left"/>
      <w:lvlText w:val="(%1)"/>
      <w:numFmt w:val="decimal"/>
      <w:start w:val="1"/>
    </w:lvl>
  </w:abstractNum>
  <w:abstractNum w:abstractNumId="45">
    <w:nsid w:val="235BA861"/>
    <w:multiLevelType w:val="hybridMultilevel"/>
    <w:lvl w:ilvl="0">
      <w:lvlJc w:val="left"/>
      <w:lvlText w:val="(%1)"/>
      <w:numFmt w:val="decimal"/>
      <w:start w:val="2"/>
    </w:lvl>
  </w:abstractNum>
  <w:abstractNum w:abstractNumId="46">
    <w:nsid w:val="47398C89"/>
    <w:multiLevelType w:val="hybridMultilevel"/>
    <w:lvl w:ilvl="0">
      <w:lvlJc w:val="left"/>
      <w:lvlText w:val="(%1)"/>
      <w:numFmt w:val="decimal"/>
      <w:start w:val="1"/>
    </w:lvl>
  </w:abstractNum>
  <w:abstractNum w:abstractNumId="47">
    <w:nsid w:val="354FE9F9"/>
    <w:multiLevelType w:val="hybridMultilevel"/>
    <w:lvl w:ilvl="0">
      <w:lvlJc w:val="left"/>
      <w:lvlText w:val="(%1)"/>
      <w:numFmt w:val="decimal"/>
      <w:start w:val="1"/>
    </w:lvl>
  </w:abstractNum>
  <w:abstractNum w:abstractNumId="48">
    <w:nsid w:val="15B5AF5C"/>
    <w:multiLevelType w:val="hybridMultilevel"/>
    <w:lvl w:ilvl="0">
      <w:lvlJc w:val="left"/>
      <w:lvlText w:val="(%1)"/>
      <w:numFmt w:val="decimal"/>
      <w:start w:val="1"/>
    </w:lvl>
  </w:abstractNum>
  <w:abstractNum w:abstractNumId="49">
    <w:nsid w:val="741226BB"/>
    <w:multiLevelType w:val="hybridMultilevel"/>
    <w:lvl w:ilvl="0">
      <w:lvlJc w:val="left"/>
      <w:lvlText w:val="(%1)"/>
      <w:numFmt w:val="decimal"/>
      <w:start w:val="2"/>
    </w:lvl>
  </w:abstractNum>
  <w:abstractNum w:abstractNumId="50">
    <w:nsid w:val="D34B6A8"/>
    <w:multiLevelType w:val="hybridMultilevel"/>
    <w:lvl w:ilvl="0">
      <w:lvlJc w:val="left"/>
      <w:lvlText w:val="%1."/>
      <w:numFmt w:val="decimal"/>
      <w:start w:val="18"/>
    </w:lvl>
  </w:abstractNum>
  <w:abstractNum w:abstractNumId="51">
    <w:nsid w:val="10233C99"/>
    <w:multiLevelType w:val="hybridMultilevel"/>
    <w:lvl w:ilvl="0">
      <w:lvlJc w:val="left"/>
      <w:lvlText w:val="(%1)"/>
      <w:numFmt w:val="decimal"/>
      <w:start w:val="1"/>
    </w:lvl>
  </w:abstractNum>
  <w:abstractNum w:abstractNumId="52">
    <w:nsid w:val="3F6AB60F"/>
    <w:multiLevelType w:val="hybridMultilevel"/>
    <w:lvl w:ilvl="0">
      <w:lvlJc w:val="left"/>
      <w:lvlText w:val="%1."/>
      <w:numFmt w:val="decimal"/>
      <w:start w:val="840"/>
    </w:lvl>
  </w:abstractNum>
  <w:abstractNum w:abstractNumId="53">
    <w:nsid w:val="61574095"/>
    <w:multiLevelType w:val="hybridMultilevel"/>
    <w:lvl w:ilvl="0">
      <w:lvlJc w:val="left"/>
      <w:lvlText w:val="(%1)"/>
      <w:numFmt w:val="decimal"/>
      <w:start w:val="2"/>
    </w:lvl>
  </w:abstractNum>
  <w:abstractNum w:abstractNumId="54">
    <w:nsid w:val="7E0C57B1"/>
    <w:multiLevelType w:val="hybridMultilevel"/>
    <w:lvl w:ilvl="0">
      <w:lvlJc w:val="left"/>
      <w:lvlText w:val="(%1)"/>
      <w:numFmt w:val="decimal"/>
      <w:start w:val="1"/>
    </w:lvl>
  </w:abstractNum>
  <w:abstractNum w:abstractNumId="55">
    <w:nsid w:val="77AE35EB"/>
    <w:multiLevelType w:val="hybridMultilevel"/>
    <w:lvl w:ilvl="0">
      <w:lvlJc w:val="left"/>
      <w:lvlText w:val="(%1)"/>
      <w:numFmt w:val="lowerLetter"/>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1."/>
      <w:numFmt w:val="upperLetter"/>
      <w:start w:val="9"/>
    </w:lvl>
  </w:abstractNum>
  <w:abstractNum w:abstractNumId="58">
    <w:nsid w:val="5FF87E05"/>
    <w:multiLevelType w:val="hybridMultilevel"/>
    <w:lvl w:ilvl="0">
      <w:lvlJc w:val="left"/>
      <w:lvlText w:val="%1."/>
      <w:numFmt w:val="upperLetter"/>
      <w:start w:val="1"/>
    </w:lvl>
  </w:abstractNum>
  <w:abstractNum w:abstractNumId="59">
    <w:nsid w:val="2F305DEF"/>
    <w:multiLevelType w:val="hybridMultilevel"/>
    <w:lvl w:ilvl="0">
      <w:lvlJc w:val="left"/>
      <w:lvlText w:val="%1."/>
      <w:numFmt w:val="upperLetter"/>
      <w:start w:val="61"/>
    </w:lvl>
  </w:abstractNum>
  <w:abstractNum w:abstractNumId="60">
    <w:nsid w:val="25A70BF7"/>
    <w:multiLevelType w:val="hybridMultilevel"/>
    <w:lvl w:ilvl="0">
      <w:lvlJc w:val="left"/>
      <w:lvlText w:val="%1."/>
      <w:numFmt w:val="decimal"/>
      <w:start w:val="1"/>
    </w:lvl>
  </w:abstractNum>
  <w:abstractNum w:abstractNumId="61">
    <w:nsid w:val="1DBABF00"/>
    <w:multiLevelType w:val="hybridMultilevel"/>
    <w:lvl w:ilvl="0">
      <w:lvlJc w:val="left"/>
      <w:lvlText w:val="(%1)"/>
      <w:numFmt w:val="lowerLetter"/>
      <w:start w:val="1"/>
    </w:lvl>
  </w:abstractNum>
  <w:abstractNum w:abstractNumId="62">
    <w:nsid w:val="4AD084E9"/>
    <w:multiLevelType w:val="hybridMultilevel"/>
    <w:lvl w:ilvl="0">
      <w:lvlJc w:val="left"/>
      <w:lvlText w:val="(%1)"/>
      <w:numFmt w:val="lowerLetter"/>
      <w:start w:val="2"/>
    </w:lvl>
  </w:abstractNum>
  <w:abstractNum w:abstractNumId="63">
    <w:nsid w:val="1F48EAA1"/>
    <w:multiLevelType w:val="hybridMultilevel"/>
    <w:lvl w:ilvl="0">
      <w:lvlJc w:val="left"/>
      <w:lvlText w:val="%1."/>
      <w:numFmt w:val="decimal"/>
      <w:start w:val="5"/>
    </w:lvl>
    <w:lvl w:ilvl="1">
      <w:lvlJc w:val="left"/>
      <w:lvlText w:val="(%2)"/>
      <w:numFmt w:val="lowerLetter"/>
      <w:start w:val="1"/>
    </w:lvl>
  </w:abstractNum>
  <w:abstractNum w:abstractNumId="64">
    <w:nsid w:val="1381823A"/>
    <w:multiLevelType w:val="hybridMultilevel"/>
    <w:lvl w:ilvl="0">
      <w:lvlJc w:val="left"/>
      <w:lvlText w:val="%1."/>
      <w:numFmt w:val="decimal"/>
      <w:start w:val="1"/>
    </w:lvl>
  </w:abstractNum>
  <w:abstractNum w:abstractNumId="65">
    <w:nsid w:val="5DB70AE5"/>
    <w:multiLevelType w:val="hybridMultilevel"/>
    <w:lvl w:ilvl="0">
      <w:lvlJc w:val="left"/>
      <w:lvlText w:val="(%1)"/>
      <w:numFmt w:val="lowerLetter"/>
      <w:start w:val="1"/>
    </w:lvl>
  </w:abstractNum>
  <w:abstractNum w:abstractNumId="66">
    <w:nsid w:val="100F8FCA"/>
    <w:multiLevelType w:val="hybridMultilevel"/>
    <w:lvl w:ilvl="0">
      <w:lvlJc w:val="left"/>
      <w:lvlText w:val="(%1)"/>
      <w:numFmt w:val="lowerLetter"/>
      <w:start w:val="2"/>
    </w:lvl>
  </w:abstractNum>
  <w:abstractNum w:abstractNumId="67">
    <w:nsid w:val="6590700B"/>
    <w:multiLevelType w:val="hybridMultilevel"/>
    <w:lvl w:ilvl="0">
      <w:lvlJc w:val="left"/>
      <w:lvlText w:val="%1."/>
      <w:numFmt w:val="decimal"/>
      <w:start w:val="5"/>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4" Type="http://schemas.openxmlformats.org/officeDocument/2006/relationships/image" Target="media/image13.png"/><Relationship Id="rId45" Type="http://schemas.openxmlformats.org/officeDocument/2006/relationships/image" Target="media/image14.png"/><Relationship Id="rId60" Type="http://schemas.openxmlformats.org/officeDocument/2006/relationships/image" Target="media/image15.png"/><Relationship Id="rId75" Type="http://schemas.openxmlformats.org/officeDocument/2006/relationships/image" Target="media/image16.png"/><Relationship Id="rId78" Type="http://schemas.openxmlformats.org/officeDocument/2006/relationships/image" Target="media/image17.png"/><Relationship Id="rId79" Type="http://schemas.openxmlformats.org/officeDocument/2006/relationships/image" Target="media/image18.png"/><Relationship Id="rId20" Type="http://schemas.openxmlformats.org/officeDocument/2006/relationships/hyperlink" Target="http://www.sec.gov/Archives/edgar/data/1575965/000110465913082396/a13-23794_2ex2d1.htm" TargetMode="External"/><Relationship Id="rId21" Type="http://schemas.openxmlformats.org/officeDocument/2006/relationships/hyperlink" Target="http://www.sec.gov/Archives/edgar/data/1575965/000157596515000036/glpi72215exhibit21.htm" TargetMode="External"/><Relationship Id="rId22" Type="http://schemas.openxmlformats.org/officeDocument/2006/relationships/hyperlink" Target="http://www.sec.gov/Archives/edgar/data/1575965/000157596516000098/exhibit21-amendmenttomerge.htm" TargetMode="External"/><Relationship Id="rId23" Type="http://schemas.openxmlformats.org/officeDocument/2006/relationships/hyperlink" Target="http://www.sec.gov/Archives/edgar/data/1575965/000119312516564256/d169218dex24.htm" TargetMode="External"/><Relationship Id="rId24" Type="http://schemas.openxmlformats.org/officeDocument/2006/relationships/hyperlink" Target="http://www.sec.gov/Archives/edgar/data/1575965/000119312518117881/d545112dex21.htm" TargetMode="External"/><Relationship Id="rId25" Type="http://schemas.openxmlformats.org/officeDocument/2006/relationships/hyperlink" Target="http://www.sec.gov/Archives/edgar/data/1575965/000119312518117881/d545112dex22.htm" TargetMode="External"/><Relationship Id="rId26" Type="http://schemas.openxmlformats.org/officeDocument/2006/relationships/hyperlink" Target="http://www.sec.gov/Archives/edgar/data/1575965/000119312518289765/d612515dex23.htm" TargetMode="External"/><Relationship Id="rId27" Type="http://schemas.openxmlformats.org/officeDocument/2006/relationships/hyperlink" Target="http://www.sec.gov/Archives/edgar/data/1575965/000157596518000016/glpiexhibit31amendedandres.htm" TargetMode="External"/><Relationship Id="rId28" Type="http://schemas.openxmlformats.org/officeDocument/2006/relationships/hyperlink" Target="http://www.sec.gov/Archives/edgar/data/1575965/000157596518000016/glpiexhibit32amendedandres.htm" TargetMode="External"/><Relationship Id="rId29" Type="http://schemas.openxmlformats.org/officeDocument/2006/relationships/hyperlink" Target="http://www.sec.gov/Archives/edgar/data/1575965/000110465913080098/a13-22016_6ex4d1.htm" TargetMode="External"/><Relationship Id="rId30" Type="http://schemas.openxmlformats.org/officeDocument/2006/relationships/hyperlink" Target="http://www.sec.gov/Archives/edgar/data/1575965/000119312516519802/d155565dex41.htm" TargetMode="External"/><Relationship Id="rId31" Type="http://schemas.openxmlformats.org/officeDocument/2006/relationships/hyperlink" Target="http://www.sec.gov/Archives/edgar/data/1575965/000119312516564256/d169218dex43.htm" TargetMode="External"/><Relationship Id="rId32" Type="http://schemas.openxmlformats.org/officeDocument/2006/relationships/hyperlink" Target="http://www.sec.gov/Archives/edgar/data/1575965/000119312516564256/d169218dex44.htm" TargetMode="External"/><Relationship Id="rId33" Type="http://schemas.openxmlformats.org/officeDocument/2006/relationships/hyperlink" Target="http://www.sec.gov/Archives/edgar/data/1575965/000119312518170967/d584186dex43.htm" TargetMode="External"/><Relationship Id="rId35" Type="http://schemas.openxmlformats.org/officeDocument/2006/relationships/hyperlink" Target="http://www.sec.gov/Archives/edgar/data/1575965/000119312518170967/d584186dex44.htm" TargetMode="External"/><Relationship Id="rId36" Type="http://schemas.openxmlformats.org/officeDocument/2006/relationships/hyperlink" Target="http://www.sec.gov/Archives/edgar/data/1575965/000119312518170967/d584186dex45.htm" TargetMode="External"/><Relationship Id="rId37" Type="http://schemas.openxmlformats.org/officeDocument/2006/relationships/hyperlink" Target="http://www.sec.gov/Archives/edgar/data/1575965/000119312518284105/d596721dex44.htm" TargetMode="External"/><Relationship Id="rId38" Type="http://schemas.openxmlformats.org/officeDocument/2006/relationships/hyperlink" Target="http://www.sec.gov/Archives/edgar/data/1575965/000110465913080098/a13-22016_6ex4d2.htm" TargetMode="External"/><Relationship Id="rId39" Type="http://schemas.openxmlformats.org/officeDocument/2006/relationships/hyperlink" Target="http://www.sec.gov/Archives/edgar/data/1575965/000110465913080098/a13-22016_6ex4d3.htm" TargetMode="External"/><Relationship Id="rId40" Type="http://schemas.openxmlformats.org/officeDocument/2006/relationships/hyperlink" Target="http://www.sec.gov/Archives/edgar/data/1575965/000110465913080098/a13-22016_6ex10d1.htm" TargetMode="External"/><Relationship Id="rId41" Type="http://schemas.openxmlformats.org/officeDocument/2006/relationships/hyperlink" Target="http://www.sec.gov/Archives/edgar/data/1575965/000110465913080098/a13-22016_6ex10d2.htm" TargetMode="External"/><Relationship Id="rId42" Type="http://schemas.openxmlformats.org/officeDocument/2006/relationships/hyperlink" Target="http://www.sec.gov/Archives/edgar/data/1575965/000110465913080098/a13-22016_6ex10d3.htm" TargetMode="External"/><Relationship Id="rId43" Type="http://schemas.openxmlformats.org/officeDocument/2006/relationships/hyperlink" Target="http://www.sec.gov/Archives/edgar/data/1575965/000110465913080098/a13-22016_6ex10d4.htm" TargetMode="External"/><Relationship Id="rId44" Type="http://schemas.openxmlformats.org/officeDocument/2006/relationships/hyperlink" Target="http://www.sec.gov/Archives/edgar/data/1575965/000119312515306851/d18100dex102.htm" TargetMode="External"/><Relationship Id="rId46" Type="http://schemas.openxmlformats.org/officeDocument/2006/relationships/hyperlink" Target="http://www.sec.gov/Archives/edgar/data/1575965/000157596516000098/exhibit101amendmenttocredi.htm" TargetMode="External"/><Relationship Id="rId47" Type="http://schemas.openxmlformats.org/officeDocument/2006/relationships/hyperlink" Target="http://www.sec.gov/Archives/edgar/data/1575965/000119312518170967/d584186dex101.htm" TargetMode="External"/><Relationship Id="rId48" Type="http://schemas.openxmlformats.org/officeDocument/2006/relationships/hyperlink" Target="http://www.sec.gov/Archives/edgar/data/1575965/000157596518000024/glpi-2018930exhibit105.htm" TargetMode="External"/><Relationship Id="rId49" Type="http://schemas.openxmlformats.org/officeDocument/2006/relationships/hyperlink" Target="http://www.sec.gov/Archives/edgar/data/1575965/000110465913082396/a13-23794_2ex10d1.htm" TargetMode="External"/><Relationship Id="rId50" Type="http://schemas.openxmlformats.org/officeDocument/2006/relationships/hyperlink" Target="http://www.sec.gov/Archives/edgar/data/1575965/000110465914037525/a14-12326_1ex10d1.htm" TargetMode="External"/><Relationship Id="rId51" Type="http://schemas.openxmlformats.org/officeDocument/2006/relationships/hyperlink" Target="http://www.sec.gov/Archives/edgar/data/1575965/000110465914055690/a14-14237_1ex10d1.htm" TargetMode="External"/><Relationship Id="rId52" Type="http://schemas.openxmlformats.org/officeDocument/2006/relationships/hyperlink" Target="http://www.sec.gov/Archives/edgar/data/1575965/000157596516000134/glpi-2016930exhibit102.htm" TargetMode="External"/><Relationship Id="rId53" Type="http://schemas.openxmlformats.org/officeDocument/2006/relationships/hyperlink" Target="http://www.sec.gov/Archives/edgar/data/1575965/000157596517000022/glpi-2017331exhibit102.htm" TargetMode="External"/><Relationship Id="rId54" Type="http://schemas.openxmlformats.org/officeDocument/2006/relationships/hyperlink" Target="http://www.sec.gov/Archives/edgar/data/1575965/000157596518000019/glpi-2018630exhibit103.htm" TargetMode="External"/><Relationship Id="rId55" Type="http://schemas.openxmlformats.org/officeDocument/2006/relationships/hyperlink" Target="http://www.sec.gov/Archives/edgar/data/1575965/000157596518000024/glpi-2018930exhibit101.htm" TargetMode="External"/><Relationship Id="rId56" Type="http://schemas.openxmlformats.org/officeDocument/2006/relationships/hyperlink" Target="http://www.sec.gov/Archives/edgar/data/1575965/000119312516564256/d169218dex23.htm" TargetMode="External"/><Relationship Id="rId57" Type="http://schemas.openxmlformats.org/officeDocument/2006/relationships/hyperlink" Target="http://www.sec.gov/Archives/edgar/data/1575965/000157596516000134/glpi-2016930exhibit101.htm" TargetMode="External"/><Relationship Id="rId58" Type="http://schemas.openxmlformats.org/officeDocument/2006/relationships/hyperlink" Target="http://www.sec.gov/Archives/edgar/data/1575965/000157596517000006/glpi-20161231exhibit1013.htm" TargetMode="External"/><Relationship Id="rId59" Type="http://schemas.openxmlformats.org/officeDocument/2006/relationships/hyperlink" Target="http://www.sec.gov/Archives/edgar/data/1575965/000157596517000022/glpi-2017331exhibit101.htm" TargetMode="External"/><Relationship Id="rId61" Type="http://schemas.openxmlformats.org/officeDocument/2006/relationships/hyperlink" Target="http://www.sec.gov/Archives/edgar/data/1575965/000119312518299507/d621785dex101.htm" TargetMode="External"/><Relationship Id="rId62" Type="http://schemas.openxmlformats.org/officeDocument/2006/relationships/hyperlink" Target="http://www.sec.gov/Archives/edgar/data/1575965/000119312518289765/d612515dex101.htm" TargetMode="External"/><Relationship Id="rId63" Type="http://schemas.openxmlformats.org/officeDocument/2006/relationships/hyperlink" Target="http://www.sec.gov/Archives/edgar/data/1575965/000119312518299507/d621785dex102.htm" TargetMode="External"/><Relationship Id="rId64" Type="http://schemas.openxmlformats.org/officeDocument/2006/relationships/hyperlink" Target="http://www.sec.gov/Archives/edgar/data/1575965/000157596517000039/exhibit101consentagreement.htm" TargetMode="External"/><Relationship Id="rId65" Type="http://schemas.openxmlformats.org/officeDocument/2006/relationships/hyperlink" Target="http://www.sec.gov/Archives/edgar/data/1575965/000110465913082396/a13-23794_2ex10d2.htm" TargetMode="External"/><Relationship Id="rId66" Type="http://schemas.openxmlformats.org/officeDocument/2006/relationships/hyperlink" Target="http://www.sec.gov/Archives/edgar/data/1575965/000157596515000036/glpi72215exhibit101.htm" TargetMode="External"/><Relationship Id="rId67" Type="http://schemas.openxmlformats.org/officeDocument/2006/relationships/hyperlink" Target="http://www.sec.gov/Archives/edgar/data/1575965/000110465913082396/a13-23794_2ex10d4.htm" TargetMode="External"/><Relationship Id="rId68" Type="http://schemas.openxmlformats.org/officeDocument/2006/relationships/hyperlink" Target="http://www.sec.gov/Archives/edgar/data/1575965/000119312516564256/d169218dex25.htm" TargetMode="External"/><Relationship Id="rId69" Type="http://schemas.openxmlformats.org/officeDocument/2006/relationships/hyperlink" Target="http://www.sec.gov/Archives/edgar/data/1575965/000157596518000010/glpi-2018331exhibit101.htm" TargetMode="External"/><Relationship Id="rId70" Type="http://schemas.openxmlformats.org/officeDocument/2006/relationships/hyperlink" Target="http://www.sec.gov/Archives/edgar/data/1575965/000157596517000006/glpi-20161231exhibit48.htm" TargetMode="External"/><Relationship Id="rId71" Type="http://schemas.openxmlformats.org/officeDocument/2006/relationships/hyperlink" Target="http://www.sec.gov/Archives/edgar/data/1575965/000157596517000006/glpi-20161231exhibiit49.htm" TargetMode="External"/><Relationship Id="rId72" Type="http://schemas.openxmlformats.org/officeDocument/2006/relationships/hyperlink" Target="http://www.sec.gov/Archives/edgar/data/1575965/000157596515000014/glpi-2015331exhibit42.htm" TargetMode="External"/><Relationship Id="rId73" Type="http://schemas.openxmlformats.org/officeDocument/2006/relationships/hyperlink" Target="http://www.sec.gov/Archives/edgar/data/1575965/000157596518000004/glpi-20171231exhibit1026.htm" TargetMode="External"/><Relationship Id="rId74" Type="http://schemas.openxmlformats.org/officeDocument/2006/relationships/hyperlink" Target="http://www.sec.gov/Archives/edgar/data/1575965/000157596518000004/glpi-20171231exhibit1027.htm" TargetMode="External"/><Relationship Id="rId76" Type="http://schemas.openxmlformats.org/officeDocument/2006/relationships/hyperlink" Target="http://www.sec.gov/Archives/edgar/data/1575965/000157596518000008/exhibit101letteragreementd.htm" TargetMode="External"/><Relationship Id="rId77" Type="http://schemas.openxmlformats.org/officeDocument/2006/relationships/hyperlink" Target="http://www.sec.gov/Archives/edgar/data/1575965/000157596516000091/glpi-20151231exhibit10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2019-12-28T16:37:29Z</dcterms:created>
  <dcterms:modified xsi:type="dcterms:W3CDTF">2019-12-28T16:37:29Z</dcterms:modified>
</cp:coreProperties>
</file>